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070" w:rsidRDefault="00552070" w:rsidP="00BD5675">
      <w:pPr>
        <w:jc w:val="both"/>
        <w:rPr>
          <w:rFonts w:ascii="Arial" w:hAnsi="Arial" w:cs="Arial"/>
          <w:b/>
          <w:noProof/>
          <w:sz w:val="36"/>
          <w:szCs w:val="36"/>
          <w:lang w:val="en-US"/>
        </w:rPr>
      </w:pPr>
      <w:r>
        <w:rPr>
          <w:rFonts w:ascii="Arial" w:hAnsi="Arial" w:cs="Arial"/>
          <w:b/>
          <w:noProof/>
          <w:sz w:val="36"/>
          <w:szCs w:val="36"/>
          <w:lang w:val="en-US"/>
        </w:rPr>
        <w:drawing>
          <wp:inline distT="0" distB="0" distL="0" distR="0" wp14:anchorId="1F17B8B6" wp14:editId="6C15E2AD">
            <wp:extent cx="5405313" cy="10858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rca Veda Institucional 01_Mesa de trabajo 1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38" b="28825"/>
                    <a:stretch/>
                  </pic:blipFill>
                  <pic:spPr bwMode="auto">
                    <a:xfrm>
                      <a:off x="0" y="0"/>
                      <a:ext cx="5407621" cy="1086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675" w:rsidRDefault="00BD5675" w:rsidP="00BD5675">
      <w:pPr>
        <w:jc w:val="both"/>
        <w:rPr>
          <w:rFonts w:ascii="Arial" w:hAnsi="Arial" w:cs="Arial"/>
          <w:b/>
          <w:sz w:val="36"/>
          <w:szCs w:val="36"/>
        </w:rPr>
      </w:pPr>
    </w:p>
    <w:p w:rsidR="00BD5675" w:rsidRDefault="00BD5675" w:rsidP="00BD5675">
      <w:pPr>
        <w:jc w:val="both"/>
        <w:rPr>
          <w:rFonts w:ascii="Arial" w:hAnsi="Arial" w:cs="Arial"/>
          <w:b/>
          <w:sz w:val="36"/>
          <w:szCs w:val="36"/>
        </w:rPr>
      </w:pPr>
    </w:p>
    <w:p w:rsidR="000B5871" w:rsidRPr="00BD5675" w:rsidRDefault="00BD5675" w:rsidP="00BD5675">
      <w:pPr>
        <w:jc w:val="both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BD5675">
        <w:rPr>
          <w:rFonts w:ascii="Arial" w:hAnsi="Arial" w:cs="Arial"/>
          <w:b/>
          <w:sz w:val="36"/>
          <w:szCs w:val="36"/>
        </w:rPr>
        <w:t>De acuerdo al artículo 40 BIS de la Ley Orgánica de la Administración Pública, esta Secretaría de Turismo no es competente respecto de administración de los bienes muebles e inmuebles del Estado</w:t>
      </w:r>
    </w:p>
    <w:sectPr w:rsidR="000B5871" w:rsidRPr="00BD56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675"/>
    <w:rsid w:val="000B5871"/>
    <w:rsid w:val="00336ECB"/>
    <w:rsid w:val="00552070"/>
    <w:rsid w:val="00793C51"/>
    <w:rsid w:val="00BD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B3FCE"/>
  <w15:chartTrackingRefBased/>
  <w15:docId w15:val="{963E948F-286A-45BE-82BD-6F3C1369C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ST-010</dc:creator>
  <cp:keywords/>
  <dc:description/>
  <cp:lastModifiedBy>Tania AGS</cp:lastModifiedBy>
  <cp:revision>3</cp:revision>
  <dcterms:created xsi:type="dcterms:W3CDTF">2024-03-06T19:57:00Z</dcterms:created>
  <dcterms:modified xsi:type="dcterms:W3CDTF">2024-03-06T19:58:00Z</dcterms:modified>
</cp:coreProperties>
</file>