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6B39947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FE5270">
        <w:rPr>
          <w:rFonts w:ascii="AvantGarde Bk BT" w:hAnsi="AvantGarde Bk BT" w:cs="Arial"/>
          <w:b/>
          <w:color w:val="000000" w:themeColor="text1"/>
          <w:sz w:val="24"/>
          <w:szCs w:val="24"/>
        </w:rPr>
        <w:t>1069</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E5270">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5018C44" w:rsidR="00946007" w:rsidRPr="007C5605" w:rsidRDefault="00FE52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TAMAZUNCHALE</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4A83E6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983DE2">
        <w:rPr>
          <w:rFonts w:ascii="AvantGarde Bk BT" w:hAnsi="AvantGarde Bk BT" w:cs="Arial"/>
          <w:color w:val="000000" w:themeColor="text1"/>
          <w:sz w:val="24"/>
          <w:szCs w:val="24"/>
        </w:rPr>
        <w:t>05 cinco de 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60C244B4"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983DE2">
        <w:rPr>
          <w:rFonts w:ascii="AvantGarde Bk BT" w:hAnsi="AvantGarde Bk BT" w:cs="Arial"/>
          <w:color w:val="000000" w:themeColor="text1"/>
          <w:sz w:val="24"/>
          <w:szCs w:val="24"/>
        </w:rPr>
        <w:t>06 seis de mayo</w:t>
      </w:r>
      <w:r>
        <w:rPr>
          <w:rFonts w:ascii="AvantGarde Bk BT" w:hAnsi="AvantGarde Bk BT" w:cs="Arial"/>
          <w:color w:val="000000" w:themeColor="text1"/>
          <w:sz w:val="24"/>
          <w:szCs w:val="24"/>
        </w:rPr>
        <w:t xml:space="preserve"> de 2019 dos mil diecinueve </w:t>
      </w:r>
      <w:r w:rsidR="00FE5270">
        <w:rPr>
          <w:rFonts w:ascii="AvantGarde Bk BT" w:hAnsi="AvantGarde Bk BT" w:cs="Arial"/>
          <w:color w:val="000000" w:themeColor="text1"/>
          <w:sz w:val="24"/>
          <w:szCs w:val="24"/>
        </w:rPr>
        <w:t>e</w:t>
      </w:r>
      <w:r w:rsidR="00CD30F1">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FE5270">
        <w:rPr>
          <w:rFonts w:ascii="AvantGarde Bk BT" w:hAnsi="AvantGarde Bk BT" w:cs="Arial"/>
          <w:b/>
          <w:color w:val="000000" w:themeColor="text1"/>
          <w:sz w:val="24"/>
          <w:szCs w:val="24"/>
        </w:rPr>
        <w:t>MUNICIPIO DE TAMAZUNCHALE</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CD30F1">
        <w:rPr>
          <w:rFonts w:ascii="AvantGarde Bk BT" w:hAnsi="AvantGarde Bk BT" w:cs="Arial"/>
          <w:color w:val="000000" w:themeColor="text1"/>
          <w:sz w:val="24"/>
          <w:szCs w:val="24"/>
        </w:rPr>
        <w:t>0</w:t>
      </w:r>
      <w:r w:rsidR="00FE5270">
        <w:rPr>
          <w:rFonts w:ascii="AvantGarde Bk BT" w:hAnsi="AvantGarde Bk BT" w:cs="Arial"/>
          <w:color w:val="000000" w:themeColor="text1"/>
          <w:sz w:val="24"/>
          <w:szCs w:val="24"/>
        </w:rPr>
        <w:t>5815</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082098B8"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E5270">
        <w:rPr>
          <w:rFonts w:ascii="AvantGarde Bk BT" w:hAnsi="AvantGarde Bk BT" w:cs="Arial"/>
          <w:color w:val="000000" w:themeColor="text1"/>
          <w:sz w:val="24"/>
          <w:szCs w:val="24"/>
        </w:rPr>
        <w:t>20 veinte</w:t>
      </w:r>
      <w:r w:rsidR="00983DE2">
        <w:rPr>
          <w:rFonts w:ascii="AvantGarde Bk BT" w:hAnsi="AvantGarde Bk BT" w:cs="Arial"/>
          <w:color w:val="000000" w:themeColor="text1"/>
          <w:sz w:val="24"/>
          <w:szCs w:val="24"/>
        </w:rPr>
        <w:t xml:space="preserve"> de mayo</w:t>
      </w:r>
      <w:r w:rsidR="003859D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496E1886"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D04EEC">
        <w:rPr>
          <w:rFonts w:ascii="AvantGarde Bk BT" w:hAnsi="AvantGarde Bk BT" w:cs="Arial"/>
          <w:color w:val="000000" w:themeColor="text1"/>
          <w:sz w:val="24"/>
          <w:szCs w:val="24"/>
        </w:rPr>
        <w:t>23 veintitrés</w:t>
      </w:r>
      <w:r w:rsidR="00983DE2">
        <w:rPr>
          <w:rFonts w:ascii="AvantGarde Bk BT" w:hAnsi="AvantGarde Bk BT" w:cs="Arial"/>
          <w:color w:val="000000" w:themeColor="text1"/>
          <w:sz w:val="24"/>
          <w:szCs w:val="24"/>
        </w:rPr>
        <w:t xml:space="preserve"> de mayo</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54FED6AA"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983DE2">
        <w:rPr>
          <w:rFonts w:ascii="AvantGarde Bk BT" w:hAnsi="AvantGarde Bk BT" w:cs="Arial"/>
          <w:color w:val="000000" w:themeColor="text1"/>
          <w:sz w:val="24"/>
          <w:szCs w:val="24"/>
        </w:rPr>
        <w:t>28 veintiocho de mayo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10D30738" w:rsidR="00946007" w:rsidRPr="007C5605" w:rsidRDefault="00946007" w:rsidP="00CD2EA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983DE2">
        <w:rPr>
          <w:rFonts w:ascii="AvantGarde Bk BT" w:hAnsi="AvantGarde Bk BT" w:cs="Arial"/>
          <w:color w:val="000000" w:themeColor="text1"/>
          <w:sz w:val="24"/>
          <w:szCs w:val="24"/>
        </w:rPr>
        <w:t>12 doce de junio</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384C85F8"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w:t>
      </w:r>
      <w:r w:rsidR="00D04EEC">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hipótesis establecida</w:t>
      </w:r>
      <w:r w:rsidR="00D04EEC">
        <w:rPr>
          <w:rFonts w:ascii="AvantGarde Bk BT" w:hAnsi="AvantGarde Bk BT" w:cs="Arial"/>
          <w:color w:val="000000" w:themeColor="text1"/>
          <w:sz w:val="24"/>
          <w:szCs w:val="24"/>
        </w:rPr>
        <w:t>s</w:t>
      </w:r>
      <w:r w:rsidR="00273FB2">
        <w:rPr>
          <w:rFonts w:ascii="AvantGarde Bk BT" w:hAnsi="AvantGarde Bk BT" w:cs="Arial"/>
          <w:color w:val="000000" w:themeColor="text1"/>
          <w:sz w:val="24"/>
          <w:szCs w:val="24"/>
        </w:rPr>
        <w:t xml:space="preserve"> en la</w:t>
      </w:r>
      <w:r w:rsidR="00D04EEC">
        <w:rPr>
          <w:rFonts w:ascii="AvantGarde Bk BT" w:hAnsi="AvantGarde Bk BT" w:cs="Arial"/>
          <w:color w:val="000000" w:themeColor="text1"/>
          <w:sz w:val="24"/>
          <w:szCs w:val="24"/>
        </w:rPr>
        <w:t>s</w:t>
      </w:r>
      <w:r w:rsidR="00A23B27">
        <w:rPr>
          <w:rFonts w:ascii="AvantGarde Bk BT" w:hAnsi="AvantGarde Bk BT" w:cs="Arial"/>
          <w:color w:val="000000" w:themeColor="text1"/>
          <w:sz w:val="24"/>
          <w:szCs w:val="24"/>
        </w:rPr>
        <w:t xml:space="preserve"> </w:t>
      </w:r>
      <w:r w:rsidR="00D04EEC">
        <w:rPr>
          <w:rFonts w:ascii="AvantGarde Bk BT" w:hAnsi="AvantGarde Bk BT" w:cs="Arial"/>
          <w:color w:val="000000" w:themeColor="text1"/>
          <w:sz w:val="24"/>
          <w:szCs w:val="24"/>
        </w:rPr>
        <w:t>fracciones</w:t>
      </w:r>
      <w:r w:rsidR="00645312">
        <w:rPr>
          <w:rFonts w:ascii="AvantGarde Bk BT" w:hAnsi="AvantGarde Bk BT" w:cs="Arial"/>
          <w:color w:val="000000" w:themeColor="text1"/>
          <w:sz w:val="24"/>
          <w:szCs w:val="24"/>
        </w:rPr>
        <w:t xml:space="preserve"> </w:t>
      </w:r>
      <w:r w:rsidR="00D04EEC">
        <w:rPr>
          <w:rFonts w:ascii="AvantGarde Bk BT" w:hAnsi="AvantGarde Bk BT" w:cs="Arial"/>
          <w:color w:val="000000" w:themeColor="text1"/>
          <w:sz w:val="24"/>
          <w:szCs w:val="24"/>
        </w:rPr>
        <w:t xml:space="preserve">I, </w:t>
      </w:r>
      <w:r w:rsidR="00983DE2">
        <w:rPr>
          <w:rFonts w:ascii="AvantGarde Bk BT" w:hAnsi="AvantGarde Bk BT" w:cs="Arial"/>
          <w:color w:val="000000" w:themeColor="text1"/>
          <w:sz w:val="24"/>
          <w:szCs w:val="24"/>
        </w:rPr>
        <w:t>IV</w:t>
      </w:r>
      <w:r w:rsidR="00EB5F75">
        <w:rPr>
          <w:rFonts w:ascii="AvantGarde Bk BT" w:hAnsi="AvantGarde Bk BT" w:cs="Arial"/>
          <w:color w:val="000000" w:themeColor="text1"/>
          <w:sz w:val="24"/>
          <w:szCs w:val="24"/>
        </w:rPr>
        <w:t xml:space="preserve"> </w:t>
      </w:r>
      <w:r w:rsidR="00D04EEC">
        <w:rPr>
          <w:rFonts w:ascii="AvantGarde Bk BT" w:hAnsi="AvantGarde Bk BT" w:cs="Arial"/>
          <w:color w:val="000000" w:themeColor="text1"/>
          <w:sz w:val="24"/>
          <w:szCs w:val="24"/>
        </w:rPr>
        <w:t xml:space="preserve">y XII </w:t>
      </w:r>
      <w:r>
        <w:rPr>
          <w:rFonts w:ascii="AvantGarde Bk BT" w:hAnsi="AvantGarde Bk BT" w:cs="Arial"/>
          <w:color w:val="000000" w:themeColor="text1"/>
          <w:sz w:val="24"/>
          <w:szCs w:val="24"/>
        </w:rPr>
        <w:t>del artículo 167, de la Ley de la materia.</w:t>
      </w:r>
    </w:p>
    <w:p w14:paraId="00D6F064" w14:textId="3ED82C09"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04EEC">
        <w:rPr>
          <w:rFonts w:ascii="AvantGarde Bk BT" w:hAnsi="AvantGarde Bk BT" w:cs="Arial"/>
          <w:b/>
          <w:color w:val="000000" w:themeColor="text1"/>
          <w:sz w:val="24"/>
          <w:szCs w:val="24"/>
        </w:rPr>
        <w:t>1069</w:t>
      </w:r>
      <w:r>
        <w:rPr>
          <w:rFonts w:ascii="AvantGarde Bk BT" w:hAnsi="AvantGarde Bk BT" w:cs="Arial"/>
          <w:b/>
          <w:color w:val="000000" w:themeColor="text1"/>
          <w:sz w:val="24"/>
          <w:szCs w:val="24"/>
        </w:rPr>
        <w:t xml:space="preserve">/2019-1 </w:t>
      </w:r>
      <w:r w:rsidR="00CD2EA8">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54DCF58E"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A23B27">
        <w:rPr>
          <w:rFonts w:ascii="AvantGarde Bk BT" w:hAnsi="AvantGarde Bk BT" w:cs="Arial"/>
          <w:color w:val="000000" w:themeColor="text1"/>
          <w:sz w:val="24"/>
          <w:szCs w:val="24"/>
        </w:rPr>
        <w:t xml:space="preserve"> </w:t>
      </w:r>
      <w:r w:rsidR="006B727F">
        <w:rPr>
          <w:rFonts w:ascii="AvantGarde Bk BT" w:hAnsi="AvantGarde Bk BT" w:cs="Arial"/>
          <w:color w:val="000000" w:themeColor="text1"/>
          <w:sz w:val="24"/>
          <w:szCs w:val="24"/>
        </w:rPr>
        <w:t>l</w:t>
      </w:r>
      <w:r w:rsidR="00A23B27">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 </w:t>
      </w:r>
      <w:r w:rsidR="00D04EEC">
        <w:rPr>
          <w:rFonts w:ascii="AvantGarde Bk BT" w:hAnsi="AvantGarde Bk BT" w:cs="Arial"/>
          <w:b/>
          <w:color w:val="000000" w:themeColor="text1"/>
          <w:sz w:val="24"/>
          <w:szCs w:val="24"/>
        </w:rPr>
        <w:t>MUNICIPIO DE TAMAZUNCHALE</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3EADA5E3" w:rsidR="00946007" w:rsidRDefault="00946007" w:rsidP="00D04EE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6C1C56A" w14:textId="2AEE6CB9" w:rsidR="00D04EEC" w:rsidRPr="007C5605" w:rsidRDefault="00D04EEC" w:rsidP="00D04EEC">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establecida en el artículo 170 de la ley de la materia, lo anterior en virtud de la distancia que existe entre el domicilio del sujeto obligado y la sede de esta Comisión</w:t>
      </w:r>
      <w:r w:rsidRPr="007C5605">
        <w:rPr>
          <w:rFonts w:ascii="AvantGarde Bk BT" w:hAnsi="AvantGarde Bk BT" w:cs="Arial"/>
          <w:color w:val="000000" w:themeColor="text1"/>
          <w:sz w:val="24"/>
          <w:szCs w:val="24"/>
        </w:rPr>
        <w:t>.</w:t>
      </w:r>
    </w:p>
    <w:p w14:paraId="230F3781" w14:textId="6EA0F6E4" w:rsidR="00946007" w:rsidRDefault="00946007" w:rsidP="00CD2EA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w:t>
      </w:r>
      <w:r w:rsidR="00D04EEC">
        <w:rPr>
          <w:rFonts w:ascii="AvantGarde Bk BT" w:hAnsi="AvantGarde Bk BT" w:cs="Arial"/>
          <w:color w:val="000000" w:themeColor="text1"/>
          <w:sz w:val="24"/>
          <w:szCs w:val="24"/>
        </w:rPr>
        <w:t>15 quince de julio</w:t>
      </w:r>
      <w:r>
        <w:rPr>
          <w:rFonts w:ascii="AvantGarde Bk BT" w:hAnsi="AvantGarde Bk BT" w:cs="Arial"/>
          <w:color w:val="000000" w:themeColor="text1"/>
          <w:sz w:val="24"/>
          <w:szCs w:val="24"/>
        </w:rPr>
        <w:t xml:space="preserve"> de 2019 dos mil diecinueve el ponente:</w:t>
      </w:r>
    </w:p>
    <w:p w14:paraId="19D12330" w14:textId="154BB3DE" w:rsidR="00946007" w:rsidRPr="004A708B" w:rsidRDefault="00946007" w:rsidP="00D04EEC">
      <w:pPr>
        <w:pStyle w:val="corte4fondo"/>
        <w:numPr>
          <w:ilvl w:val="0"/>
          <w:numId w:val="2"/>
        </w:numPr>
        <w:tabs>
          <w:tab w:val="left" w:pos="567"/>
        </w:tabs>
        <w:ind w:left="1134" w:hanging="454"/>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oficio</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número</w:t>
      </w:r>
      <w:r w:rsidR="00D04EEC">
        <w:rPr>
          <w:rFonts w:ascii="AvantGarde Bk BT" w:hAnsi="AvantGarde Bk BT" w:cs="Arial"/>
          <w:color w:val="000000" w:themeColor="text1"/>
          <w:sz w:val="24"/>
          <w:szCs w:val="24"/>
        </w:rPr>
        <w:t xml:space="preserve"> UT-235/2018-2021</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D04EEC">
        <w:rPr>
          <w:rFonts w:ascii="AvantGarde Bk BT" w:hAnsi="AvantGarde Bk BT" w:cs="Arial"/>
          <w:sz w:val="24"/>
          <w:szCs w:val="24"/>
        </w:rPr>
        <w:t>Mario Cruz Hernández</w:t>
      </w:r>
      <w:r w:rsidR="00645312">
        <w:rPr>
          <w:rFonts w:ascii="AvantGarde Bk BT" w:hAnsi="AvantGarde Bk BT" w:cs="Arial"/>
          <w:sz w:val="24"/>
          <w:szCs w:val="24"/>
        </w:rPr>
        <w:t xml:space="preserve">, </w:t>
      </w:r>
      <w:r w:rsidR="00CD2EA8">
        <w:rPr>
          <w:rFonts w:ascii="AvantGarde Bk BT" w:hAnsi="AvantGarde Bk BT" w:cs="Arial"/>
          <w:sz w:val="24"/>
          <w:szCs w:val="24"/>
        </w:rPr>
        <w:t>Titular</w:t>
      </w:r>
      <w:r w:rsidR="00983DE2">
        <w:rPr>
          <w:rFonts w:ascii="AvantGarde Bk BT" w:hAnsi="AvantGarde Bk BT" w:cs="Arial"/>
          <w:sz w:val="24"/>
          <w:szCs w:val="24"/>
        </w:rPr>
        <w:t xml:space="preserve"> </w:t>
      </w:r>
      <w:r w:rsidR="00D04EEC">
        <w:rPr>
          <w:rFonts w:ascii="AvantGarde Bk BT" w:hAnsi="AvantGarde Bk BT" w:cs="Arial"/>
          <w:sz w:val="24"/>
          <w:szCs w:val="24"/>
        </w:rPr>
        <w:t xml:space="preserve">de la Unidad de Transparencia </w:t>
      </w:r>
      <w:r w:rsidR="00983DE2">
        <w:rPr>
          <w:rFonts w:ascii="AvantGarde Bk BT" w:hAnsi="AvantGarde Bk BT" w:cs="Arial"/>
          <w:sz w:val="24"/>
          <w:szCs w:val="24"/>
        </w:rPr>
        <w:t>de</w:t>
      </w:r>
      <w:r w:rsidR="00645312">
        <w:rPr>
          <w:rFonts w:ascii="AvantGarde Bk BT" w:hAnsi="AvantGarde Bk BT" w:cs="Arial"/>
          <w:sz w:val="24"/>
          <w:szCs w:val="24"/>
        </w:rPr>
        <w:t>l</w:t>
      </w:r>
      <w:r w:rsidR="00983DE2">
        <w:rPr>
          <w:rFonts w:ascii="AvantGarde Bk BT" w:hAnsi="AvantGarde Bk BT" w:cs="Arial"/>
          <w:sz w:val="24"/>
          <w:szCs w:val="24"/>
        </w:rPr>
        <w:t xml:space="preserve"> </w:t>
      </w:r>
      <w:r w:rsidR="00645312">
        <w:rPr>
          <w:rFonts w:ascii="AvantGarde Bk BT" w:hAnsi="AvantGarde Bk BT" w:cs="Arial"/>
          <w:sz w:val="24"/>
          <w:szCs w:val="24"/>
        </w:rPr>
        <w:t>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D04EEC">
        <w:rPr>
          <w:rFonts w:ascii="AvantGarde Bk BT" w:hAnsi="AvantGarde Bk BT" w:cs="Arial"/>
          <w:sz w:val="24"/>
          <w:szCs w:val="24"/>
        </w:rPr>
        <w:t xml:space="preserve">con un anexo, </w:t>
      </w:r>
      <w:r w:rsidRPr="000028AA">
        <w:rPr>
          <w:rFonts w:ascii="AvantGarde Bk BT" w:hAnsi="AvantGarde Bk BT" w:cs="Arial"/>
          <w:sz w:val="24"/>
          <w:szCs w:val="24"/>
        </w:rPr>
        <w:t xml:space="preserve">recibido en este organismo el </w:t>
      </w:r>
      <w:r w:rsidR="00D04EEC">
        <w:rPr>
          <w:rFonts w:ascii="AvantGarde Bk BT" w:hAnsi="AvantGarde Bk BT" w:cs="Arial"/>
          <w:sz w:val="24"/>
          <w:szCs w:val="24"/>
        </w:rPr>
        <w:t>11 once de julio</w:t>
      </w:r>
      <w:r w:rsidR="003E04E5">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37554BD1" w:rsidR="00946007" w:rsidRDefault="006B71F8" w:rsidP="003E04E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5E4A6FB5" w14:textId="3BD65340" w:rsidR="003E04E5" w:rsidRDefault="00983DE2" w:rsidP="00D04EE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D</w:t>
      </w:r>
      <w:r w:rsidR="003E04E5">
        <w:rPr>
          <w:rFonts w:ascii="AvantGarde Bk BT" w:hAnsi="AvantGarde Bk BT" w:cs="Arial"/>
          <w:sz w:val="24"/>
          <w:szCs w:val="24"/>
        </w:rPr>
        <w:t xml:space="preserve">ecretó el cierre del periodo de instrucción con fundamento en lo previsto por </w:t>
      </w:r>
      <w:r w:rsidR="00CF0AF6">
        <w:rPr>
          <w:rFonts w:ascii="AvantGarde Bk BT" w:hAnsi="AvantGarde Bk BT" w:cs="Arial"/>
          <w:sz w:val="24"/>
          <w:szCs w:val="24"/>
        </w:rPr>
        <w:t>las fracciones</w:t>
      </w:r>
      <w:r w:rsidR="003E04E5">
        <w:rPr>
          <w:rFonts w:ascii="AvantGarde Bk BT" w:hAnsi="AvantGarde Bk BT" w:cs="Arial"/>
          <w:sz w:val="24"/>
          <w:szCs w:val="24"/>
        </w:rPr>
        <w:t xml:space="preserve"> IV y V del artículo 174 de la ley de la materia.</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B1D98">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0FA8824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D04EEC">
        <w:rPr>
          <w:rFonts w:ascii="AvantGarde Bk BT" w:hAnsi="AvantGarde Bk BT" w:cs="Arial"/>
          <w:sz w:val="24"/>
          <w:szCs w:val="24"/>
        </w:rPr>
        <w:t>20 veinte</w:t>
      </w:r>
      <w:r w:rsidR="00E56A9C">
        <w:rPr>
          <w:rFonts w:ascii="AvantGarde Bk BT" w:hAnsi="AvantGarde Bk BT" w:cs="Arial"/>
          <w:sz w:val="24"/>
          <w:szCs w:val="24"/>
        </w:rPr>
        <w:t xml:space="preserve"> de mayo</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4356353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D04EEC">
        <w:rPr>
          <w:rFonts w:ascii="AvantGarde Bk BT" w:hAnsi="AvantGarde Bk BT" w:cs="Arial"/>
          <w:sz w:val="24"/>
          <w:szCs w:val="24"/>
        </w:rPr>
        <w:t>21 veintiuno</w:t>
      </w:r>
      <w:r w:rsidR="00E56A9C">
        <w:rPr>
          <w:rFonts w:ascii="AvantGarde Bk BT" w:hAnsi="AvantGarde Bk BT" w:cs="Arial"/>
          <w:sz w:val="24"/>
          <w:szCs w:val="24"/>
        </w:rPr>
        <w:t xml:space="preserve"> de mayo</w:t>
      </w:r>
      <w:r w:rsidR="006564DE">
        <w:rPr>
          <w:rFonts w:ascii="AvantGarde Bk BT" w:hAnsi="AvantGarde Bk BT" w:cs="Arial"/>
          <w:sz w:val="24"/>
          <w:szCs w:val="24"/>
        </w:rPr>
        <w:t xml:space="preserve"> al </w:t>
      </w:r>
      <w:r w:rsidR="00D04EEC">
        <w:rPr>
          <w:rFonts w:ascii="AvantGarde Bk BT" w:hAnsi="AvantGarde Bk BT" w:cs="Arial"/>
          <w:sz w:val="24"/>
          <w:szCs w:val="24"/>
        </w:rPr>
        <w:t>06 seis</w:t>
      </w:r>
      <w:r w:rsidR="00E56A9C">
        <w:rPr>
          <w:rFonts w:ascii="AvantGarde Bk BT" w:hAnsi="AvantGarde Bk BT" w:cs="Arial"/>
          <w:sz w:val="24"/>
          <w:szCs w:val="24"/>
        </w:rPr>
        <w:t xml:space="preserve"> de junio</w:t>
      </w:r>
      <w:r w:rsidR="00753EDD">
        <w:rPr>
          <w:rFonts w:ascii="AvantGarde Bk BT" w:hAnsi="AvantGarde Bk BT" w:cs="Arial"/>
          <w:sz w:val="24"/>
          <w:szCs w:val="24"/>
        </w:rPr>
        <w:t xml:space="preserve"> </w:t>
      </w:r>
      <w:r w:rsidRPr="00E965A2">
        <w:rPr>
          <w:rFonts w:ascii="AvantGarde Bk BT" w:hAnsi="AvantGarde Bk BT" w:cs="Arial"/>
          <w:sz w:val="24"/>
          <w:szCs w:val="24"/>
        </w:rPr>
        <w:t>de 2019 dos mil diecinueve.</w:t>
      </w:r>
    </w:p>
    <w:p w14:paraId="650490BE" w14:textId="69B8673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00676E6E" w:rsidRPr="00E965A2">
        <w:rPr>
          <w:rFonts w:ascii="AvantGarde Bk BT" w:hAnsi="AvantGarde Bk BT" w:cs="Arial"/>
          <w:sz w:val="24"/>
          <w:szCs w:val="24"/>
        </w:rPr>
        <w:t xml:space="preserve">Sin tomar en cuenta los días </w:t>
      </w:r>
      <w:r w:rsidR="00676E6E">
        <w:rPr>
          <w:rFonts w:ascii="AvantGarde Bk BT" w:hAnsi="AvantGarde Bk BT" w:cs="Arial"/>
          <w:sz w:val="24"/>
          <w:szCs w:val="24"/>
        </w:rPr>
        <w:t xml:space="preserve">18 dieciocho, 19 diecinueve, </w:t>
      </w:r>
      <w:r w:rsidR="00E56A9C">
        <w:rPr>
          <w:rFonts w:ascii="AvantGarde Bk BT" w:hAnsi="AvantGarde Bk BT" w:cs="Arial"/>
          <w:sz w:val="24"/>
          <w:szCs w:val="24"/>
        </w:rPr>
        <w:t>25 veinticinco y 26 veintiséis de mayo</w:t>
      </w:r>
      <w:r w:rsidR="00676E6E">
        <w:rPr>
          <w:rFonts w:ascii="AvantGarde Bk BT" w:hAnsi="AvantGarde Bk BT" w:cs="Arial"/>
          <w:sz w:val="24"/>
          <w:szCs w:val="24"/>
        </w:rPr>
        <w:t>, así como el 01</w:t>
      </w:r>
      <w:r w:rsidR="00E56A9C">
        <w:rPr>
          <w:rFonts w:ascii="AvantGarde Bk BT" w:hAnsi="AvantGarde Bk BT" w:cs="Arial"/>
          <w:sz w:val="24"/>
          <w:szCs w:val="24"/>
        </w:rPr>
        <w:t xml:space="preserve"> uno y</w:t>
      </w:r>
      <w:r w:rsidR="00676E6E">
        <w:rPr>
          <w:rFonts w:ascii="AvantGarde Bk BT" w:hAnsi="AvantGarde Bk BT" w:cs="Arial"/>
          <w:sz w:val="24"/>
          <w:szCs w:val="24"/>
        </w:rPr>
        <w:t xml:space="preserve"> </w:t>
      </w:r>
      <w:r w:rsidR="00E56A9C">
        <w:rPr>
          <w:rFonts w:ascii="AvantGarde Bk BT" w:hAnsi="AvantGarde Bk BT" w:cs="Arial"/>
          <w:sz w:val="24"/>
          <w:szCs w:val="24"/>
        </w:rPr>
        <w:t xml:space="preserve">02 dos de junio </w:t>
      </w:r>
      <w:r w:rsidR="00676E6E">
        <w:rPr>
          <w:rFonts w:ascii="AvantGarde Bk BT" w:hAnsi="AvantGarde Bk BT" w:cs="Arial"/>
          <w:sz w:val="24"/>
          <w:szCs w:val="24"/>
        </w:rPr>
        <w:t>de 2019 dos mil diecinueve por ser inhábiles</w:t>
      </w:r>
      <w:r w:rsidRPr="00E965A2">
        <w:rPr>
          <w:rFonts w:ascii="AvantGarde Bk BT" w:hAnsi="AvantGarde Bk BT" w:cs="Arial"/>
          <w:sz w:val="24"/>
          <w:szCs w:val="24"/>
        </w:rPr>
        <w:t>.</w:t>
      </w:r>
    </w:p>
    <w:p w14:paraId="3D35C7F2" w14:textId="5E777921"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D04EEC">
        <w:rPr>
          <w:rFonts w:ascii="AvantGarde Bk BT" w:hAnsi="AvantGarde Bk BT" w:cs="Arial"/>
          <w:sz w:val="24"/>
          <w:szCs w:val="24"/>
        </w:rPr>
        <w:t>23 veintitrés</w:t>
      </w:r>
      <w:r w:rsidR="00E56A9C">
        <w:rPr>
          <w:rFonts w:ascii="AvantGarde Bk BT" w:hAnsi="AvantGarde Bk BT" w:cs="Arial"/>
          <w:sz w:val="24"/>
          <w:szCs w:val="24"/>
        </w:rPr>
        <w:t xml:space="preserve"> de mayo</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lastRenderedPageBreak/>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81A71">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3519E1C" w14:textId="187AAF4F" w:rsidR="00D04EEC" w:rsidRPr="00760CD7" w:rsidRDefault="00760CD7" w:rsidP="00760CD7">
      <w:pPr>
        <w:pStyle w:val="corte4fondo"/>
        <w:tabs>
          <w:tab w:val="left" w:pos="567"/>
        </w:tabs>
        <w:ind w:left="680"/>
        <w:rPr>
          <w:rFonts w:ascii="AvantGarde Bk BT" w:hAnsi="AvantGarde Bk BT" w:cs="Arial"/>
          <w:sz w:val="20"/>
          <w:szCs w:val="24"/>
        </w:rPr>
      </w:pPr>
      <w:r>
        <w:rPr>
          <w:rFonts w:ascii="AvantGarde Bk BT" w:hAnsi="AvantGarde Bk BT" w:cs="Arial"/>
          <w:sz w:val="20"/>
          <w:szCs w:val="24"/>
        </w:rPr>
        <w:t>“</w:t>
      </w:r>
      <w:r w:rsidR="00D04EEC" w:rsidRPr="00760CD7">
        <w:rPr>
          <w:rFonts w:ascii="AvantGarde Bk BT" w:hAnsi="AvantGarde Bk BT" w:cs="Arial"/>
          <w:sz w:val="20"/>
          <w:szCs w:val="24"/>
        </w:rPr>
        <w:t>Solicito tenga a bien proporcionar la relación de las cuentas bancarias productivas específicas que se presentan en la cuenta pública 2018 y 2019, en las cuales se depositen los recursos federales transferidos al H. Ayuntamiento de Tamazunchale, S.L.P y/o Municipio de Tamazunchale, S.L.P, esto conforme lo dispone al decreto publicado en el Diario Oficial de la Federación 12 de noviembre de 2012, específicamente de acuerdo al contenido del numeral 4 y 5 de dicho decreto en lo concerniente a precisi</w:t>
      </w:r>
      <w:r>
        <w:rPr>
          <w:rFonts w:ascii="AvantGarde Bk BT" w:hAnsi="AvantGarde Bk BT" w:cs="Arial"/>
          <w:sz w:val="20"/>
          <w:szCs w:val="24"/>
        </w:rPr>
        <w:t xml:space="preserve">ones del formato siguientes:   </w:t>
      </w:r>
    </w:p>
    <w:p w14:paraId="6D2B5756" w14:textId="77777777" w:rsidR="00D04EEC" w:rsidRPr="00760CD7" w:rsidRDefault="00D04EEC" w:rsidP="00760CD7">
      <w:pPr>
        <w:pStyle w:val="corte4fondo"/>
        <w:tabs>
          <w:tab w:val="left" w:pos="567"/>
        </w:tabs>
        <w:ind w:left="680"/>
        <w:rPr>
          <w:rFonts w:ascii="AvantGarde Bk BT" w:hAnsi="AvantGarde Bk BT" w:cs="Arial"/>
          <w:sz w:val="20"/>
          <w:szCs w:val="24"/>
        </w:rPr>
      </w:pPr>
      <w:r w:rsidRPr="00760CD7">
        <w:rPr>
          <w:rFonts w:ascii="AvantGarde Bk BT" w:hAnsi="AvantGarde Bk BT" w:cs="Arial"/>
          <w:sz w:val="20"/>
          <w:szCs w:val="24"/>
        </w:rPr>
        <w:t>4.</w:t>
      </w:r>
      <w:r w:rsidRPr="00760CD7">
        <w:rPr>
          <w:rFonts w:ascii="AvantGarde Bk BT" w:hAnsi="AvantGarde Bk BT" w:cs="Arial"/>
          <w:sz w:val="20"/>
          <w:szCs w:val="24"/>
        </w:rPr>
        <w:tab/>
        <w:t>Esquema para la integración de la información relativa a las cuentas bancarias productivas específicas en las que se depositan y ministran recursos federales, el formato se integra principalmente por:</w:t>
      </w:r>
    </w:p>
    <w:p w14:paraId="32C25CCE" w14:textId="77777777" w:rsidR="00D04EEC" w:rsidRPr="00760CD7" w:rsidRDefault="00D04EEC" w:rsidP="00760CD7">
      <w:pPr>
        <w:pStyle w:val="corte4fondo"/>
        <w:tabs>
          <w:tab w:val="left" w:pos="567"/>
        </w:tabs>
        <w:ind w:left="680"/>
        <w:rPr>
          <w:rFonts w:ascii="AvantGarde Bk BT" w:hAnsi="AvantGarde Bk BT" w:cs="Arial"/>
          <w:sz w:val="20"/>
          <w:szCs w:val="24"/>
        </w:rPr>
      </w:pPr>
      <w:r w:rsidRPr="00760CD7">
        <w:rPr>
          <w:rFonts w:ascii="AvantGarde Bk BT" w:hAnsi="AvantGarde Bk BT" w:cs="Arial"/>
          <w:sz w:val="20"/>
          <w:szCs w:val="24"/>
        </w:rPr>
        <w:t>a)</w:t>
      </w:r>
      <w:r w:rsidRPr="00760CD7">
        <w:rPr>
          <w:rFonts w:ascii="AvantGarde Bk BT" w:hAnsi="AvantGarde Bk BT" w:cs="Arial"/>
          <w:sz w:val="20"/>
          <w:szCs w:val="24"/>
        </w:rPr>
        <w:tab/>
        <w:t>Fondo, Programa o Convenio: detalle del Fondo o Programa (clave y nombre completo).</w:t>
      </w:r>
    </w:p>
    <w:p w14:paraId="656F1E3B" w14:textId="77777777" w:rsidR="00D04EEC" w:rsidRPr="00760CD7" w:rsidRDefault="00D04EEC" w:rsidP="00760CD7">
      <w:pPr>
        <w:pStyle w:val="corte4fondo"/>
        <w:tabs>
          <w:tab w:val="left" w:pos="567"/>
        </w:tabs>
        <w:ind w:left="680"/>
        <w:rPr>
          <w:rFonts w:ascii="AvantGarde Bk BT" w:hAnsi="AvantGarde Bk BT" w:cs="Arial"/>
          <w:sz w:val="20"/>
          <w:szCs w:val="24"/>
        </w:rPr>
      </w:pPr>
      <w:r w:rsidRPr="00760CD7">
        <w:rPr>
          <w:rFonts w:ascii="AvantGarde Bk BT" w:hAnsi="AvantGarde Bk BT" w:cs="Arial"/>
          <w:sz w:val="20"/>
          <w:szCs w:val="24"/>
        </w:rPr>
        <w:t>b)</w:t>
      </w:r>
      <w:r w:rsidRPr="00760CD7">
        <w:rPr>
          <w:rFonts w:ascii="AvantGarde Bk BT" w:hAnsi="AvantGarde Bk BT" w:cs="Arial"/>
          <w:sz w:val="20"/>
          <w:szCs w:val="24"/>
        </w:rPr>
        <w:tab/>
        <w:t>Datos de la Cuenta Bancaria: detalle de la institución financiera, número y tipo de cuenta bancaria en la que se depositan los recursos federales.</w:t>
      </w:r>
    </w:p>
    <w:p w14:paraId="46140FC5" w14:textId="2C1BF670" w:rsidR="00946007" w:rsidRPr="00E0750B" w:rsidRDefault="00D04EEC" w:rsidP="00760CD7">
      <w:pPr>
        <w:pStyle w:val="corte4fondo"/>
        <w:tabs>
          <w:tab w:val="left" w:pos="567"/>
        </w:tabs>
        <w:ind w:left="680"/>
        <w:rPr>
          <w:rFonts w:ascii="AvantGarde Bk BT" w:hAnsi="AvantGarde Bk BT" w:cs="Arial"/>
          <w:sz w:val="24"/>
          <w:szCs w:val="24"/>
        </w:rPr>
      </w:pPr>
      <w:r w:rsidRPr="00760CD7">
        <w:rPr>
          <w:rFonts w:ascii="AvantGarde Bk BT" w:hAnsi="AvantGarde Bk BT" w:cs="Arial"/>
          <w:sz w:val="20"/>
          <w:szCs w:val="24"/>
        </w:rPr>
        <w:t>c)</w:t>
      </w:r>
      <w:r w:rsidRPr="00760CD7">
        <w:rPr>
          <w:rFonts w:ascii="AvantGarde Bk BT" w:hAnsi="AvantGarde Bk BT" w:cs="Arial"/>
          <w:sz w:val="20"/>
          <w:szCs w:val="24"/>
        </w:rPr>
        <w:tab/>
        <w:t>Periodicidad: Anual,</w:t>
      </w:r>
      <w:r w:rsidR="00760CD7" w:rsidRPr="00760CD7">
        <w:rPr>
          <w:rFonts w:ascii="AvantGarde Bk BT" w:hAnsi="AvantGarde Bk BT" w:cs="Arial"/>
          <w:sz w:val="20"/>
          <w:szCs w:val="24"/>
        </w:rPr>
        <w:t xml:space="preserve"> de acuerdo a la cuenta pública</w:t>
      </w:r>
      <w:r w:rsidR="00FC26EA" w:rsidRPr="00FC26EA">
        <w:rPr>
          <w:rFonts w:ascii="AvantGarde Bk BT" w:hAnsi="AvantGarde Bk BT" w:cs="Arial"/>
          <w:i/>
          <w:sz w:val="22"/>
          <w:szCs w:val="22"/>
        </w:rPr>
        <w:t>.</w:t>
      </w:r>
      <w:r w:rsidR="00281A71">
        <w:rPr>
          <w:rFonts w:ascii="AvantGarde Bk BT" w:hAnsi="AvantGarde Bk BT" w:cs="Arial"/>
          <w:sz w:val="24"/>
          <w:szCs w:val="24"/>
        </w:rPr>
        <w:t>”</w:t>
      </w:r>
      <w:r w:rsidR="00946007" w:rsidRPr="00E0750B">
        <w:rPr>
          <w:rFonts w:ascii="AvantGarde Bk BT" w:hAnsi="AvantGarde Bk BT" w:cs="Arial"/>
          <w:sz w:val="24"/>
          <w:szCs w:val="24"/>
        </w:rPr>
        <w:t xml:space="preserve"> </w:t>
      </w:r>
      <w:r w:rsidR="00155F42">
        <w:rPr>
          <w:rFonts w:ascii="AvantGarde Bk BT" w:hAnsi="AvantGarde Bk BT" w:cs="Arial"/>
          <w:b/>
          <w:sz w:val="24"/>
          <w:szCs w:val="24"/>
        </w:rPr>
        <w:t xml:space="preserve"> </w:t>
      </w:r>
      <w:r w:rsidR="00946007" w:rsidRPr="00E0750B">
        <w:rPr>
          <w:rFonts w:ascii="AvantGarde Bk BT" w:hAnsi="AvantGarde Bk BT" w:cs="Arial"/>
          <w:sz w:val="24"/>
          <w:szCs w:val="24"/>
        </w:rPr>
        <w:t xml:space="preserve">(Visible a foja </w:t>
      </w:r>
      <w:r w:rsidR="00760CD7">
        <w:rPr>
          <w:rFonts w:ascii="AvantGarde Bk BT" w:hAnsi="AvantGarde Bk BT" w:cs="Arial"/>
          <w:sz w:val="24"/>
          <w:szCs w:val="24"/>
        </w:rPr>
        <w:t>08</w:t>
      </w:r>
      <w:r w:rsidR="00946007" w:rsidRPr="00E0750B">
        <w:rPr>
          <w:rFonts w:ascii="AvantGarde Bk BT" w:hAnsi="AvantGarde Bk BT" w:cs="Arial"/>
          <w:sz w:val="24"/>
          <w:szCs w:val="24"/>
        </w:rPr>
        <w:t xml:space="preserve"> de autos).</w:t>
      </w:r>
    </w:p>
    <w:p w14:paraId="6854AFEB" w14:textId="7DD59254" w:rsidR="00760CD7" w:rsidRPr="00760CD7" w:rsidRDefault="00946007" w:rsidP="00760CD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6DE16349" w14:textId="19BB4BD0" w:rsidR="00760CD7" w:rsidRPr="00173322" w:rsidRDefault="00760CD7" w:rsidP="00760CD7">
      <w:pPr>
        <w:tabs>
          <w:tab w:val="left" w:pos="709"/>
        </w:tabs>
        <w:spacing w:after="0"/>
        <w:ind w:left="709" w:firstLine="709"/>
        <w:jc w:val="both"/>
        <w:rPr>
          <w:rFonts w:ascii="AvantGarde Bk BT" w:eastAsia="Times New Roman" w:hAnsi="AvantGarde Bk BT" w:cs="Arial"/>
          <w:sz w:val="20"/>
          <w:szCs w:val="20"/>
        </w:rPr>
      </w:pPr>
      <w:r>
        <w:t>“</w:t>
      </w:r>
      <w:r w:rsidRPr="00173322">
        <w:rPr>
          <w:rFonts w:ascii="AvantGarde Bk BT" w:eastAsia="Times New Roman" w:hAnsi="AvantGarde Bk BT" w:cs="Arial"/>
          <w:sz w:val="20"/>
          <w:szCs w:val="20"/>
        </w:rPr>
        <w:t>AL EFECTO REMITO LA INFORMACION QUE SE TIENE REGISTRADA EN ARCHIVOS POR LO QUE VA DE LA PRESENTE ADMINISTRACION, MISMOS QUE SE ENCUENTRAN PUBLICADOS EN LA LIGA DE INTERNET SIGUIENTE:</w:t>
      </w:r>
    </w:p>
    <w:p w14:paraId="7AAAE34C" w14:textId="77777777" w:rsidR="00760CD7" w:rsidRPr="00173322" w:rsidRDefault="00760CD7" w:rsidP="00760CD7">
      <w:pPr>
        <w:tabs>
          <w:tab w:val="left" w:pos="990"/>
        </w:tabs>
        <w:spacing w:after="0"/>
        <w:ind w:left="709" w:firstLine="709"/>
        <w:jc w:val="both"/>
        <w:rPr>
          <w:rFonts w:ascii="AvantGarde Bk BT" w:eastAsia="Times New Roman" w:hAnsi="AvantGarde Bk BT" w:cs="Arial"/>
          <w:sz w:val="20"/>
          <w:szCs w:val="20"/>
        </w:rPr>
      </w:pPr>
      <w:r w:rsidRPr="00173322">
        <w:rPr>
          <w:rFonts w:ascii="AvantGarde Bk BT" w:eastAsia="Times New Roman" w:hAnsi="AvantGarde Bk BT" w:cs="Arial"/>
          <w:sz w:val="20"/>
          <w:szCs w:val="20"/>
        </w:rPr>
        <w:t>2018:</w:t>
      </w:r>
    </w:p>
    <w:p w14:paraId="68E4AAA7" w14:textId="324630CA" w:rsidR="00760CD7" w:rsidRPr="00173322" w:rsidRDefault="007D0E58" w:rsidP="00760CD7">
      <w:pPr>
        <w:tabs>
          <w:tab w:val="left" w:pos="990"/>
        </w:tabs>
        <w:spacing w:after="0"/>
        <w:ind w:left="709" w:firstLine="709"/>
        <w:jc w:val="both"/>
        <w:rPr>
          <w:rFonts w:ascii="AvantGarde Bk BT" w:eastAsia="Times New Roman" w:hAnsi="AvantGarde Bk BT" w:cs="Arial"/>
          <w:sz w:val="20"/>
          <w:szCs w:val="20"/>
        </w:rPr>
      </w:pPr>
      <w:hyperlink r:id="rId8" w:history="1">
        <w:r w:rsidR="00760CD7" w:rsidRPr="00173322">
          <w:rPr>
            <w:rFonts w:ascii="AvantGarde Bk BT" w:eastAsia="Times New Roman" w:hAnsi="AvantGarde Bk BT" w:cs="Arial"/>
            <w:sz w:val="20"/>
            <w:szCs w:val="20"/>
          </w:rPr>
          <w:t>http://tamazunchale.gob.mx/wp-content/uploads/2019/02/RELACION-DE-CUENTAS-BANCARIAS-PRODUCTIVAS-Y-ESPECIFICAS.pdf</w:t>
        </w:r>
      </w:hyperlink>
      <w:r w:rsidR="00760CD7" w:rsidRPr="00173322">
        <w:rPr>
          <w:rFonts w:ascii="AvantGarde Bk BT" w:eastAsia="Times New Roman" w:hAnsi="AvantGarde Bk BT" w:cs="Arial"/>
          <w:sz w:val="20"/>
          <w:szCs w:val="20"/>
        </w:rPr>
        <w:t xml:space="preserve"> </w:t>
      </w:r>
    </w:p>
    <w:p w14:paraId="2773AE1F" w14:textId="77777777" w:rsidR="00760CD7" w:rsidRPr="00173322" w:rsidRDefault="00760CD7" w:rsidP="00760CD7">
      <w:pPr>
        <w:tabs>
          <w:tab w:val="left" w:pos="990"/>
        </w:tabs>
        <w:spacing w:after="0"/>
        <w:ind w:left="709" w:firstLine="709"/>
        <w:jc w:val="both"/>
        <w:rPr>
          <w:rFonts w:ascii="AvantGarde Bk BT" w:eastAsia="Times New Roman" w:hAnsi="AvantGarde Bk BT" w:cs="Arial"/>
          <w:sz w:val="20"/>
          <w:szCs w:val="20"/>
        </w:rPr>
      </w:pPr>
      <w:r w:rsidRPr="00173322">
        <w:rPr>
          <w:rFonts w:ascii="AvantGarde Bk BT" w:eastAsia="Times New Roman" w:hAnsi="AvantGarde Bk BT" w:cs="Arial"/>
          <w:sz w:val="20"/>
          <w:szCs w:val="20"/>
        </w:rPr>
        <w:t>2019:</w:t>
      </w:r>
    </w:p>
    <w:p w14:paraId="6AD19AFE" w14:textId="419C60A1" w:rsidR="00EB5F75" w:rsidRPr="00760CD7" w:rsidRDefault="007D0E58" w:rsidP="00760CD7">
      <w:pPr>
        <w:tabs>
          <w:tab w:val="left" w:pos="990"/>
        </w:tabs>
        <w:spacing w:after="0"/>
        <w:ind w:left="709" w:firstLine="709"/>
        <w:jc w:val="both"/>
      </w:pPr>
      <w:hyperlink r:id="rId9" w:history="1">
        <w:r w:rsidR="00760CD7" w:rsidRPr="00173322">
          <w:rPr>
            <w:rFonts w:ascii="AvantGarde Bk BT" w:eastAsia="Times New Roman" w:hAnsi="AvantGarde Bk BT" w:cs="Arial"/>
            <w:sz w:val="20"/>
            <w:szCs w:val="20"/>
          </w:rPr>
          <w:t>http://tamazunchale.gob.mx/wp-content/uploads/2019/05/RELACION-DE-CUENTAS-PRODUCTIVAS.pdf</w:t>
        </w:r>
      </w:hyperlink>
      <w:r w:rsidR="00760CD7" w:rsidRPr="00173322">
        <w:rPr>
          <w:rFonts w:ascii="AvantGarde Bk BT" w:eastAsia="Times New Roman" w:hAnsi="AvantGarde Bk BT" w:cs="Arial"/>
          <w:sz w:val="20"/>
          <w:szCs w:val="20"/>
        </w:rPr>
        <w:t xml:space="preserve"> </w:t>
      </w:r>
      <w:r w:rsidR="00760CD7">
        <w:t>”</w:t>
      </w:r>
    </w:p>
    <w:p w14:paraId="4E61CDA5" w14:textId="22AEC8F5" w:rsidR="00E56A9C" w:rsidRDefault="00E56A9C" w:rsidP="00760CD7">
      <w:pPr>
        <w:pStyle w:val="corte4fondo"/>
        <w:tabs>
          <w:tab w:val="left" w:pos="567"/>
        </w:tabs>
        <w:ind w:firstLine="0"/>
        <w:rPr>
          <w:rFonts w:ascii="AvantGarde Bk BT" w:hAnsi="AvantGarde Bk BT" w:cs="Arial"/>
          <w:sz w:val="24"/>
          <w:szCs w:val="24"/>
        </w:rPr>
      </w:pPr>
    </w:p>
    <w:p w14:paraId="505F0041" w14:textId="61B41FD0" w:rsidR="00946007" w:rsidRPr="00E0750B" w:rsidRDefault="00946007"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1D915B02" w:rsidR="00946007" w:rsidRPr="00173322" w:rsidRDefault="00E56A9C" w:rsidP="00173322">
      <w:pPr>
        <w:tabs>
          <w:tab w:val="left" w:pos="990"/>
        </w:tabs>
        <w:ind w:left="709" w:firstLine="709"/>
        <w:jc w:val="both"/>
        <w:rPr>
          <w:i/>
          <w:sz w:val="20"/>
        </w:rPr>
      </w:pPr>
      <w:r>
        <w:rPr>
          <w:rFonts w:ascii="AvantGarde Bk BT" w:hAnsi="AvantGarde Bk BT" w:cs="Arial"/>
          <w:sz w:val="24"/>
          <w:szCs w:val="24"/>
        </w:rPr>
        <w:t>“</w:t>
      </w:r>
      <w:r w:rsidR="00760CD7" w:rsidRPr="00173322">
        <w:rPr>
          <w:rFonts w:ascii="AvantGarde Bk BT" w:hAnsi="AvantGarde Bk BT" w:cs="Arial"/>
          <w:i/>
          <w:sz w:val="20"/>
          <w:szCs w:val="20"/>
        </w:rPr>
        <w:t xml:space="preserve">AGRAVIO: </w:t>
      </w:r>
      <w:proofErr w:type="gramStart"/>
      <w:r w:rsidR="00760CD7" w:rsidRPr="00173322">
        <w:rPr>
          <w:rFonts w:ascii="AvantGarde Bk BT" w:hAnsi="AvantGarde Bk BT" w:cs="Arial"/>
          <w:i/>
          <w:sz w:val="20"/>
          <w:szCs w:val="20"/>
        </w:rPr>
        <w:t>ÚNICO.-</w:t>
      </w:r>
      <w:proofErr w:type="gramEnd"/>
      <w:r w:rsidR="00760CD7" w:rsidRPr="00173322">
        <w:rPr>
          <w:rFonts w:ascii="AvantGarde Bk BT" w:hAnsi="AvantGarde Bk BT" w:cs="Arial"/>
          <w:i/>
          <w:sz w:val="20"/>
          <w:szCs w:val="20"/>
        </w:rPr>
        <w:t xml:space="preserve"> Al artículo 84 fracción IV de la Ley de Transparencia y Acceso a la Información Pública del Estado de San Luis Potosí, referente a la información que los entes </w:t>
      </w:r>
      <w:r w:rsidR="00760CD7" w:rsidRPr="00173322">
        <w:rPr>
          <w:rFonts w:ascii="AvantGarde Bk BT" w:hAnsi="AvantGarde Bk BT" w:cs="Arial"/>
          <w:i/>
          <w:sz w:val="20"/>
          <w:szCs w:val="20"/>
        </w:rPr>
        <w:lastRenderedPageBreak/>
        <w:t>obligados deben poner a disposición del público, entre ella se hace ref</w:t>
      </w:r>
      <w:r w:rsidR="00BA7ACD" w:rsidRPr="00173322">
        <w:rPr>
          <w:rFonts w:ascii="AvantGarde Bk BT" w:hAnsi="AvantGarde Bk BT" w:cs="Arial"/>
          <w:i/>
          <w:sz w:val="20"/>
          <w:szCs w:val="20"/>
        </w:rPr>
        <w:t xml:space="preserve">erencia a las cuentas bancarias. Es decir, si en la especie el suscrito solicité información de las cuentas bancarias, el ente obligado se encuentra sujeto a entregar de forma completa los números de cuenta a que refiere el artículo en mención sin omitir o entregar a su contentillo de forma parcial la información. En contestación a la petición, refiere que la información solicitada se encuentra consultable en las páginas web bajo los siguientes links </w:t>
      </w:r>
      <w:hyperlink r:id="rId10" w:history="1">
        <w:r w:rsidR="00BA7ACD" w:rsidRPr="00173322">
          <w:rPr>
            <w:rFonts w:ascii="AvantGarde Bk BT" w:hAnsi="AvantGarde Bk BT" w:cs="Arial"/>
            <w:sz w:val="20"/>
            <w:szCs w:val="20"/>
          </w:rPr>
          <w:t>http://tamazunchale.gob.mx/wp-content/uploads/2019/02/RELACION-DE-CUENTAS-BANCARIAS-PRODUCTIVAS-Y-ESPECIFICAS.pdf</w:t>
        </w:r>
      </w:hyperlink>
      <w:r w:rsidR="00BA7ACD" w:rsidRPr="00173322">
        <w:rPr>
          <w:rFonts w:ascii="AvantGarde Bk BT" w:hAnsi="AvantGarde Bk BT" w:cs="Arial"/>
          <w:i/>
          <w:sz w:val="20"/>
          <w:szCs w:val="20"/>
        </w:rPr>
        <w:t xml:space="preserve"> y </w:t>
      </w:r>
      <w:hyperlink r:id="rId11" w:history="1">
        <w:r w:rsidR="00BA7ACD" w:rsidRPr="00173322">
          <w:rPr>
            <w:rFonts w:ascii="AvantGarde Bk BT" w:hAnsi="AvantGarde Bk BT" w:cs="Arial"/>
            <w:sz w:val="20"/>
            <w:szCs w:val="20"/>
          </w:rPr>
          <w:t>http://tamazunchale.gob.mx/wp-content/uploads/2019/05/RELACION-DE-CUENTAS-PRODUCTIVAS.pdf</w:t>
        </w:r>
      </w:hyperlink>
      <w:r w:rsidR="00BA7ACD" w:rsidRPr="00173322">
        <w:rPr>
          <w:rFonts w:ascii="AvantGarde Bk BT" w:hAnsi="AvantGarde Bk BT" w:cs="Arial"/>
          <w:i/>
          <w:sz w:val="20"/>
          <w:szCs w:val="20"/>
        </w:rPr>
        <w:t xml:space="preserve"> , del resultado de dichas páginas se obtiene que relata diversas cuentas, omitiendo los primeros dígitos de cada cuenta bancaria con asteriscos (*), desconociendo el motivo por el cual lo hace el ente obligado. Con esa supresión no se logra lo dispuesto por la fracción IV del artículo 84 de la Ley de Transparencia. Lo anterior se hace de referencia a fin de que quede claro que no se pide una información que no sea acorde a los lineamientos que establece la ley de la materia, aunado a que implícitamente el ente obligado acepta contar con dicha informaci</w:t>
      </w:r>
      <w:r w:rsidR="00B43F3C" w:rsidRPr="00173322">
        <w:rPr>
          <w:rFonts w:ascii="AvantGarde Bk BT" w:hAnsi="AvantGarde Bk BT" w:cs="Arial"/>
          <w:i/>
          <w:sz w:val="20"/>
          <w:szCs w:val="20"/>
        </w:rPr>
        <w:t xml:space="preserve">ón, que no obstante eso, se presume que la omite al pretenderla reservar. Ahora bien, Si bien es cierto, el ente obligado puede considerar cierta información como reservada o confidencial, es por ello que el artículo 129 de la Ley de Transparencia refiere que dicha clasificación solo procede en ciertos casos, dicho ordinal enumera una gama de supuestos, y para ello también se debe motivar y fundar. Por </w:t>
      </w:r>
      <w:r w:rsidR="009C65EF" w:rsidRPr="00173322">
        <w:rPr>
          <w:rFonts w:ascii="AvantGarde Bk BT" w:hAnsi="AvantGarde Bk BT" w:cs="Arial"/>
          <w:i/>
          <w:sz w:val="20"/>
          <w:szCs w:val="20"/>
        </w:rPr>
        <w:t>su</w:t>
      </w:r>
      <w:r w:rsidR="00B43F3C" w:rsidRPr="00173322">
        <w:rPr>
          <w:rFonts w:ascii="AvantGarde Bk BT" w:hAnsi="AvantGarde Bk BT" w:cs="Arial"/>
          <w:i/>
          <w:sz w:val="20"/>
          <w:szCs w:val="20"/>
        </w:rPr>
        <w:t xml:space="preserve"> parte, </w:t>
      </w:r>
      <w:r w:rsidR="009C65EF" w:rsidRPr="00173322">
        <w:rPr>
          <w:rFonts w:ascii="AvantGarde Bk BT" w:hAnsi="AvantGarde Bk BT" w:cs="Arial"/>
          <w:i/>
          <w:sz w:val="20"/>
          <w:szCs w:val="20"/>
        </w:rPr>
        <w:t xml:space="preserve">la contestación del ente obligado que carece de toda legalidad no encontrarse por una parte incompleta y con falta de fundamento y motivo en caso de haber una clasificación de información reservada. No cuenta con los requisitos que establece la ley de la materia, al carecer de elemento básico que debe contener una clasificación como lo es la prueba de daño, acorde a lo que establecen las fracciones XXI y XXIX del artículo 3 de la Ley de Transparencia y Acceso a la Información Pública. El sujeto obligado en su afán de ocultar la información sin contar con motivo alguno, emitió una respuesta al suscrito carente de razones, circunstancias, motivos y fundamentos con los cuales se pueda evidenciar la veracidad de su afirmación, pues si bien es cierto que la ley de la materia, permite a los entes obligados a clasificar determinada información, esto es siempre y cuando exista la prueba de daño a que se refiere el artículo 118 y 122 de la ley de la materia, y dicha resolución que emita el Comité de Transparencia deberá ser notificada al Interesado, misma que en la especie en el presente caso no aconteció, desconociéndose si exista esa supuesta resolución </w:t>
      </w:r>
      <w:r w:rsidR="00193623" w:rsidRPr="00173322">
        <w:rPr>
          <w:rFonts w:ascii="AvantGarde Bk BT" w:hAnsi="AvantGarde Bk BT" w:cs="Arial"/>
          <w:i/>
          <w:sz w:val="20"/>
          <w:szCs w:val="20"/>
        </w:rPr>
        <w:t xml:space="preserve">y si bien de existir, me deja en estado de indefensión al no saber cuáles fueron los argumentos utilizados para clasificar la información como reservada. Clasificación de la información pública como reservada o confidencial, debe justificarse que su divulgación representa un riesgo real, demostrable e </w:t>
      </w:r>
      <w:r w:rsidR="00173322" w:rsidRPr="00173322">
        <w:rPr>
          <w:rFonts w:ascii="AvantGarde Bk BT" w:hAnsi="AvantGarde Bk BT" w:cs="Arial"/>
          <w:i/>
          <w:sz w:val="20"/>
          <w:szCs w:val="20"/>
        </w:rPr>
        <w:t xml:space="preserve">identificable de perjuicio significativo al interés público general de que se difunda; y, que la limitación se adecua al principio de proporcionalidad y representa el medio menos restrictivo disponible para evitar el perjuicio. Por </w:t>
      </w:r>
      <w:proofErr w:type="gramStart"/>
      <w:r w:rsidR="00173322" w:rsidRPr="00173322">
        <w:rPr>
          <w:rFonts w:ascii="AvantGarde Bk BT" w:hAnsi="AvantGarde Bk BT" w:cs="Arial"/>
          <w:i/>
          <w:sz w:val="20"/>
          <w:szCs w:val="20"/>
        </w:rPr>
        <w:t>tanto</w:t>
      </w:r>
      <w:proofErr w:type="gramEnd"/>
      <w:r w:rsidR="00173322" w:rsidRPr="00173322">
        <w:rPr>
          <w:rFonts w:ascii="AvantGarde Bk BT" w:hAnsi="AvantGarde Bk BT" w:cs="Arial"/>
          <w:i/>
          <w:sz w:val="20"/>
          <w:szCs w:val="20"/>
        </w:rPr>
        <w:t xml:space="preserve"> se solicita resuelva de procedente el presente recurso, debiendo coaccionar al ente obligado a proporcionar los números de cuenta bancarias completas sin supresiones ya que es información considerada pública</w:t>
      </w:r>
      <w:r w:rsidR="001F1511" w:rsidRPr="00173322">
        <w:rPr>
          <w:rFonts w:ascii="AvantGarde Bk BT" w:hAnsi="AvantGarde Bk BT" w:cs="Arial"/>
          <w:i/>
          <w:sz w:val="20"/>
          <w:szCs w:val="24"/>
        </w:rPr>
        <w:t>.</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w:t>
      </w:r>
      <w:r w:rsidR="00822A54">
        <w:rPr>
          <w:rFonts w:ascii="AvantGarde Bk BT" w:hAnsi="AvantGarde Bk BT" w:cs="Arial"/>
          <w:b/>
          <w:sz w:val="24"/>
          <w:szCs w:val="24"/>
        </w:rPr>
        <w:t xml:space="preserve">SIC </w:t>
      </w:r>
      <w:r w:rsidR="00946007" w:rsidRPr="0037595A">
        <w:rPr>
          <w:rFonts w:ascii="AvantGarde Bk BT" w:hAnsi="AvantGarde Bk BT" w:cs="Arial"/>
          <w:sz w:val="24"/>
          <w:szCs w:val="24"/>
        </w:rPr>
        <w:t xml:space="preserve">(Visible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7BBE9277" w14:textId="62BA37CC" w:rsidR="00E2583F" w:rsidRDefault="00946007" w:rsidP="00CB35DC">
      <w:pPr>
        <w:pStyle w:val="corte4fondo"/>
        <w:tabs>
          <w:tab w:val="left" w:pos="567"/>
        </w:tabs>
        <w:spacing w:after="240"/>
        <w:ind w:firstLine="680"/>
        <w:rPr>
          <w:rFonts w:ascii="AvantGarde Bk BT" w:hAnsi="AvantGarde Bk BT" w:cs="Arial"/>
          <w:sz w:val="24"/>
          <w:szCs w:val="24"/>
        </w:rPr>
      </w:pPr>
      <w:r w:rsidRPr="00DE6A39">
        <w:rPr>
          <w:rFonts w:ascii="AvantGarde Bk BT" w:hAnsi="AvantGarde Bk BT" w:cs="Arial"/>
          <w:sz w:val="24"/>
          <w:szCs w:val="24"/>
        </w:rPr>
        <w:t xml:space="preserve">Al respecto, en el informe que el sujeto obligado rindió ante este organismo, </w:t>
      </w:r>
      <w:r w:rsidR="00D4006E" w:rsidRPr="00DE6A39">
        <w:rPr>
          <w:rFonts w:ascii="AvantGarde Bk BT" w:hAnsi="AvantGarde Bk BT" w:cs="Arial"/>
          <w:sz w:val="24"/>
          <w:szCs w:val="24"/>
        </w:rPr>
        <w:t xml:space="preserve">y que </w:t>
      </w:r>
      <w:r w:rsidR="00395037" w:rsidRPr="00DE6A39">
        <w:rPr>
          <w:rFonts w:ascii="AvantGarde Bk BT" w:hAnsi="AvantGarde Bk BT" w:cs="Arial"/>
          <w:sz w:val="24"/>
          <w:szCs w:val="24"/>
        </w:rPr>
        <w:t xml:space="preserve">se encuentra </w:t>
      </w:r>
      <w:r w:rsidR="00D603C1">
        <w:rPr>
          <w:rFonts w:ascii="AvantGarde Bk BT" w:hAnsi="AvantGarde Bk BT" w:cs="Arial"/>
          <w:sz w:val="24"/>
          <w:szCs w:val="24"/>
        </w:rPr>
        <w:t xml:space="preserve">visible de foja </w:t>
      </w:r>
      <w:r w:rsidR="00173322">
        <w:rPr>
          <w:rFonts w:ascii="AvantGarde Bk BT" w:hAnsi="AvantGarde Bk BT" w:cs="Arial"/>
          <w:sz w:val="24"/>
          <w:szCs w:val="24"/>
        </w:rPr>
        <w:t>21</w:t>
      </w:r>
      <w:r w:rsidR="00D603C1">
        <w:rPr>
          <w:rFonts w:ascii="AvantGarde Bk BT" w:hAnsi="AvantGarde Bk BT" w:cs="Arial"/>
          <w:sz w:val="24"/>
          <w:szCs w:val="24"/>
        </w:rPr>
        <w:t xml:space="preserve"> a </w:t>
      </w:r>
      <w:r w:rsidR="00173322">
        <w:rPr>
          <w:rFonts w:ascii="AvantGarde Bk BT" w:hAnsi="AvantGarde Bk BT" w:cs="Arial"/>
          <w:sz w:val="24"/>
          <w:szCs w:val="24"/>
        </w:rPr>
        <w:t>40</w:t>
      </w:r>
      <w:r w:rsidR="00C44B12" w:rsidRPr="00DE6A39">
        <w:rPr>
          <w:rFonts w:ascii="AvantGarde Bk BT" w:hAnsi="AvantGarde Bk BT" w:cs="Arial"/>
          <w:sz w:val="24"/>
          <w:szCs w:val="24"/>
        </w:rPr>
        <w:t xml:space="preserve"> de autos</w:t>
      </w:r>
      <w:r w:rsidR="00D4006E" w:rsidRPr="00DE6A39">
        <w:rPr>
          <w:rFonts w:ascii="AvantGarde Bk BT" w:hAnsi="AvantGarde Bk BT" w:cs="Arial"/>
          <w:sz w:val="24"/>
          <w:szCs w:val="24"/>
        </w:rPr>
        <w:t xml:space="preserve">, </w:t>
      </w:r>
      <w:r w:rsidR="00050D73" w:rsidRPr="00DE6A39">
        <w:rPr>
          <w:rFonts w:ascii="AvantGarde Bk BT" w:hAnsi="AvantGarde Bk BT" w:cs="Arial"/>
          <w:sz w:val="24"/>
          <w:szCs w:val="24"/>
        </w:rPr>
        <w:t>reiteró su respuesta</w:t>
      </w:r>
      <w:r w:rsidR="00385B7D">
        <w:rPr>
          <w:rFonts w:ascii="AvantGarde Bk BT" w:hAnsi="AvantGarde Bk BT" w:cs="Arial"/>
          <w:sz w:val="24"/>
          <w:szCs w:val="24"/>
        </w:rPr>
        <w:t xml:space="preserve"> y acompañó copia del acta del Comité de Transparencia que confirma la clasificación como información reservada los números de cuentas </w:t>
      </w:r>
      <w:r w:rsidR="00385B7D" w:rsidRPr="00385B7D">
        <w:rPr>
          <w:rFonts w:ascii="AvantGarde Bk BT" w:hAnsi="AvantGarde Bk BT" w:cs="Arial"/>
          <w:sz w:val="24"/>
          <w:szCs w:val="24"/>
        </w:rPr>
        <w:t>bancarias productivas específicas</w:t>
      </w:r>
      <w:r w:rsidR="00385B7D">
        <w:rPr>
          <w:rFonts w:ascii="AvantGarde Bk BT" w:hAnsi="AvantGarde Bk BT" w:cs="Arial"/>
          <w:sz w:val="24"/>
          <w:szCs w:val="24"/>
        </w:rPr>
        <w:t>.</w:t>
      </w:r>
    </w:p>
    <w:p w14:paraId="41EB23A4" w14:textId="01E8ADF0" w:rsidR="009B651B" w:rsidRDefault="002F24D0" w:rsidP="001555B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sidR="00D603C1">
        <w:rPr>
          <w:rFonts w:ascii="AvantGarde Bk BT" w:hAnsi="AvantGarde Bk BT" w:cs="Arial"/>
          <w:sz w:val="24"/>
          <w:szCs w:val="24"/>
        </w:rPr>
        <w:t xml:space="preserve">operantes </w:t>
      </w:r>
      <w:r w:rsidR="00385B7D">
        <w:rPr>
          <w:rFonts w:ascii="AvantGarde Bk BT" w:hAnsi="AvantGarde Bk BT" w:cs="Arial"/>
          <w:sz w:val="24"/>
          <w:szCs w:val="24"/>
        </w:rPr>
        <w:t xml:space="preserve">en razón de las siguientes consideraciones; </w:t>
      </w:r>
    </w:p>
    <w:p w14:paraId="5F8483A8" w14:textId="77777777" w:rsidR="002F4CEB" w:rsidRDefault="002F4CEB" w:rsidP="002F4CE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B0ED17B" w14:textId="77777777" w:rsidR="006E301F" w:rsidRDefault="006E301F" w:rsidP="006E301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entes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428737F5" w14:textId="77777777" w:rsidR="006E301F" w:rsidRDefault="006E301F" w:rsidP="006E301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587A931C" w14:textId="77777777" w:rsidR="006E301F" w:rsidRDefault="006E301F" w:rsidP="006E301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02/17. Congruencia y </w:t>
      </w:r>
      <w:proofErr w:type="gramStart"/>
      <w:r w:rsidRPr="00B96B2A">
        <w:rPr>
          <w:rFonts w:ascii="AvantGarde Bk BT" w:hAnsi="AvantGarde Bk BT" w:cs="Arial"/>
          <w:b/>
          <w:i/>
          <w:sz w:val="20"/>
          <w:szCs w:val="24"/>
        </w:rPr>
        <w:t>exhaustividad.-</w:t>
      </w:r>
      <w:proofErr w:type="gramEnd"/>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w:t>
      </w:r>
      <w:r w:rsidRPr="00B96B2A">
        <w:rPr>
          <w:rFonts w:ascii="AvantGarde Bk BT" w:hAnsi="AvantGarde Bk BT" w:cs="Arial"/>
          <w:i/>
          <w:sz w:val="20"/>
          <w:szCs w:val="24"/>
        </w:rPr>
        <w:lastRenderedPageBreak/>
        <w:t xml:space="preserve">congruencia y exhaustividad. </w:t>
      </w:r>
      <w:r w:rsidRPr="00B96B2A">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716A8298" w14:textId="77777777" w:rsidR="006E301F" w:rsidRPr="00E638C1" w:rsidRDefault="006E301F" w:rsidP="006E301F">
      <w:pPr>
        <w:pStyle w:val="corte4fondo"/>
        <w:tabs>
          <w:tab w:val="left" w:pos="567"/>
        </w:tabs>
        <w:spacing w:after="240"/>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por lo que, el estudio minucioso al que se hizo referencia con anterioridad, deberá estar fundado y motivado,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1E20F0DD" w14:textId="77777777" w:rsidR="006E301F" w:rsidRPr="00B96B2A" w:rsidRDefault="006E301F" w:rsidP="006E301F">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B96B2A">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B96B2A">
        <w:rPr>
          <w:rFonts w:ascii="AvantGarde Bk BT" w:hAnsi="AvantGarde Bk BT" w:cs="Arial"/>
          <w:i/>
          <w:color w:val="000000" w:themeColor="text1"/>
          <w:sz w:val="20"/>
        </w:rPr>
        <w:t>Noviembre</w:t>
      </w:r>
      <w:proofErr w:type="gramEnd"/>
      <w:r w:rsidRPr="00B96B2A">
        <w:rPr>
          <w:rFonts w:ascii="AvantGarde Bk BT" w:hAnsi="AvantGarde Bk BT" w:cs="Arial"/>
          <w:i/>
          <w:color w:val="000000" w:themeColor="text1"/>
          <w:sz w:val="20"/>
        </w:rPr>
        <w:t xml:space="preserve"> de 1994, Pág. 450.</w:t>
      </w:r>
    </w:p>
    <w:p w14:paraId="70C51AA2" w14:textId="77777777" w:rsidR="006E301F" w:rsidRPr="00CF6C45" w:rsidRDefault="006E301F" w:rsidP="006E301F">
      <w:pPr>
        <w:pStyle w:val="corte4fondo"/>
        <w:spacing w:after="240"/>
        <w:rPr>
          <w:rFonts w:ascii="AvantGarde Bk BT" w:hAnsi="AvantGarde Bk BT" w:cs="Arial"/>
          <w:i/>
          <w:color w:val="000000" w:themeColor="text1"/>
          <w:sz w:val="24"/>
        </w:rPr>
      </w:pPr>
      <w:r w:rsidRPr="00B96B2A">
        <w:rPr>
          <w:rFonts w:ascii="AvantGarde Bk BT" w:hAnsi="AvantGarde Bk BT" w:cs="Arial"/>
          <w:b/>
          <w:i/>
          <w:color w:val="000000" w:themeColor="text1"/>
          <w:sz w:val="20"/>
        </w:rPr>
        <w:t>Fundamentación y motivación, concepto de.-</w:t>
      </w:r>
      <w:r w:rsidRPr="00B96B2A">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549BBC93" w14:textId="77777777" w:rsidR="006E301F" w:rsidRPr="003F0818" w:rsidRDefault="006E301F" w:rsidP="006E301F">
      <w:pPr>
        <w:pStyle w:val="corte4fondo"/>
        <w:tabs>
          <w:tab w:val="left" w:pos="567"/>
        </w:tabs>
        <w:spacing w:after="240"/>
        <w:ind w:firstLine="680"/>
        <w:rPr>
          <w:rFonts w:ascii="AvantGarde Bk BT" w:hAnsi="AvantGarde Bk BT" w:cs="Arial"/>
          <w:sz w:val="24"/>
          <w:szCs w:val="24"/>
        </w:rPr>
      </w:pPr>
      <w:r w:rsidRPr="003F0818">
        <w:rPr>
          <w:rFonts w:ascii="AvantGarde Bk BT" w:hAnsi="AvantGarde Bk BT" w:cs="Arial"/>
          <w:sz w:val="24"/>
          <w:szCs w:val="24"/>
        </w:rPr>
        <w:t xml:space="preserve">Asimismo, el artículo 152 de la ley de la materia prevé que en el supuesto de que la información ya obre en medios impresos como libros, compendios, trípticos, registros públicos, en formatos electrónicos disponibles en Internet o en cualquier otro medio, se deberá privilegiar la entrega de dicha información y el sujeto obligado está </w:t>
      </w:r>
      <w:r w:rsidRPr="003F0818">
        <w:rPr>
          <w:rFonts w:ascii="AvantGarde Bk BT" w:hAnsi="AvantGarde Bk BT" w:cs="Arial"/>
          <w:sz w:val="24"/>
          <w:szCs w:val="24"/>
        </w:rPr>
        <w:lastRenderedPageBreak/>
        <w:t>constreñido a señalar el lugar en que se encuentre la información o proporcionar las instrucciones necesaria para que el peticionario pueda consultar la información</w:t>
      </w:r>
      <w:r w:rsidRPr="003F0818">
        <w:rPr>
          <w:rStyle w:val="Refdenotaalpie"/>
          <w:rFonts w:ascii="AvantGarde Bk BT" w:hAnsi="AvantGarde Bk BT" w:cs="Arial"/>
          <w:sz w:val="24"/>
          <w:szCs w:val="24"/>
        </w:rPr>
        <w:footnoteReference w:id="3"/>
      </w:r>
      <w:r w:rsidRPr="003F0818">
        <w:rPr>
          <w:rFonts w:ascii="AvantGarde Bk BT" w:hAnsi="AvantGarde Bk BT" w:cs="Arial"/>
          <w:sz w:val="24"/>
          <w:szCs w:val="24"/>
        </w:rPr>
        <w:t>.</w:t>
      </w:r>
    </w:p>
    <w:p w14:paraId="759E39D4" w14:textId="2855B5F2" w:rsidR="006E301F" w:rsidRPr="003F0818" w:rsidRDefault="006E301F" w:rsidP="006E301F">
      <w:pPr>
        <w:pStyle w:val="corte4fondo"/>
        <w:tabs>
          <w:tab w:val="left" w:pos="567"/>
        </w:tabs>
        <w:spacing w:after="240"/>
        <w:ind w:firstLine="680"/>
        <w:rPr>
          <w:rFonts w:ascii="AvantGarde Bk BT" w:hAnsi="AvantGarde Bk BT" w:cs="Arial"/>
          <w:sz w:val="24"/>
          <w:szCs w:val="24"/>
        </w:rPr>
      </w:pPr>
      <w:r w:rsidRPr="003F0818">
        <w:rPr>
          <w:rFonts w:ascii="AvantGarde Bk BT" w:hAnsi="AvantGarde Bk BT" w:cs="Arial"/>
          <w:sz w:val="24"/>
          <w:szCs w:val="24"/>
        </w:rPr>
        <w:t xml:space="preserve">Así, es evidente que en el caso concreto la información solicitada por el particular es de la considerada como pública de oficio, pues se encuentra contenida dentro del catálogo de las obligaciones </w:t>
      </w:r>
      <w:r>
        <w:rPr>
          <w:rFonts w:ascii="AvantGarde Bk BT" w:hAnsi="AvantGarde Bk BT" w:cs="Arial"/>
          <w:sz w:val="24"/>
          <w:szCs w:val="24"/>
        </w:rPr>
        <w:t>comunes</w:t>
      </w:r>
      <w:r w:rsidRPr="003F0818">
        <w:rPr>
          <w:rFonts w:ascii="AvantGarde Bk BT" w:hAnsi="AvantGarde Bk BT" w:cs="Arial"/>
          <w:sz w:val="24"/>
          <w:szCs w:val="24"/>
        </w:rPr>
        <w:t xml:space="preserve"> de transparencia previst</w:t>
      </w:r>
      <w:r>
        <w:rPr>
          <w:rFonts w:ascii="AvantGarde Bk BT" w:hAnsi="AvantGarde Bk BT" w:cs="Arial"/>
          <w:sz w:val="24"/>
          <w:szCs w:val="24"/>
        </w:rPr>
        <w:t xml:space="preserve">as por el artículo 84, Fracción IV </w:t>
      </w:r>
      <w:r w:rsidRPr="003F0818">
        <w:rPr>
          <w:rFonts w:ascii="AvantGarde Bk BT" w:hAnsi="AvantGarde Bk BT" w:cs="Arial"/>
          <w:sz w:val="24"/>
          <w:szCs w:val="24"/>
        </w:rPr>
        <w:t>de la ley de transparencia</w:t>
      </w:r>
      <w:r w:rsidRPr="003F0818">
        <w:rPr>
          <w:rStyle w:val="Refdenotaalpie"/>
          <w:rFonts w:ascii="AvantGarde Bk BT" w:hAnsi="AvantGarde Bk BT" w:cs="Arial"/>
          <w:sz w:val="24"/>
          <w:szCs w:val="24"/>
        </w:rPr>
        <w:footnoteReference w:id="4"/>
      </w:r>
      <w:r w:rsidRPr="003F0818">
        <w:rPr>
          <w:rFonts w:ascii="AvantGarde Bk BT" w:hAnsi="AvantGarde Bk BT" w:cs="Arial"/>
          <w:sz w:val="24"/>
          <w:szCs w:val="24"/>
        </w:rPr>
        <w:t>.</w:t>
      </w:r>
    </w:p>
    <w:p w14:paraId="521D5F78" w14:textId="5ADA9DE9" w:rsidR="006E301F" w:rsidRDefault="006E301F" w:rsidP="006E301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Derivado de lo anterior, se puede colegir que la respuesta otorgada por el sujeto obligado es errónea, pues debió privilegiar la entrega de la información cargada en la Plataforma Estatal de Transparencia (PETS) relativos al artículo 84, Fracción IV de la ley de la materia.</w:t>
      </w:r>
    </w:p>
    <w:p w14:paraId="35A09412" w14:textId="5854012E" w:rsidR="006E301F" w:rsidRPr="006E301F" w:rsidRDefault="006E301F" w:rsidP="006E301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Ahora bien, es menester precisar que al tratarse de información que debe ser pública de oficio, es evidente que el sujeto obligado no puede reservar la información que la propia ley señala que es pública.</w:t>
      </w:r>
    </w:p>
    <w:p w14:paraId="596E020E" w14:textId="285A9205" w:rsidR="002F4CEB" w:rsidRPr="00201693" w:rsidRDefault="002F4CEB" w:rsidP="002F4CE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estima pertinente puntualizar que los sujetos obligados </w:t>
      </w:r>
      <w:r>
        <w:rPr>
          <w:rFonts w:ascii="AvantGarde Bk BT" w:hAnsi="AvantGarde Bk BT" w:cs="Arial"/>
          <w:color w:val="000000" w:themeColor="text1"/>
          <w:sz w:val="24"/>
          <w:szCs w:val="24"/>
        </w:rPr>
        <w:t>deben</w:t>
      </w:r>
      <w:r w:rsidRPr="00CB2002">
        <w:rPr>
          <w:rFonts w:ascii="AvantGarde Bk BT" w:hAnsi="AvantGarde Bk BT" w:cs="Arial"/>
          <w:color w:val="000000" w:themeColor="text1"/>
          <w:sz w:val="24"/>
          <w:szCs w:val="24"/>
        </w:rPr>
        <w:t xml:space="preserve">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5"/>
      </w:r>
      <w:r w:rsidRPr="00CB2002">
        <w:rPr>
          <w:rFonts w:ascii="AvantGarde Bk BT" w:hAnsi="AvantGarde Bk BT" w:cs="Arial"/>
          <w:color w:val="000000" w:themeColor="text1"/>
          <w:sz w:val="24"/>
          <w:szCs w:val="24"/>
        </w:rPr>
        <w:t>.</w:t>
      </w:r>
      <w:r>
        <w:rPr>
          <w:rFonts w:ascii="AvantGarde Bk BT" w:hAnsi="AvantGarde Bk BT" w:cs="Arial"/>
          <w:sz w:val="24"/>
          <w:szCs w:val="24"/>
        </w:rPr>
        <w:t xml:space="preserve"> </w:t>
      </w:r>
    </w:p>
    <w:p w14:paraId="1666F017" w14:textId="77777777" w:rsidR="009874DC" w:rsidRPr="00873D15" w:rsidRDefault="009874DC" w:rsidP="009874D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06155D1A" w14:textId="7F54ED2A" w:rsidR="009874DC" w:rsidRDefault="009874DC" w:rsidP="009874DC">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CF0AF6">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7CA17181" w14:textId="4BF8259F" w:rsidR="009874DC" w:rsidRDefault="006E301F" w:rsidP="006E301F">
      <w:pPr>
        <w:pStyle w:val="corte4fondo"/>
        <w:numPr>
          <w:ilvl w:val="3"/>
          <w:numId w:val="4"/>
        </w:numPr>
        <w:tabs>
          <w:tab w:val="left" w:pos="567"/>
        </w:tabs>
        <w:spacing w:after="240"/>
        <w:ind w:left="993" w:hanging="284"/>
        <w:rPr>
          <w:rFonts w:ascii="AvantGarde Bk BT" w:hAnsi="AvantGarde Bk BT" w:cs="Arial"/>
          <w:color w:val="000000" w:themeColor="text1"/>
          <w:sz w:val="24"/>
          <w:szCs w:val="24"/>
        </w:rPr>
      </w:pPr>
      <w:r>
        <w:rPr>
          <w:rFonts w:ascii="AvantGarde Bk BT" w:hAnsi="AvantGarde Bk BT" w:cs="Arial"/>
          <w:color w:val="000000" w:themeColor="text1"/>
          <w:sz w:val="24"/>
          <w:szCs w:val="24"/>
        </w:rPr>
        <w:t>Deje insubsistente el acuerdo de reserva CTHAMT-002/2018-2021 y entregue al peticionario</w:t>
      </w:r>
      <w:r w:rsidR="00D15DBA" w:rsidRPr="00D15DBA">
        <w:rPr>
          <w:rFonts w:ascii="AvantGarde Bk BT" w:eastAsiaTheme="minorEastAsia" w:hAnsi="AvantGarde Bk BT" w:cs="Arial"/>
          <w:sz w:val="20"/>
          <w:szCs w:val="24"/>
        </w:rPr>
        <w:t xml:space="preserve"> </w:t>
      </w:r>
      <w:r w:rsidR="00D15DBA" w:rsidRPr="00D15DBA">
        <w:rPr>
          <w:rFonts w:ascii="AvantGarde Bk BT" w:hAnsi="AvantGarde Bk BT" w:cs="Arial"/>
          <w:color w:val="000000" w:themeColor="text1"/>
          <w:sz w:val="24"/>
          <w:szCs w:val="24"/>
        </w:rPr>
        <w:t xml:space="preserve">la relación de las cuentas bancarias productivas específicas que se presentan en la cuenta pública 2018 </w:t>
      </w:r>
      <w:r w:rsidR="00D15DBA">
        <w:rPr>
          <w:rFonts w:ascii="AvantGarde Bk BT" w:hAnsi="AvantGarde Bk BT" w:cs="Arial"/>
          <w:color w:val="000000" w:themeColor="text1"/>
          <w:sz w:val="24"/>
          <w:szCs w:val="24"/>
        </w:rPr>
        <w:t xml:space="preserve">dos mil dieciocho </w:t>
      </w:r>
      <w:r w:rsidR="00D15DBA" w:rsidRPr="00D15DBA">
        <w:rPr>
          <w:rFonts w:ascii="AvantGarde Bk BT" w:hAnsi="AvantGarde Bk BT" w:cs="Arial"/>
          <w:color w:val="000000" w:themeColor="text1"/>
          <w:sz w:val="24"/>
          <w:szCs w:val="24"/>
        </w:rPr>
        <w:t>y 2019</w:t>
      </w:r>
      <w:r>
        <w:rPr>
          <w:rFonts w:ascii="AvantGarde Bk BT" w:hAnsi="AvantGarde Bk BT" w:cs="Arial"/>
          <w:color w:val="000000" w:themeColor="text1"/>
          <w:sz w:val="24"/>
          <w:szCs w:val="24"/>
        </w:rPr>
        <w:t xml:space="preserve"> </w:t>
      </w:r>
      <w:r w:rsidR="00D15DBA">
        <w:rPr>
          <w:rFonts w:ascii="AvantGarde Bk BT" w:hAnsi="AvantGarde Bk BT" w:cs="Arial"/>
          <w:color w:val="000000" w:themeColor="text1"/>
          <w:sz w:val="24"/>
          <w:szCs w:val="24"/>
        </w:rPr>
        <w:t>dos mil diecinueve</w:t>
      </w:r>
      <w:r w:rsidR="00223F9B" w:rsidRPr="00223F9B">
        <w:rPr>
          <w:rFonts w:ascii="AvantGarde Bk BT" w:hAnsi="AvantGarde Bk BT" w:cs="Arial"/>
          <w:color w:val="000000" w:themeColor="text1"/>
          <w:sz w:val="24"/>
          <w:szCs w:val="24"/>
        </w:rPr>
        <w:t>.</w:t>
      </w:r>
    </w:p>
    <w:p w14:paraId="6872A0A6" w14:textId="103F9C38"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2F82E1A0"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D15DBA">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lastRenderedPageBreak/>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CB35D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52D48178"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B35DC">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725FA765" w14:textId="4C08BBB0" w:rsidR="00D603C1" w:rsidRDefault="00D603C1" w:rsidP="00D603C1">
      <w:pPr>
        <w:pStyle w:val="corte4fondo"/>
        <w:tabs>
          <w:tab w:val="left" w:pos="567"/>
        </w:tabs>
        <w:spacing w:after="240"/>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w:t>
      </w:r>
      <w:r w:rsidRPr="007E3491">
        <w:rPr>
          <w:rFonts w:ascii="AvantGarde Bk BT" w:hAnsi="AvantGarde Bk BT"/>
          <w:color w:val="000000" w:themeColor="text1"/>
          <w:sz w:val="24"/>
          <w:szCs w:val="24"/>
        </w:rPr>
        <w:t xml:space="preserve">Sesión </w:t>
      </w:r>
      <w:r>
        <w:rPr>
          <w:rFonts w:ascii="AvantGarde Bk BT" w:hAnsi="AvantGarde Bk BT"/>
          <w:color w:val="000000" w:themeColor="text1"/>
          <w:sz w:val="24"/>
          <w:szCs w:val="24"/>
        </w:rPr>
        <w:t>O</w:t>
      </w:r>
      <w:r w:rsidRPr="007E3491">
        <w:rPr>
          <w:rFonts w:ascii="AvantGarde Bk BT" w:hAnsi="AvantGarde Bk BT"/>
          <w:color w:val="000000" w:themeColor="text1"/>
          <w:sz w:val="24"/>
          <w:szCs w:val="24"/>
        </w:rPr>
        <w:t>rdinaria de Consejo</w:t>
      </w:r>
      <w:r>
        <w:rPr>
          <w:rFonts w:ascii="AvantGarde Bk BT" w:hAnsi="AvantGarde Bk BT"/>
          <w:color w:val="000000" w:themeColor="text1"/>
          <w:sz w:val="24"/>
          <w:szCs w:val="24"/>
        </w:rPr>
        <w:t xml:space="preserve"> el 05 cinco de septiembre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Doctor José Martín Vázquez </w:t>
      </w:r>
      <w:proofErr w:type="spellStart"/>
      <w:r w:rsidRPr="004A0C7D">
        <w:rPr>
          <w:rFonts w:ascii="AvantGarde Bk BT" w:hAnsi="AvantGarde Bk BT" w:cs="Arial"/>
          <w:color w:val="000000" w:themeColor="text1"/>
          <w:sz w:val="24"/>
          <w:szCs w:val="24"/>
        </w:rPr>
        <w:t>Vázquez</w:t>
      </w:r>
      <w:proofErr w:type="spellEnd"/>
      <w:r w:rsidRPr="004A0C7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en cumplimiento al  acuerdo de Pleno CEGAIP-1328/2019.S.E y en ausencia de la Licenciada Paulina Sánchez Pérez del Pozo, Comisionada Numeraria, 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 xml:space="preserve">siendo ponente el </w:t>
      </w:r>
      <w:r w:rsidRPr="004A0C7D">
        <w:rPr>
          <w:rFonts w:ascii="AvantGarde Bk BT" w:hAnsi="AvantGarde Bk BT" w:cs="Arial"/>
          <w:b/>
          <w:bCs/>
          <w:color w:val="000000" w:themeColor="text1"/>
          <w:sz w:val="24"/>
          <w:szCs w:val="24"/>
        </w:rPr>
        <w:lastRenderedPageBreak/>
        <w:t>primero de los nombrados</w:t>
      </w:r>
      <w:r w:rsidRPr="004A0C7D">
        <w:rPr>
          <w:rFonts w:ascii="AvantGarde Bk BT" w:hAnsi="AvantGarde Bk BT" w:cs="Arial"/>
          <w:color w:val="000000" w:themeColor="text1"/>
          <w:sz w:val="24"/>
          <w:szCs w:val="24"/>
        </w:rPr>
        <w:t xml:space="preserve">, quienes firman con Óscar Villalpando </w:t>
      </w:r>
      <w:proofErr w:type="spellStart"/>
      <w:r w:rsidRPr="004A0C7D">
        <w:rPr>
          <w:rFonts w:ascii="AvantGarde Bk BT" w:hAnsi="AvantGarde Bk BT" w:cs="Arial"/>
          <w:color w:val="000000" w:themeColor="text1"/>
          <w:sz w:val="24"/>
          <w:szCs w:val="24"/>
        </w:rPr>
        <w:t>Devo</w:t>
      </w:r>
      <w:proofErr w:type="spellEnd"/>
      <w:r w:rsidRPr="004A0C7D">
        <w:rPr>
          <w:rFonts w:ascii="AvantGarde Bk BT" w:hAnsi="AvantGarde Bk BT" w:cs="Arial"/>
          <w:color w:val="000000" w:themeColor="text1"/>
          <w:sz w:val="24"/>
          <w:szCs w:val="24"/>
        </w:rPr>
        <w:t>, Director Jurídico quien en cumplimiento al acuerdo de Pleno CEGAIP-1375/2019.S.E. y en ausencia de la Licenciada Rosa María Motilla García, Secretaria de Pleno de este Órgano Garante, da fe.</w:t>
      </w:r>
    </w:p>
    <w:p w14:paraId="06153452" w14:textId="77777777" w:rsidR="00D603C1" w:rsidRDefault="00D603C1" w:rsidP="00D603C1">
      <w:pPr>
        <w:pStyle w:val="corte4fondo"/>
        <w:tabs>
          <w:tab w:val="left" w:pos="567"/>
        </w:tabs>
        <w:spacing w:after="240"/>
        <w:rPr>
          <w:rFonts w:ascii="AvantGarde Bk BT" w:hAnsi="AvantGarde Bk BT"/>
          <w:color w:val="000000" w:themeColor="text1"/>
          <w:sz w:val="24"/>
          <w:szCs w:val="24"/>
        </w:rPr>
      </w:pPr>
    </w:p>
    <w:p w14:paraId="5AA5CBCB" w14:textId="77777777" w:rsidR="00D603C1" w:rsidRPr="003358EE" w:rsidRDefault="00D603C1" w:rsidP="00D603C1">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COMISIONADO PRESIDENTE                                      </w:t>
      </w:r>
      <w:r>
        <w:rPr>
          <w:rFonts w:ascii="AvantGarde Bk BT" w:hAnsi="AvantGarde Bk BT" w:cs="Arial"/>
          <w:b/>
          <w:color w:val="000000" w:themeColor="text1"/>
          <w:lang w:val="es-MX"/>
        </w:rPr>
        <w:t>COMISIONADO</w:t>
      </w:r>
      <w:r w:rsidRPr="003358EE">
        <w:rPr>
          <w:rFonts w:ascii="AvantGarde Bk BT" w:hAnsi="AvantGarde Bk BT" w:cs="Arial"/>
          <w:b/>
          <w:color w:val="000000" w:themeColor="text1"/>
          <w:lang w:val="es-MX"/>
        </w:rPr>
        <w:t xml:space="preserve"> </w:t>
      </w:r>
    </w:p>
    <w:p w14:paraId="25881F90" w14:textId="77777777" w:rsidR="00D603C1" w:rsidRPr="003358EE" w:rsidRDefault="00D603C1" w:rsidP="00D603C1">
      <w:pPr>
        <w:pStyle w:val="NormalWeb"/>
        <w:jc w:val="both"/>
        <w:rPr>
          <w:rFonts w:ascii="AvantGarde Bk BT" w:hAnsi="AvantGarde Bk BT" w:cs="Arial"/>
          <w:b/>
          <w:color w:val="000000" w:themeColor="text1"/>
          <w:lang w:val="es-MX"/>
        </w:rPr>
      </w:pPr>
    </w:p>
    <w:p w14:paraId="722F919B" w14:textId="77777777" w:rsidR="00D603C1" w:rsidRDefault="00D603C1" w:rsidP="00D603C1">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Pr>
          <w:rFonts w:ascii="AvantGarde Bk BT" w:hAnsi="AvantGarde Bk BT" w:cs="Arial"/>
          <w:b/>
          <w:color w:val="000000" w:themeColor="text1"/>
          <w:lang w:val="es-MX"/>
        </w:rPr>
        <w:t>DR</w:t>
      </w:r>
      <w:r w:rsidRPr="003358EE">
        <w:rPr>
          <w:rFonts w:ascii="AvantGarde Bk BT" w:hAnsi="AvantGarde Bk BT" w:cs="Arial"/>
          <w:b/>
          <w:color w:val="000000" w:themeColor="text1"/>
          <w:lang w:val="es-MX"/>
        </w:rPr>
        <w:t xml:space="preserve">. </w:t>
      </w:r>
      <w:r w:rsidRPr="004A0C7D">
        <w:rPr>
          <w:rFonts w:ascii="AvantGarde Bk BT" w:hAnsi="AvantGarde Bk BT" w:cs="Arial"/>
          <w:b/>
          <w:color w:val="000000" w:themeColor="text1"/>
          <w:lang w:val="es-MX"/>
        </w:rPr>
        <w:t xml:space="preserve">JOSÉ MARTÍN VÁZQUEZ </w:t>
      </w:r>
      <w:proofErr w:type="spellStart"/>
      <w:r w:rsidRPr="004A0C7D">
        <w:rPr>
          <w:rFonts w:ascii="AvantGarde Bk BT" w:hAnsi="AvantGarde Bk BT" w:cs="Arial"/>
          <w:b/>
          <w:color w:val="000000" w:themeColor="text1"/>
          <w:lang w:val="es-MX"/>
        </w:rPr>
        <w:t>VÁZQUEZ</w:t>
      </w:r>
      <w:proofErr w:type="spellEnd"/>
      <w:r w:rsidRPr="003358EE">
        <w:rPr>
          <w:rFonts w:ascii="AvantGarde Bk BT" w:hAnsi="AvantGarde Bk BT" w:cs="Arial"/>
          <w:b/>
          <w:color w:val="000000" w:themeColor="text1"/>
          <w:lang w:val="es-MX"/>
        </w:rPr>
        <w:t>.</w:t>
      </w:r>
    </w:p>
    <w:p w14:paraId="485D4B9A" w14:textId="7EF9D1F8" w:rsidR="00D603C1" w:rsidRPr="003358EE" w:rsidRDefault="00D603C1" w:rsidP="00D603C1">
      <w:pPr>
        <w:pStyle w:val="NormalWeb"/>
        <w:jc w:val="center"/>
        <w:rPr>
          <w:rFonts w:ascii="AvantGarde Bk BT" w:hAnsi="AvantGarde Bk BT" w:cs="Arial"/>
          <w:b/>
          <w:color w:val="000000" w:themeColor="text1"/>
          <w:lang w:val="es-MX"/>
        </w:rPr>
      </w:pPr>
    </w:p>
    <w:p w14:paraId="3E2A23DE" w14:textId="77777777" w:rsidR="00D603C1" w:rsidRPr="003358EE" w:rsidRDefault="00D603C1" w:rsidP="00D603C1">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DIRECTOR JURÍDICO</w:t>
      </w:r>
    </w:p>
    <w:p w14:paraId="71AEDC14" w14:textId="77777777" w:rsidR="00D603C1" w:rsidRPr="003358EE" w:rsidRDefault="00D603C1" w:rsidP="00D603C1">
      <w:pPr>
        <w:pStyle w:val="NormalWeb"/>
        <w:rPr>
          <w:rFonts w:ascii="AvantGarde Bk BT" w:hAnsi="AvantGarde Bk BT" w:cs="Arial"/>
          <w:b/>
          <w:color w:val="000000" w:themeColor="text1"/>
          <w:lang w:val="es-MX"/>
        </w:rPr>
      </w:pPr>
    </w:p>
    <w:p w14:paraId="5C3DE2B3" w14:textId="77777777" w:rsidR="00D603C1" w:rsidRPr="003358EE" w:rsidRDefault="00D603C1" w:rsidP="00D603C1">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4A0C7D">
        <w:rPr>
          <w:rFonts w:ascii="AvantGarde Bk BT" w:hAnsi="AvantGarde Bk BT" w:cs="Arial"/>
          <w:b/>
          <w:bCs/>
          <w:color w:val="000000" w:themeColor="text1"/>
          <w:lang w:val="es-MX"/>
        </w:rPr>
        <w:t>ÓSCAR VILLALPANDO DEVO</w:t>
      </w:r>
      <w:r w:rsidRPr="003358EE">
        <w:rPr>
          <w:rFonts w:ascii="AvantGarde Bk BT" w:hAnsi="AvantGarde Bk BT" w:cs="Arial"/>
          <w:b/>
          <w:color w:val="000000" w:themeColor="text1"/>
          <w:lang w:val="es-MX"/>
        </w:rPr>
        <w:t>.</w:t>
      </w:r>
    </w:p>
    <w:p w14:paraId="4D2EDB8C" w14:textId="77777777" w:rsidR="00D603C1" w:rsidRPr="001314EC" w:rsidRDefault="00D603C1" w:rsidP="00D603C1">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19A960A1" w14:textId="006B9457" w:rsidR="00D603C1" w:rsidRPr="004C15C0" w:rsidRDefault="00D603C1" w:rsidP="00D603C1">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05 cinco de septiembre de 2019 dos mil diecinueve, dentro de los autos del recurso de revisión RR-</w:t>
      </w:r>
      <w:r w:rsidR="00D15DBA">
        <w:rPr>
          <w:rFonts w:ascii="AvantGarde Bk BT" w:hAnsi="AvantGarde Bk BT" w:cs="Arial"/>
          <w:color w:val="000000" w:themeColor="text1"/>
          <w:sz w:val="14"/>
          <w:szCs w:val="14"/>
        </w:rPr>
        <w:t>1069</w:t>
      </w:r>
      <w:r>
        <w:rPr>
          <w:rFonts w:ascii="AvantGarde Bk BT" w:hAnsi="AvantGarde Bk BT" w:cs="Arial"/>
          <w:color w:val="000000" w:themeColor="text1"/>
          <w:sz w:val="14"/>
          <w:szCs w:val="14"/>
        </w:rPr>
        <w:t>/2018-1</w:t>
      </w:r>
      <w:r w:rsidR="00D15DBA">
        <w:rPr>
          <w:rFonts w:ascii="AvantGarde Bk BT" w:hAnsi="AvantGarde Bk BT" w:cs="Arial"/>
          <w:color w:val="000000" w:themeColor="text1"/>
          <w:sz w:val="14"/>
          <w:szCs w:val="14"/>
        </w:rPr>
        <w:t xml:space="preserve"> SIGEMI</w:t>
      </w:r>
      <w:r>
        <w:rPr>
          <w:rFonts w:ascii="AvantGarde Bk BT" w:hAnsi="AvantGarde Bk BT" w:cs="Arial"/>
          <w:color w:val="000000" w:themeColor="text1"/>
          <w:sz w:val="14"/>
          <w:szCs w:val="14"/>
        </w:rPr>
        <w:t>.)</w:t>
      </w:r>
    </w:p>
    <w:p w14:paraId="0D4DF0CB" w14:textId="2DEA3184" w:rsidR="00946007" w:rsidRPr="00E63940" w:rsidRDefault="00946007" w:rsidP="00863555">
      <w:pPr>
        <w:pStyle w:val="corte4fondo"/>
        <w:tabs>
          <w:tab w:val="left" w:pos="567"/>
        </w:tabs>
        <w:spacing w:after="240"/>
        <w:rPr>
          <w:rFonts w:ascii="AvantGarde Bk BT" w:hAnsi="AvantGarde Bk BT" w:cs="Arial"/>
          <w:color w:val="000000" w:themeColor="text1"/>
          <w:sz w:val="14"/>
          <w:szCs w:val="14"/>
        </w:rPr>
      </w:pPr>
    </w:p>
    <w:sectPr w:rsidR="00946007" w:rsidRPr="00E63940"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D86013" w14:textId="77777777" w:rsidR="007D0E58" w:rsidRDefault="007D0E58">
      <w:pPr>
        <w:spacing w:after="0" w:line="240" w:lineRule="auto"/>
      </w:pPr>
      <w:r>
        <w:separator/>
      </w:r>
    </w:p>
  </w:endnote>
  <w:endnote w:type="continuationSeparator" w:id="0">
    <w:p w14:paraId="1D058FF9" w14:textId="77777777" w:rsidR="007D0E58" w:rsidRDefault="007D0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524CEA" w14:textId="77777777" w:rsidR="007D0E58" w:rsidRDefault="007D0E58">
      <w:pPr>
        <w:spacing w:after="0" w:line="240" w:lineRule="auto"/>
      </w:pPr>
      <w:r>
        <w:separator/>
      </w:r>
    </w:p>
  </w:footnote>
  <w:footnote w:type="continuationSeparator" w:id="0">
    <w:p w14:paraId="10D87768" w14:textId="77777777" w:rsidR="007D0E58" w:rsidRDefault="007D0E58">
      <w:pPr>
        <w:spacing w:after="0" w:line="240" w:lineRule="auto"/>
      </w:pPr>
      <w:r>
        <w:continuationSeparator/>
      </w:r>
    </w:p>
  </w:footnote>
  <w:footnote w:id="1">
    <w:p w14:paraId="6C51B3BE" w14:textId="77777777" w:rsidR="002F4CEB" w:rsidRPr="00223F9B" w:rsidRDefault="002F4CEB" w:rsidP="002F4CEB">
      <w:pPr>
        <w:pStyle w:val="Textonotapie"/>
        <w:jc w:val="both"/>
        <w:rPr>
          <w:sz w:val="16"/>
          <w:szCs w:val="18"/>
          <w:lang w:val="es-ES_tradnl"/>
        </w:rPr>
      </w:pPr>
      <w:r w:rsidRPr="00223F9B">
        <w:rPr>
          <w:rStyle w:val="Refdenotaalpie"/>
          <w:sz w:val="16"/>
          <w:szCs w:val="18"/>
        </w:rPr>
        <w:footnoteRef/>
      </w:r>
      <w:r w:rsidRPr="00223F9B">
        <w:rPr>
          <w:sz w:val="16"/>
          <w:szCs w:val="18"/>
        </w:rPr>
        <w:t xml:space="preserve"> </w:t>
      </w:r>
      <w:r w:rsidRPr="00223F9B">
        <w:rPr>
          <w:bCs/>
          <w:sz w:val="16"/>
          <w:szCs w:val="18"/>
          <w:lang w:val="es-ES_tradnl"/>
        </w:rPr>
        <w:t xml:space="preserve">ARTÍCULO 61. </w:t>
      </w:r>
      <w:r w:rsidRPr="00223F9B">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5696601" w14:textId="77777777" w:rsidR="002F4CEB" w:rsidRPr="00223F9B" w:rsidRDefault="002F4CEB" w:rsidP="002F4CEB">
      <w:pPr>
        <w:pStyle w:val="Textonotapie"/>
        <w:jc w:val="both"/>
        <w:rPr>
          <w:sz w:val="16"/>
          <w:szCs w:val="18"/>
          <w:lang w:val="es-ES_tradnl"/>
        </w:rPr>
      </w:pPr>
      <w:r w:rsidRPr="00223F9B">
        <w:rPr>
          <w:sz w:val="16"/>
          <w:szCs w:val="18"/>
          <w:lang w:val="es-ES_tradnl"/>
        </w:rPr>
        <w:t xml:space="preserve">La obligación de los sujetos obligados de proporcionar información no comprende el procesamiento de la misma, ni el presentarla conforme al interés del solicitante. </w:t>
      </w:r>
    </w:p>
  </w:footnote>
  <w:footnote w:id="2">
    <w:p w14:paraId="077AF016" w14:textId="77777777" w:rsidR="002F4CEB" w:rsidRPr="00223F9B" w:rsidRDefault="002F4CEB" w:rsidP="002F4CEB">
      <w:pPr>
        <w:pStyle w:val="Textonotapie"/>
        <w:jc w:val="both"/>
        <w:rPr>
          <w:sz w:val="16"/>
          <w:szCs w:val="18"/>
        </w:rPr>
      </w:pPr>
      <w:r w:rsidRPr="00223F9B">
        <w:rPr>
          <w:rStyle w:val="Refdenotaalpie"/>
          <w:sz w:val="16"/>
          <w:szCs w:val="18"/>
        </w:rPr>
        <w:footnoteRef/>
      </w:r>
      <w:r w:rsidRPr="00223F9B">
        <w:rPr>
          <w:sz w:val="16"/>
          <w:szCs w:val="18"/>
        </w:rPr>
        <w:t xml:space="preserve"> ARTÍCULO 18. Los sujetos obligados deberán documentar todo acto que derive del ejercicio de sus facultades, competencias o funciones.</w:t>
      </w:r>
    </w:p>
    <w:p w14:paraId="1259268E" w14:textId="77777777" w:rsidR="002F4CEB" w:rsidRPr="00223F9B" w:rsidRDefault="002F4CEB" w:rsidP="002F4CEB">
      <w:pPr>
        <w:pStyle w:val="Textonotapie"/>
        <w:jc w:val="both"/>
        <w:rPr>
          <w:sz w:val="16"/>
          <w:szCs w:val="18"/>
        </w:rPr>
      </w:pPr>
      <w:r w:rsidRPr="00223F9B">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128CFA9" w14:textId="77777777" w:rsidR="002F4CEB" w:rsidRPr="00223F9B" w:rsidRDefault="002F4CEB" w:rsidP="002F4CEB">
      <w:pPr>
        <w:pStyle w:val="Textonotapie"/>
        <w:jc w:val="both"/>
        <w:rPr>
          <w:sz w:val="16"/>
          <w:szCs w:val="18"/>
        </w:rPr>
      </w:pPr>
      <w:r w:rsidRPr="00223F9B">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5B3311B" w14:textId="77777777" w:rsidR="002F4CEB" w:rsidRPr="00223F9B" w:rsidRDefault="002F4CEB" w:rsidP="002F4CEB">
      <w:pPr>
        <w:pStyle w:val="Textonotapie"/>
        <w:jc w:val="both"/>
        <w:rPr>
          <w:sz w:val="16"/>
        </w:rPr>
      </w:pPr>
      <w:r w:rsidRPr="00223F9B">
        <w:rPr>
          <w:sz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66FA0D2" w14:textId="77777777" w:rsidR="002F4CEB" w:rsidRPr="00223F9B" w:rsidRDefault="002F4CEB" w:rsidP="002F4CEB">
      <w:pPr>
        <w:pStyle w:val="Textonotapie"/>
        <w:jc w:val="both"/>
        <w:rPr>
          <w:sz w:val="16"/>
        </w:rPr>
      </w:pPr>
      <w:r w:rsidRPr="00223F9B">
        <w:rPr>
          <w:sz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3794642" w14:textId="77777777" w:rsidR="002F4CEB" w:rsidRPr="00223F9B" w:rsidRDefault="002F4CEB" w:rsidP="002F4CEB">
      <w:pPr>
        <w:pStyle w:val="Textonotapie"/>
        <w:jc w:val="both"/>
        <w:rPr>
          <w:sz w:val="16"/>
        </w:rPr>
      </w:pPr>
      <w:r w:rsidRPr="00223F9B">
        <w:rPr>
          <w:sz w:val="16"/>
        </w:rPr>
        <w:t>La obligación de los sujetos obligados de proporcionar información no comprende el procesamiento de la misma, ni el presentarla conforme al interés del solicitante.</w:t>
      </w:r>
    </w:p>
    <w:p w14:paraId="6E892961" w14:textId="77777777" w:rsidR="002F4CEB" w:rsidRPr="00223F9B" w:rsidRDefault="002F4CEB" w:rsidP="002F4CEB">
      <w:pPr>
        <w:pStyle w:val="Textonotapie"/>
        <w:jc w:val="both"/>
        <w:rPr>
          <w:sz w:val="16"/>
        </w:rPr>
      </w:pPr>
      <w:r w:rsidRPr="00223F9B">
        <w:rPr>
          <w:sz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1D0EF9F" w14:textId="77777777" w:rsidR="006E301F" w:rsidRPr="00012C16" w:rsidRDefault="006E301F" w:rsidP="006E301F">
      <w:pPr>
        <w:pStyle w:val="Textonotapie"/>
        <w:jc w:val="both"/>
        <w:rPr>
          <w:sz w:val="16"/>
        </w:rPr>
      </w:pPr>
      <w:r w:rsidRPr="00012C16">
        <w:rPr>
          <w:rStyle w:val="Refdenotaalpie"/>
          <w:sz w:val="16"/>
        </w:rPr>
        <w:footnoteRef/>
      </w:r>
      <w:r w:rsidRPr="00012C16">
        <w:rPr>
          <w:sz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71DDE817" w14:textId="28AC09EA" w:rsidR="006E301F" w:rsidRPr="00D1477E" w:rsidRDefault="006E301F" w:rsidP="006E301F">
      <w:pPr>
        <w:pStyle w:val="Textonotapie"/>
        <w:jc w:val="both"/>
        <w:rPr>
          <w:sz w:val="16"/>
        </w:rPr>
      </w:pPr>
      <w:r w:rsidRPr="00012C16">
        <w:rPr>
          <w:rStyle w:val="Refdenotaalpie"/>
          <w:sz w:val="16"/>
        </w:rPr>
        <w:footnoteRef/>
      </w:r>
      <w:r w:rsidRPr="00012C16">
        <w:rPr>
          <w:sz w:val="16"/>
        </w:rPr>
        <w:t xml:space="preserve"> </w:t>
      </w:r>
      <w:r w:rsidRPr="006E301F">
        <w:rPr>
          <w:sz w:val="16"/>
        </w:rP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691D9BFC" w14:textId="77777777" w:rsidR="006E301F" w:rsidRDefault="006E301F" w:rsidP="006E301F">
      <w:pPr>
        <w:pStyle w:val="Textonotapie"/>
        <w:jc w:val="both"/>
        <w:rPr>
          <w:sz w:val="16"/>
        </w:rPr>
      </w:pPr>
      <w:r w:rsidRPr="00012C16">
        <w:rPr>
          <w:sz w:val="16"/>
        </w:rPr>
        <w:t>[…]</w:t>
      </w:r>
    </w:p>
    <w:p w14:paraId="65C47388" w14:textId="574E5848" w:rsidR="006E301F" w:rsidRDefault="006E301F" w:rsidP="006E301F">
      <w:pPr>
        <w:pStyle w:val="Textonotapie"/>
        <w:jc w:val="both"/>
        <w:rPr>
          <w:sz w:val="16"/>
        </w:rPr>
      </w:pPr>
      <w:r w:rsidRPr="006E301F">
        <w:rPr>
          <w:sz w:val="16"/>
        </w:rPr>
        <w:t>IV. La información de los movimientos de ingresos y egresos, que deberán contener, en el caso de egresos, el monto, beneficiario, concepto, fecha, folio, institución bancaria y funcionario que lo autoriza. En el caso de ingresos, el número de entero, monto, concepto, contribuyente y fecha.</w:t>
      </w:r>
    </w:p>
    <w:p w14:paraId="0C322171" w14:textId="012E3C1A" w:rsidR="006E301F" w:rsidRDefault="006E301F" w:rsidP="006E301F">
      <w:pPr>
        <w:pStyle w:val="Textonotapie"/>
        <w:jc w:val="both"/>
        <w:rPr>
          <w:sz w:val="16"/>
        </w:rPr>
      </w:pPr>
      <w:r w:rsidRPr="006E301F">
        <w:rPr>
          <w:sz w:val="16"/>
        </w:rPr>
        <w:t xml:space="preserve"> Además, la relación de las cuentas bancarias productivas específicas en las cuales se depositaron los recursos federales transferidos por cualquier concepto, durante el ejercicio. </w:t>
      </w:r>
    </w:p>
    <w:p w14:paraId="0C62B6A2" w14:textId="0B2B0381" w:rsidR="006E301F" w:rsidRDefault="006E301F" w:rsidP="006E301F">
      <w:pPr>
        <w:pStyle w:val="Textonotapie"/>
        <w:jc w:val="both"/>
        <w:rPr>
          <w:sz w:val="16"/>
        </w:rPr>
      </w:pPr>
      <w:r w:rsidRPr="006E301F">
        <w:rPr>
          <w:sz w:val="16"/>
        </w:rPr>
        <w:t>Las cuentas bancarias a que se refiere el párrafo anterior se harán del conocimiento previo a la Tesorería de la Federación, para el efecto de la radicación de los recursos;</w:t>
      </w:r>
    </w:p>
    <w:p w14:paraId="07D8F2F8" w14:textId="7C74B395" w:rsidR="006E301F" w:rsidRPr="00012C16" w:rsidRDefault="006E301F" w:rsidP="006E301F">
      <w:pPr>
        <w:pStyle w:val="Textonotapie"/>
        <w:jc w:val="both"/>
        <w:rPr>
          <w:sz w:val="16"/>
        </w:rPr>
      </w:pPr>
      <w:r>
        <w:rPr>
          <w:sz w:val="16"/>
        </w:rPr>
        <w:t>[…].</w:t>
      </w:r>
    </w:p>
  </w:footnote>
  <w:footnote w:id="5">
    <w:p w14:paraId="1F9ECF2D" w14:textId="77777777" w:rsidR="002F4CEB" w:rsidRPr="00223F9B" w:rsidRDefault="002F4CEB" w:rsidP="002F4CEB">
      <w:pPr>
        <w:pStyle w:val="Textonotapie"/>
        <w:jc w:val="both"/>
        <w:rPr>
          <w:sz w:val="16"/>
          <w:szCs w:val="16"/>
        </w:rPr>
      </w:pPr>
      <w:r w:rsidRPr="00223F9B">
        <w:rPr>
          <w:rStyle w:val="Refdenotaalpie"/>
          <w:sz w:val="16"/>
          <w:szCs w:val="16"/>
        </w:rPr>
        <w:footnoteRef/>
      </w:r>
      <w:r w:rsidRPr="00223F9B">
        <w:rPr>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2A7EC019" w14:textId="77777777" w:rsidR="002F4CEB" w:rsidRPr="001C32EC" w:rsidRDefault="002F4CEB" w:rsidP="002F4CEB">
      <w:pPr>
        <w:pStyle w:val="Textonotapie"/>
        <w:jc w:val="both"/>
        <w:rPr>
          <w:szCs w:val="16"/>
        </w:rPr>
      </w:pPr>
      <w:r w:rsidRPr="00223F9B">
        <w:rPr>
          <w:sz w:val="16"/>
          <w:szCs w:val="16"/>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32B74AB5" w:rsidR="00A66405" w:rsidRDefault="00946007" w:rsidP="007E5F3A">
        <w:pPr>
          <w:pStyle w:val="Encabezado"/>
          <w:jc w:val="center"/>
        </w:pPr>
        <w:r>
          <w:fldChar w:fldCharType="begin"/>
        </w:r>
        <w:r>
          <w:instrText>PAGE   \* MERGEFORMAT</w:instrText>
        </w:r>
        <w:r>
          <w:fldChar w:fldCharType="separate"/>
        </w:r>
        <w:r w:rsidR="00860006" w:rsidRPr="00860006">
          <w:rPr>
            <w:noProof/>
            <w:lang w:val="es-ES"/>
          </w:rPr>
          <w:t>9</w:t>
        </w:r>
        <w:r>
          <w:fldChar w:fldCharType="end"/>
        </w:r>
        <w:r>
          <w:t xml:space="preserve">                                  </w:t>
        </w:r>
      </w:p>
      <w:p w14:paraId="748FB0B7" w14:textId="2D8B859E" w:rsidR="00A66405" w:rsidRDefault="00946007" w:rsidP="007F1CA7">
        <w:pPr>
          <w:pStyle w:val="Encabezado"/>
          <w:jc w:val="right"/>
        </w:pPr>
        <w:r>
          <w:t xml:space="preserve">RECURSO DE REVISIÓN </w:t>
        </w:r>
        <w:r w:rsidR="00FE5270">
          <w:t>1069</w:t>
        </w:r>
        <w:r>
          <w:t xml:space="preserve">/2019-1 </w:t>
        </w:r>
        <w:r w:rsidR="00FE5270">
          <w:t>SIGEMI</w:t>
        </w:r>
      </w:p>
    </w:sdtContent>
  </w:sdt>
  <w:p w14:paraId="477B550A" w14:textId="77777777" w:rsidR="00A66405" w:rsidRDefault="007D0E5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54400F"/>
    <w:multiLevelType w:val="hybridMultilevel"/>
    <w:tmpl w:val="218684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DE6"/>
    <w:rsid w:val="00005252"/>
    <w:rsid w:val="00034B34"/>
    <w:rsid w:val="00037E62"/>
    <w:rsid w:val="00050D73"/>
    <w:rsid w:val="0006485A"/>
    <w:rsid w:val="00070944"/>
    <w:rsid w:val="000715ED"/>
    <w:rsid w:val="0007543D"/>
    <w:rsid w:val="00086E9D"/>
    <w:rsid w:val="000D3510"/>
    <w:rsid w:val="000D64A6"/>
    <w:rsid w:val="000F4A27"/>
    <w:rsid w:val="00105D91"/>
    <w:rsid w:val="00120248"/>
    <w:rsid w:val="00131D6F"/>
    <w:rsid w:val="00133088"/>
    <w:rsid w:val="0014482F"/>
    <w:rsid w:val="001555B9"/>
    <w:rsid w:val="00155F42"/>
    <w:rsid w:val="00173322"/>
    <w:rsid w:val="00174E4F"/>
    <w:rsid w:val="00176185"/>
    <w:rsid w:val="00193623"/>
    <w:rsid w:val="00193E6A"/>
    <w:rsid w:val="001D2649"/>
    <w:rsid w:val="001F1511"/>
    <w:rsid w:val="00220A33"/>
    <w:rsid w:val="00223F9B"/>
    <w:rsid w:val="00225214"/>
    <w:rsid w:val="00235D98"/>
    <w:rsid w:val="002510C5"/>
    <w:rsid w:val="00264834"/>
    <w:rsid w:val="00267D27"/>
    <w:rsid w:val="0027039E"/>
    <w:rsid w:val="00273FB2"/>
    <w:rsid w:val="00281A71"/>
    <w:rsid w:val="00285161"/>
    <w:rsid w:val="002A220D"/>
    <w:rsid w:val="002A4FEE"/>
    <w:rsid w:val="002B1D98"/>
    <w:rsid w:val="002C6A82"/>
    <w:rsid w:val="002D58FF"/>
    <w:rsid w:val="002E5565"/>
    <w:rsid w:val="002E6C7E"/>
    <w:rsid w:val="002F24D0"/>
    <w:rsid w:val="002F4CEB"/>
    <w:rsid w:val="00304A77"/>
    <w:rsid w:val="0031791F"/>
    <w:rsid w:val="003273CB"/>
    <w:rsid w:val="003351A0"/>
    <w:rsid w:val="0037595A"/>
    <w:rsid w:val="003859D6"/>
    <w:rsid w:val="00385B7D"/>
    <w:rsid w:val="00395037"/>
    <w:rsid w:val="003A10C4"/>
    <w:rsid w:val="003B22E6"/>
    <w:rsid w:val="003E04E5"/>
    <w:rsid w:val="004175C1"/>
    <w:rsid w:val="00430D59"/>
    <w:rsid w:val="004644DA"/>
    <w:rsid w:val="00474953"/>
    <w:rsid w:val="0049034C"/>
    <w:rsid w:val="00496C19"/>
    <w:rsid w:val="004A0584"/>
    <w:rsid w:val="004A2293"/>
    <w:rsid w:val="004B16DE"/>
    <w:rsid w:val="004E0EC1"/>
    <w:rsid w:val="004E11BB"/>
    <w:rsid w:val="00507495"/>
    <w:rsid w:val="00511272"/>
    <w:rsid w:val="00524500"/>
    <w:rsid w:val="00524E08"/>
    <w:rsid w:val="0056021A"/>
    <w:rsid w:val="005B11BB"/>
    <w:rsid w:val="005C74E5"/>
    <w:rsid w:val="005F108B"/>
    <w:rsid w:val="005F1966"/>
    <w:rsid w:val="005F1B0A"/>
    <w:rsid w:val="00637894"/>
    <w:rsid w:val="00645312"/>
    <w:rsid w:val="006564DE"/>
    <w:rsid w:val="006601D9"/>
    <w:rsid w:val="00665524"/>
    <w:rsid w:val="00676793"/>
    <w:rsid w:val="00676E6E"/>
    <w:rsid w:val="00682312"/>
    <w:rsid w:val="006A0CC0"/>
    <w:rsid w:val="006A0D11"/>
    <w:rsid w:val="006B71F8"/>
    <w:rsid w:val="006B727F"/>
    <w:rsid w:val="006C057E"/>
    <w:rsid w:val="006D773C"/>
    <w:rsid w:val="006E1D2F"/>
    <w:rsid w:val="006E301F"/>
    <w:rsid w:val="00704551"/>
    <w:rsid w:val="00707C68"/>
    <w:rsid w:val="00713979"/>
    <w:rsid w:val="00717913"/>
    <w:rsid w:val="007318FA"/>
    <w:rsid w:val="00742AFD"/>
    <w:rsid w:val="00751174"/>
    <w:rsid w:val="00753EDD"/>
    <w:rsid w:val="00757C55"/>
    <w:rsid w:val="00760CD7"/>
    <w:rsid w:val="007639B2"/>
    <w:rsid w:val="007A6AA8"/>
    <w:rsid w:val="007D0E58"/>
    <w:rsid w:val="007D2F86"/>
    <w:rsid w:val="007D7B73"/>
    <w:rsid w:val="007F3502"/>
    <w:rsid w:val="00813197"/>
    <w:rsid w:val="008216DF"/>
    <w:rsid w:val="00822A54"/>
    <w:rsid w:val="00843990"/>
    <w:rsid w:val="00860006"/>
    <w:rsid w:val="00863555"/>
    <w:rsid w:val="00864989"/>
    <w:rsid w:val="00865A36"/>
    <w:rsid w:val="008840C7"/>
    <w:rsid w:val="008A6D72"/>
    <w:rsid w:val="008B0264"/>
    <w:rsid w:val="008B5533"/>
    <w:rsid w:val="008B5E35"/>
    <w:rsid w:val="008D713E"/>
    <w:rsid w:val="008E136F"/>
    <w:rsid w:val="008E6A2E"/>
    <w:rsid w:val="008E74AF"/>
    <w:rsid w:val="00907325"/>
    <w:rsid w:val="00927822"/>
    <w:rsid w:val="00931F30"/>
    <w:rsid w:val="00946007"/>
    <w:rsid w:val="00974AB8"/>
    <w:rsid w:val="00983DE2"/>
    <w:rsid w:val="009874DC"/>
    <w:rsid w:val="009A32C5"/>
    <w:rsid w:val="009B38EB"/>
    <w:rsid w:val="009B651B"/>
    <w:rsid w:val="009C65EF"/>
    <w:rsid w:val="009F19CB"/>
    <w:rsid w:val="00A10223"/>
    <w:rsid w:val="00A21089"/>
    <w:rsid w:val="00A23B27"/>
    <w:rsid w:val="00A31001"/>
    <w:rsid w:val="00A64C51"/>
    <w:rsid w:val="00A74762"/>
    <w:rsid w:val="00AB71F5"/>
    <w:rsid w:val="00AE106F"/>
    <w:rsid w:val="00AE2BE4"/>
    <w:rsid w:val="00AE2C79"/>
    <w:rsid w:val="00B0064B"/>
    <w:rsid w:val="00B135C5"/>
    <w:rsid w:val="00B4380D"/>
    <w:rsid w:val="00B43F3C"/>
    <w:rsid w:val="00B520C8"/>
    <w:rsid w:val="00BA207D"/>
    <w:rsid w:val="00BA588A"/>
    <w:rsid w:val="00BA7ACD"/>
    <w:rsid w:val="00BC1F31"/>
    <w:rsid w:val="00BE1710"/>
    <w:rsid w:val="00BE1B1C"/>
    <w:rsid w:val="00C02E84"/>
    <w:rsid w:val="00C44B12"/>
    <w:rsid w:val="00C97FBD"/>
    <w:rsid w:val="00CB35DC"/>
    <w:rsid w:val="00CC38D7"/>
    <w:rsid w:val="00CC3C52"/>
    <w:rsid w:val="00CC4E82"/>
    <w:rsid w:val="00CD2EA8"/>
    <w:rsid w:val="00CD30F1"/>
    <w:rsid w:val="00CE3A29"/>
    <w:rsid w:val="00CF05A2"/>
    <w:rsid w:val="00CF0AF6"/>
    <w:rsid w:val="00D0102C"/>
    <w:rsid w:val="00D04EEC"/>
    <w:rsid w:val="00D15DBA"/>
    <w:rsid w:val="00D2749A"/>
    <w:rsid w:val="00D3050A"/>
    <w:rsid w:val="00D4006E"/>
    <w:rsid w:val="00D603C1"/>
    <w:rsid w:val="00D6663E"/>
    <w:rsid w:val="00D733B9"/>
    <w:rsid w:val="00D955D7"/>
    <w:rsid w:val="00D96013"/>
    <w:rsid w:val="00DA7708"/>
    <w:rsid w:val="00DD1478"/>
    <w:rsid w:val="00DE6A39"/>
    <w:rsid w:val="00E0750B"/>
    <w:rsid w:val="00E118CE"/>
    <w:rsid w:val="00E15C59"/>
    <w:rsid w:val="00E22DCB"/>
    <w:rsid w:val="00E2583F"/>
    <w:rsid w:val="00E37D1B"/>
    <w:rsid w:val="00E434A0"/>
    <w:rsid w:val="00E50F52"/>
    <w:rsid w:val="00E56A9C"/>
    <w:rsid w:val="00E60020"/>
    <w:rsid w:val="00E63940"/>
    <w:rsid w:val="00E6454A"/>
    <w:rsid w:val="00E74645"/>
    <w:rsid w:val="00E74CD1"/>
    <w:rsid w:val="00E81C3D"/>
    <w:rsid w:val="00EB5F75"/>
    <w:rsid w:val="00ED10FB"/>
    <w:rsid w:val="00ED558F"/>
    <w:rsid w:val="00EE75F1"/>
    <w:rsid w:val="00F06EEF"/>
    <w:rsid w:val="00F14472"/>
    <w:rsid w:val="00F21084"/>
    <w:rsid w:val="00F23CA1"/>
    <w:rsid w:val="00F42A2D"/>
    <w:rsid w:val="00F708EE"/>
    <w:rsid w:val="00F71C92"/>
    <w:rsid w:val="00F86C61"/>
    <w:rsid w:val="00F93F33"/>
    <w:rsid w:val="00FA02AE"/>
    <w:rsid w:val="00FB0B93"/>
    <w:rsid w:val="00FC26EA"/>
    <w:rsid w:val="00FC33CD"/>
    <w:rsid w:val="00FD6029"/>
    <w:rsid w:val="00FE5270"/>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amazunchale.gob.mx/wp-content/uploads/2019/02/RELACION-DE-CUENTAS-BANCARIAS-PRODUCTIVAS-Y-ESPECIFICAS.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amazunchale.gob.mx/wp-content/uploads/2019/05/RELACION-DE-CUENTAS-PRODUCTIVAS.pdf" TargetMode="External"/><Relationship Id="rId5" Type="http://schemas.openxmlformats.org/officeDocument/2006/relationships/webSettings" Target="webSettings.xml"/><Relationship Id="rId10" Type="http://schemas.openxmlformats.org/officeDocument/2006/relationships/hyperlink" Target="http://tamazunchale.gob.mx/wp-content/uploads/2019/02/RELACION-DE-CUENTAS-BANCARIAS-PRODUCTIVAS-Y-ESPECIFICAS.pdf" TargetMode="External"/><Relationship Id="rId4" Type="http://schemas.openxmlformats.org/officeDocument/2006/relationships/settings" Target="settings.xml"/><Relationship Id="rId9" Type="http://schemas.openxmlformats.org/officeDocument/2006/relationships/hyperlink" Target="http://tamazunchale.gob.mx/wp-content/uploads/2019/05/RELACION-DE-CUENTAS-PRODUCTIVAS.pdf"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2DBAD4-9203-4FB0-B1AB-0A0D63238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3582</Words>
  <Characters>19702</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2020-02-04T18:10:00Z</cp:lastPrinted>
  <dcterms:created xsi:type="dcterms:W3CDTF">2020-11-03T17:28:00Z</dcterms:created>
  <dcterms:modified xsi:type="dcterms:W3CDTF">2020-11-03T17:28:00Z</dcterms:modified>
</cp:coreProperties>
</file>