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0FB" w:rsidRDefault="008140FB" w:rsidP="008140FB">
      <w:pPr>
        <w:pStyle w:val="Textoindependiente"/>
        <w:rPr>
          <w:rFonts w:ascii="Times New Roman"/>
          <w:sz w:val="36"/>
        </w:rPr>
      </w:pPr>
      <w:r>
        <w:rPr>
          <w:rFonts w:ascii="Times New Roman"/>
          <w:noProof/>
          <w:sz w:val="36"/>
          <w:lang w:val="es-MX"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-803910</wp:posOffset>
            </wp:positionH>
            <wp:positionV relativeFrom="paragraph">
              <wp:posOffset>-756920</wp:posOffset>
            </wp:positionV>
            <wp:extent cx="2047875" cy="2018911"/>
            <wp:effectExtent l="0" t="0" r="0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gua claroofin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9329" cy="20203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40FB" w:rsidRDefault="008140FB" w:rsidP="008140FB">
      <w:pPr>
        <w:pStyle w:val="Textoindependiente"/>
        <w:rPr>
          <w:rFonts w:ascii="Times New Roman"/>
          <w:sz w:val="36"/>
        </w:rPr>
      </w:pPr>
    </w:p>
    <w:p w:rsidR="008140FB" w:rsidRDefault="008140FB" w:rsidP="008140FB">
      <w:pPr>
        <w:pStyle w:val="Textoindependiente"/>
        <w:rPr>
          <w:rFonts w:ascii="Times New Roman"/>
          <w:sz w:val="36"/>
        </w:rPr>
      </w:pPr>
    </w:p>
    <w:p w:rsidR="008140FB" w:rsidRDefault="008140FB" w:rsidP="008140FB">
      <w:pPr>
        <w:pStyle w:val="Textoindependiente"/>
        <w:rPr>
          <w:rFonts w:ascii="Times New Roman"/>
          <w:sz w:val="36"/>
        </w:rPr>
      </w:pPr>
      <w:bookmarkStart w:id="0" w:name="_GoBack"/>
      <w:bookmarkEnd w:id="0"/>
    </w:p>
    <w:p w:rsidR="008140FB" w:rsidRDefault="008140FB" w:rsidP="008140FB">
      <w:pPr>
        <w:pStyle w:val="Textoindependiente"/>
        <w:rPr>
          <w:rFonts w:ascii="Times New Roman"/>
          <w:sz w:val="36"/>
        </w:rPr>
      </w:pPr>
    </w:p>
    <w:p w:rsidR="00CE78BE" w:rsidRPr="008140FB" w:rsidRDefault="008140FB" w:rsidP="008140FB">
      <w:pPr>
        <w:pStyle w:val="Textoindependiente"/>
        <w:rPr>
          <w:rFonts w:ascii="Times New Roman"/>
          <w:sz w:val="36"/>
        </w:rPr>
      </w:pPr>
      <w:r w:rsidRPr="008140FB">
        <w:rPr>
          <w:rFonts w:ascii="Times New Roman"/>
          <w:sz w:val="36"/>
        </w:rPr>
        <w:t>No se gener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 xml:space="preserve"> informaci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>n respecto a relaci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>n de acreedores diversos, no existieron acreedores en el mes que se informa. Por lo tanto, en los siguientes criterios no se gener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 xml:space="preserve"> informaci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>n: Hiperv</w:t>
      </w:r>
      <w:r w:rsidRPr="008140FB">
        <w:rPr>
          <w:rFonts w:ascii="Times New Roman"/>
          <w:sz w:val="36"/>
        </w:rPr>
        <w:t>í</w:t>
      </w:r>
      <w:r w:rsidRPr="008140FB">
        <w:rPr>
          <w:rFonts w:ascii="Times New Roman"/>
          <w:sz w:val="36"/>
        </w:rPr>
        <w:t>nculo a la Relaci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>n de acreedores diversos Con fundamento en la Ley General de Contabilidad Gubernamental Art</w:t>
      </w:r>
      <w:r w:rsidRPr="008140FB">
        <w:rPr>
          <w:rFonts w:ascii="Times New Roman"/>
          <w:sz w:val="36"/>
        </w:rPr>
        <w:t>í</w:t>
      </w:r>
      <w:r w:rsidRPr="008140FB">
        <w:rPr>
          <w:rFonts w:ascii="Times New Roman"/>
          <w:sz w:val="36"/>
        </w:rPr>
        <w:t>culo 70.- Los gobiernos de las entidades federativas, de los municipios y alcald</w:t>
      </w:r>
      <w:r w:rsidRPr="008140FB">
        <w:rPr>
          <w:rFonts w:ascii="Times New Roman"/>
          <w:sz w:val="36"/>
        </w:rPr>
        <w:t>í</w:t>
      </w:r>
      <w:r w:rsidRPr="008140FB">
        <w:rPr>
          <w:rFonts w:ascii="Times New Roman"/>
          <w:sz w:val="36"/>
        </w:rPr>
        <w:t>as de la Ciudad de M</w:t>
      </w:r>
      <w:r w:rsidRPr="008140FB">
        <w:rPr>
          <w:rFonts w:ascii="Times New Roman"/>
          <w:sz w:val="36"/>
        </w:rPr>
        <w:t>é</w:t>
      </w:r>
      <w:r w:rsidRPr="008140FB">
        <w:rPr>
          <w:rFonts w:ascii="Times New Roman"/>
          <w:sz w:val="36"/>
        </w:rPr>
        <w:t>xico, deber</w:t>
      </w:r>
      <w:r w:rsidRPr="008140FB">
        <w:rPr>
          <w:rFonts w:ascii="Times New Roman"/>
          <w:sz w:val="36"/>
        </w:rPr>
        <w:t>á</w:t>
      </w:r>
      <w:r w:rsidRPr="008140FB">
        <w:rPr>
          <w:rFonts w:ascii="Times New Roman"/>
          <w:sz w:val="36"/>
        </w:rPr>
        <w:t>n observar lo siguiente para la integraci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>n de la informaci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>n financiera relativa a los recursos federales transferidos: IV. Dentro del registro contable a que se refiere la fracci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>n anterior, concentrar en un solo apartado todas las obligaciones de garant</w:t>
      </w:r>
      <w:r w:rsidRPr="008140FB">
        <w:rPr>
          <w:rFonts w:ascii="Times New Roman"/>
          <w:sz w:val="36"/>
        </w:rPr>
        <w:t>í</w:t>
      </w:r>
      <w:r w:rsidRPr="008140FB">
        <w:rPr>
          <w:rFonts w:ascii="Times New Roman"/>
          <w:sz w:val="36"/>
        </w:rPr>
        <w:t>a o pago causante de deuda p</w:t>
      </w:r>
      <w:r w:rsidRPr="008140FB">
        <w:rPr>
          <w:rFonts w:ascii="Times New Roman"/>
          <w:sz w:val="36"/>
        </w:rPr>
        <w:t>ú</w:t>
      </w:r>
      <w:r w:rsidRPr="008140FB">
        <w:rPr>
          <w:rFonts w:ascii="Times New Roman"/>
          <w:sz w:val="36"/>
        </w:rPr>
        <w:t>blica u otros pasivos de cualquier naturaleza, con contrapartes, proveedores, contratistas y ACREEDORES, incluyendo la disposici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 xml:space="preserve">n de bienes o expectativa de derechos sobre </w:t>
      </w:r>
      <w:r w:rsidRPr="008140FB">
        <w:rPr>
          <w:rFonts w:ascii="Times New Roman"/>
          <w:sz w:val="36"/>
        </w:rPr>
        <w:t>é</w:t>
      </w:r>
      <w:r w:rsidRPr="008140FB">
        <w:rPr>
          <w:rFonts w:ascii="Times New Roman"/>
          <w:sz w:val="36"/>
        </w:rPr>
        <w:t>stos, contra</w:t>
      </w:r>
      <w:r w:rsidRPr="008140FB">
        <w:rPr>
          <w:rFonts w:ascii="Times New Roman"/>
          <w:sz w:val="36"/>
        </w:rPr>
        <w:t>í</w:t>
      </w:r>
      <w:r w:rsidRPr="008140FB">
        <w:rPr>
          <w:rFonts w:ascii="Times New Roman"/>
          <w:sz w:val="36"/>
        </w:rPr>
        <w:t>dos directamente o a trav</w:t>
      </w:r>
      <w:r w:rsidRPr="008140FB">
        <w:rPr>
          <w:rFonts w:ascii="Times New Roman"/>
          <w:sz w:val="36"/>
        </w:rPr>
        <w:t>é</w:t>
      </w:r>
      <w:r w:rsidRPr="008140FB">
        <w:rPr>
          <w:rFonts w:ascii="Times New Roman"/>
          <w:sz w:val="36"/>
        </w:rPr>
        <w:t>s de cualquier instrumento jur</w:t>
      </w:r>
      <w:r w:rsidRPr="008140FB">
        <w:rPr>
          <w:rFonts w:ascii="Times New Roman"/>
          <w:sz w:val="36"/>
        </w:rPr>
        <w:t>í</w:t>
      </w:r>
      <w:r w:rsidRPr="008140FB">
        <w:rPr>
          <w:rFonts w:ascii="Times New Roman"/>
          <w:sz w:val="36"/>
        </w:rPr>
        <w:t>dico considerado o no dentro de la estructura org</w:t>
      </w:r>
      <w:r w:rsidRPr="008140FB">
        <w:rPr>
          <w:rFonts w:ascii="Times New Roman"/>
          <w:sz w:val="36"/>
        </w:rPr>
        <w:t>á</w:t>
      </w:r>
      <w:r w:rsidRPr="008140FB">
        <w:rPr>
          <w:rFonts w:ascii="Times New Roman"/>
          <w:sz w:val="36"/>
        </w:rPr>
        <w:t>nica de la administraci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>n p</w:t>
      </w:r>
      <w:r w:rsidRPr="008140FB">
        <w:rPr>
          <w:rFonts w:ascii="Times New Roman"/>
          <w:sz w:val="36"/>
        </w:rPr>
        <w:t>ú</w:t>
      </w:r>
      <w:r w:rsidRPr="008140FB">
        <w:rPr>
          <w:rFonts w:ascii="Times New Roman"/>
          <w:sz w:val="36"/>
        </w:rPr>
        <w:t>blica correspondiente, y la celebraci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>n de actos jur</w:t>
      </w:r>
      <w:r w:rsidRPr="008140FB">
        <w:rPr>
          <w:rFonts w:ascii="Times New Roman"/>
          <w:sz w:val="36"/>
        </w:rPr>
        <w:t>í</w:t>
      </w:r>
      <w:r w:rsidRPr="008140FB">
        <w:rPr>
          <w:rFonts w:ascii="Times New Roman"/>
          <w:sz w:val="36"/>
        </w:rPr>
        <w:t>dicos an</w:t>
      </w:r>
      <w:r w:rsidRPr="008140FB">
        <w:rPr>
          <w:rFonts w:ascii="Times New Roman"/>
          <w:sz w:val="36"/>
        </w:rPr>
        <w:t>á</w:t>
      </w:r>
      <w:r w:rsidRPr="008140FB">
        <w:rPr>
          <w:rFonts w:ascii="Times New Roman"/>
          <w:sz w:val="36"/>
        </w:rPr>
        <w:t>logos a los anteriores y, sin perjuicio de que dichas obligaciones tengan como prop</w:t>
      </w:r>
      <w:r w:rsidRPr="008140FB">
        <w:rPr>
          <w:rFonts w:ascii="Times New Roman"/>
          <w:sz w:val="36"/>
        </w:rPr>
        <w:t>ó</w:t>
      </w:r>
      <w:r w:rsidRPr="008140FB">
        <w:rPr>
          <w:rFonts w:ascii="Times New Roman"/>
          <w:sz w:val="36"/>
        </w:rPr>
        <w:t>sito canje o refinanciamiento de otras o de que sea considerado o no como deuda p</w:t>
      </w:r>
      <w:r w:rsidRPr="008140FB">
        <w:rPr>
          <w:rFonts w:ascii="Times New Roman"/>
          <w:sz w:val="36"/>
        </w:rPr>
        <w:t>ú</w:t>
      </w:r>
      <w:r w:rsidRPr="008140FB">
        <w:rPr>
          <w:rFonts w:ascii="Times New Roman"/>
          <w:sz w:val="36"/>
        </w:rPr>
        <w:t>blica en los ordenamientos aplicables,</w:t>
      </w:r>
    </w:p>
    <w:sectPr w:rsidR="00CE78BE" w:rsidRPr="008140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0FB"/>
    <w:rsid w:val="008140FB"/>
    <w:rsid w:val="00CE7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1D3B2C-3106-4C8E-81B5-73E9CFFFB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8140F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8"/>
      <w:szCs w:val="2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140FB"/>
    <w:rPr>
      <w:rFonts w:ascii="Calibri" w:eastAsia="Calibri" w:hAnsi="Calibri" w:cs="Calibri"/>
      <w:sz w:val="28"/>
      <w:szCs w:val="2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</cp:revision>
  <dcterms:created xsi:type="dcterms:W3CDTF">2021-11-10T00:46:00Z</dcterms:created>
  <dcterms:modified xsi:type="dcterms:W3CDTF">2021-11-10T00:48:00Z</dcterms:modified>
</cp:coreProperties>
</file>