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4599" w:rsidRPr="00D14599" w:rsidRDefault="00D86E28" w:rsidP="00D14599">
      <w:pPr>
        <w:spacing w:after="0" w:line="240" w:lineRule="auto"/>
        <w:jc w:val="both"/>
        <w:rPr>
          <w:rFonts w:ascii="Arial Narrow" w:eastAsia="Times New Roman" w:hAnsi="Arial Narrow" w:cs="Calibri"/>
          <w:b/>
          <w:bCs/>
          <w:color w:val="0563C1"/>
          <w:sz w:val="24"/>
          <w:szCs w:val="18"/>
          <w:u w:val="single"/>
          <w:lang w:val="es-ES" w:eastAsia="es-ES"/>
        </w:rPr>
      </w:pPr>
      <w:hyperlink r:id="rId6" w:history="1">
        <w:r w:rsidR="00D14599" w:rsidRPr="00D14599">
          <w:rPr>
            <w:rFonts w:ascii="Arial Narrow" w:eastAsia="Times New Roman" w:hAnsi="Arial Narrow" w:cs="Calibri"/>
            <w:b/>
            <w:bCs/>
            <w:color w:val="0563C1"/>
            <w:sz w:val="24"/>
            <w:szCs w:val="18"/>
            <w:u w:val="single"/>
            <w:lang w:val="es-ES" w:eastAsia="es-ES"/>
          </w:rPr>
          <w:t>https://www.gob.mx/cms/uploads/attachment/file/133396/INFORME_ESTUDIO_TECNICO_PARA_DECRETO_RESERVA_PANUCO_PARA_SLP_PARTE_2_DE_....pdf</w:t>
        </w:r>
      </w:hyperlink>
    </w:p>
    <w:p w:rsidR="00D14599" w:rsidRPr="00D14599" w:rsidRDefault="00D14599" w:rsidP="00452DB8">
      <w:pPr>
        <w:jc w:val="both"/>
        <w:rPr>
          <w:rFonts w:ascii="Century Gothic" w:hAnsi="Century Gothic" w:cs="Arial"/>
          <w:b/>
          <w:sz w:val="48"/>
          <w:szCs w:val="36"/>
        </w:rPr>
      </w:pPr>
    </w:p>
    <w:p w:rsidR="004C49C1" w:rsidRPr="00452DB8" w:rsidRDefault="004C49C1" w:rsidP="00452DB8">
      <w:pPr>
        <w:jc w:val="both"/>
        <w:rPr>
          <w:rFonts w:ascii="Century Gothic" w:hAnsi="Century Gothic" w:cs="Arial"/>
          <w:b/>
          <w:sz w:val="36"/>
          <w:szCs w:val="36"/>
        </w:rPr>
      </w:pPr>
      <w:r w:rsidRPr="00452DB8">
        <w:rPr>
          <w:rFonts w:ascii="Century Gothic" w:hAnsi="Century Gothic" w:cs="Arial"/>
          <w:b/>
          <w:sz w:val="36"/>
          <w:szCs w:val="36"/>
        </w:rPr>
        <w:t xml:space="preserve">Esta no se genera en el </w:t>
      </w:r>
      <w:r w:rsidR="00ED6B9E" w:rsidRPr="00452DB8">
        <w:rPr>
          <w:rFonts w:ascii="Century Gothic" w:hAnsi="Century Gothic" w:cs="Arial"/>
          <w:b/>
          <w:sz w:val="36"/>
          <w:szCs w:val="36"/>
        </w:rPr>
        <w:t>departamento Fundamento</w:t>
      </w:r>
      <w:r w:rsidRPr="00452DB8">
        <w:rPr>
          <w:rFonts w:ascii="Century Gothic" w:hAnsi="Century Gothic" w:cs="Arial"/>
          <w:b/>
          <w:sz w:val="36"/>
          <w:szCs w:val="36"/>
        </w:rPr>
        <w:t>: Que el artículo</w:t>
      </w:r>
      <w:r w:rsidR="00ED6B9E" w:rsidRPr="00452DB8">
        <w:rPr>
          <w:rFonts w:ascii="Century Gothic" w:hAnsi="Century Gothic" w:cs="Arial"/>
          <w:b/>
          <w:sz w:val="36"/>
          <w:szCs w:val="36"/>
        </w:rPr>
        <w:t>.</w:t>
      </w:r>
      <w:r w:rsidRPr="00452DB8">
        <w:rPr>
          <w:rFonts w:ascii="Century Gothic" w:hAnsi="Century Gothic" w:cs="Arial"/>
          <w:b/>
          <w:sz w:val="36"/>
          <w:szCs w:val="36"/>
        </w:rPr>
        <w:t xml:space="preserve"> 4 de la Ley de Aguas Nacionales, establece que corresponde al Ejecutivo Federal la autoridad y administración en materia de aguas nacionales y sus bienes públicos inherentes, quien las ejercerá directamente o a través de la Comisión Nacional del Agua;</w:t>
      </w:r>
    </w:p>
    <w:p w:rsidR="004C49C1" w:rsidRPr="00452DB8" w:rsidRDefault="004C49C1" w:rsidP="00452DB8">
      <w:pPr>
        <w:jc w:val="both"/>
        <w:rPr>
          <w:rFonts w:ascii="Century Gothic" w:hAnsi="Century Gothic" w:cs="Arial"/>
          <w:b/>
          <w:sz w:val="36"/>
          <w:szCs w:val="36"/>
        </w:rPr>
      </w:pPr>
      <w:r w:rsidRPr="00452DB8">
        <w:rPr>
          <w:rFonts w:ascii="Century Gothic" w:hAnsi="Century Gothic" w:cs="Arial"/>
          <w:b/>
          <w:sz w:val="36"/>
          <w:szCs w:val="36"/>
        </w:rPr>
        <w:t>Que el artículo 9, fracciones VI y LIV de la Ley de Aguas Nacionales establece que la Comisión Nacional del Agua cuenta con atribuciones para emitir disposiciones de carácter general en materia de aguas nacionales y sus bienes públicos inherentes, así como realizar las demás facultades que se</w:t>
      </w:r>
      <w:r w:rsidR="00452DB8" w:rsidRPr="00452DB8">
        <w:rPr>
          <w:rFonts w:ascii="Century Gothic" w:hAnsi="Century Gothic" w:cs="Arial"/>
          <w:b/>
          <w:sz w:val="36"/>
          <w:szCs w:val="36"/>
        </w:rPr>
        <w:t>ñalen las disposiciones legales.</w:t>
      </w:r>
    </w:p>
    <w:p w:rsidR="004C49C1" w:rsidRPr="00452DB8" w:rsidRDefault="004C49C1" w:rsidP="00452DB8">
      <w:pPr>
        <w:jc w:val="both"/>
        <w:rPr>
          <w:rFonts w:ascii="Century Gothic" w:hAnsi="Century Gothic" w:cs="Arial"/>
          <w:b/>
          <w:sz w:val="36"/>
          <w:szCs w:val="36"/>
        </w:rPr>
      </w:pPr>
    </w:p>
    <w:sectPr w:rsidR="004C49C1" w:rsidRPr="00452DB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86E28" w:rsidRDefault="00D86E28" w:rsidP="00452DB8">
      <w:pPr>
        <w:spacing w:after="0" w:line="240" w:lineRule="auto"/>
      </w:pPr>
      <w:r>
        <w:separator/>
      </w:r>
    </w:p>
  </w:endnote>
  <w:endnote w:type="continuationSeparator" w:id="0">
    <w:p w:rsidR="00D86E28" w:rsidRDefault="00D86E28" w:rsidP="00452D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5F9C" w:rsidRDefault="00B25F9C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52DB8" w:rsidRPr="00FE236C" w:rsidRDefault="002660E8">
    <w:pPr>
      <w:pStyle w:val="Piedepgina"/>
      <w:rPr>
        <w:rFonts w:ascii="Century Gothic" w:hAnsi="Century Gothic"/>
        <w:b/>
        <w:lang w:val="es-ES"/>
      </w:rPr>
    </w:pPr>
    <w:r>
      <w:rPr>
        <w:rFonts w:ascii="Century Gothic" w:hAnsi="Century Gothic"/>
        <w:b/>
        <w:lang w:val="es-ES"/>
      </w:rPr>
      <w:t>01 AL 30 DE ABRIL DE 2024</w:t>
    </w:r>
    <w:bookmarkStart w:id="0" w:name="_GoBack"/>
    <w:bookmarkEnd w:id="0"/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5F9C" w:rsidRDefault="00B25F9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86E28" w:rsidRDefault="00D86E28" w:rsidP="00452DB8">
      <w:pPr>
        <w:spacing w:after="0" w:line="240" w:lineRule="auto"/>
      </w:pPr>
      <w:r>
        <w:separator/>
      </w:r>
    </w:p>
  </w:footnote>
  <w:footnote w:type="continuationSeparator" w:id="0">
    <w:p w:rsidR="00D86E28" w:rsidRDefault="00D86E28" w:rsidP="00452D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5F9C" w:rsidRDefault="00B25F9C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5F9C" w:rsidRDefault="00B25F9C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5F9C" w:rsidRDefault="00B25F9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12A5"/>
    <w:rsid w:val="00057CB0"/>
    <w:rsid w:val="000E5411"/>
    <w:rsid w:val="00191C02"/>
    <w:rsid w:val="001976F3"/>
    <w:rsid w:val="002230B1"/>
    <w:rsid w:val="00254074"/>
    <w:rsid w:val="00254480"/>
    <w:rsid w:val="002660E8"/>
    <w:rsid w:val="002818D0"/>
    <w:rsid w:val="00302893"/>
    <w:rsid w:val="003E7EB2"/>
    <w:rsid w:val="003F7123"/>
    <w:rsid w:val="0044355A"/>
    <w:rsid w:val="00452DB8"/>
    <w:rsid w:val="004C49C1"/>
    <w:rsid w:val="004C4E04"/>
    <w:rsid w:val="004E310D"/>
    <w:rsid w:val="00507DAE"/>
    <w:rsid w:val="005E79FF"/>
    <w:rsid w:val="00613D20"/>
    <w:rsid w:val="00625B49"/>
    <w:rsid w:val="006358B7"/>
    <w:rsid w:val="00786B53"/>
    <w:rsid w:val="00791BC8"/>
    <w:rsid w:val="007C46CF"/>
    <w:rsid w:val="007F12A5"/>
    <w:rsid w:val="008314AD"/>
    <w:rsid w:val="008674F0"/>
    <w:rsid w:val="009058C1"/>
    <w:rsid w:val="00A1227B"/>
    <w:rsid w:val="00A15163"/>
    <w:rsid w:val="00A34497"/>
    <w:rsid w:val="00AB1AD9"/>
    <w:rsid w:val="00AB1BDC"/>
    <w:rsid w:val="00B25F9C"/>
    <w:rsid w:val="00C80392"/>
    <w:rsid w:val="00C84075"/>
    <w:rsid w:val="00CA4E2C"/>
    <w:rsid w:val="00D12C7A"/>
    <w:rsid w:val="00D14599"/>
    <w:rsid w:val="00D53B2F"/>
    <w:rsid w:val="00D86E28"/>
    <w:rsid w:val="00DE58FF"/>
    <w:rsid w:val="00E11645"/>
    <w:rsid w:val="00EA3E65"/>
    <w:rsid w:val="00ED6B9E"/>
    <w:rsid w:val="00ED7A4F"/>
    <w:rsid w:val="00F123AD"/>
    <w:rsid w:val="00F47375"/>
    <w:rsid w:val="00F55BF7"/>
    <w:rsid w:val="00FB3A3A"/>
    <w:rsid w:val="00FE2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0CCB1E"/>
  <w15:chartTrackingRefBased/>
  <w15:docId w15:val="{783B94A3-449F-4F02-B134-FCBB7F3C5B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52DB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52DB8"/>
  </w:style>
  <w:style w:type="paragraph" w:styleId="Piedepgina">
    <w:name w:val="footer"/>
    <w:basedOn w:val="Normal"/>
    <w:link w:val="PiedepginaCar"/>
    <w:uiPriority w:val="99"/>
    <w:unhideWhenUsed/>
    <w:rsid w:val="00452DB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52DB8"/>
  </w:style>
  <w:style w:type="character" w:styleId="Hipervnculo">
    <w:name w:val="Hyperlink"/>
    <w:basedOn w:val="Fuentedeprrafopredeter"/>
    <w:uiPriority w:val="99"/>
    <w:semiHidden/>
    <w:unhideWhenUsed/>
    <w:rsid w:val="00D14599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248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gob.mx/cms/uploads/attachment/file/133396/INFORME_ESTUDIO_TECNICO_PARA_DECRETO_RESERVA_PANUCO_PARA_SLP_PARTE_2_DE_....pdf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143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Rosalba</dc:creator>
  <cp:keywords/>
  <dc:description/>
  <cp:lastModifiedBy>usuario</cp:lastModifiedBy>
  <cp:revision>12</cp:revision>
  <dcterms:created xsi:type="dcterms:W3CDTF">2023-09-12T15:47:00Z</dcterms:created>
  <dcterms:modified xsi:type="dcterms:W3CDTF">2024-05-13T16:16:00Z</dcterms:modified>
</cp:coreProperties>
</file>