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302C9" w14:textId="32183304" w:rsidR="009B38FD" w:rsidRDefault="00136A43">
      <w:r w:rsidRPr="00136A43">
        <w:rPr>
          <w:sz w:val="40"/>
          <w:szCs w:val="40"/>
        </w:rPr>
        <w:t>Este sujeto está facultado para requerir información necesaria, con fundamentos en la ley de turismo del estado de San Luis Potosí, del ART. 9 que corresponde a los estados y a la ciudad de México de conformidad con lo dispuesto en esta ley y a las leyes locales en materia turística. NO SE CUENTA CON INFORMACION, sobre destinos turísticos ni estadísticas sobre actividades turísticas, ya que nuestro municipio no cuenta con potencial turístico</w:t>
      </w:r>
      <w:r>
        <w:t>.</w:t>
      </w:r>
    </w:p>
    <w:sectPr w:rsidR="009B38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CEE"/>
    <w:rsid w:val="00136A43"/>
    <w:rsid w:val="008E1CEE"/>
    <w:rsid w:val="009B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E3B08F-4C87-49C5-8CBF-8CE4BAFF9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379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3</cp:revision>
  <dcterms:created xsi:type="dcterms:W3CDTF">2024-04-16T17:24:00Z</dcterms:created>
  <dcterms:modified xsi:type="dcterms:W3CDTF">2024-04-16T17:25:00Z</dcterms:modified>
</cp:coreProperties>
</file>