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183E" w:rsidRDefault="004926D2" w:rsidP="004926D2">
      <w:pPr>
        <w:jc w:val="both"/>
      </w:pPr>
      <w:r w:rsidRPr="004926D2">
        <w:t xml:space="preserve">Este sujeto obligado si está facultado para generar la información requerida con fundamento en el artículo 38 del Reglamento Interior de la Secretaría General de Gobierno y el artículo 29 del Reglamento Interior de la Contraloría General del Estado, sin </w:t>
      </w:r>
      <w:bookmarkStart w:id="0" w:name="_GoBack"/>
      <w:bookmarkEnd w:id="0"/>
      <w:r w:rsidR="00C91642" w:rsidRPr="004926D2">
        <w:t>embargo,</w:t>
      </w:r>
      <w:r w:rsidRPr="004926D2">
        <w:t xml:space="preserve"> durante el mes no se generó información</w:t>
      </w:r>
    </w:p>
    <w:sectPr w:rsidR="0036183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6D2"/>
    <w:rsid w:val="00030E35"/>
    <w:rsid w:val="004926D2"/>
    <w:rsid w:val="00611CB9"/>
    <w:rsid w:val="006141B2"/>
    <w:rsid w:val="00C91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73CADE-8D7A-4FF9-A804-1A03F3C39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Carolina Maldonado Rico</dc:creator>
  <cp:keywords/>
  <dc:description/>
  <cp:lastModifiedBy>Elena Carolina Maldonado Rico</cp:lastModifiedBy>
  <cp:revision>3</cp:revision>
  <dcterms:created xsi:type="dcterms:W3CDTF">2023-07-04T16:45:00Z</dcterms:created>
  <dcterms:modified xsi:type="dcterms:W3CDTF">2024-06-11T17:45:00Z</dcterms:modified>
</cp:coreProperties>
</file>