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14FC13" w14:textId="77777777" w:rsidR="00A3448F" w:rsidRDefault="00A3448F" w:rsidP="000D6439">
      <w:pPr>
        <w:spacing w:after="120" w:line="240" w:lineRule="auto"/>
        <w:ind w:left="2835"/>
        <w:jc w:val="both"/>
        <w:rPr>
          <w:rFonts w:ascii="Arial" w:hAnsi="Arial" w:cs="Arial"/>
          <w:b/>
          <w:sz w:val="24"/>
          <w:szCs w:val="26"/>
        </w:rPr>
      </w:pPr>
    </w:p>
    <w:p w14:paraId="5C745C82" w14:textId="77777777" w:rsidR="0007398E" w:rsidRPr="000D6439" w:rsidRDefault="0007398E" w:rsidP="000D6439">
      <w:pPr>
        <w:spacing w:after="120" w:line="240" w:lineRule="auto"/>
        <w:ind w:left="2835"/>
        <w:jc w:val="both"/>
        <w:rPr>
          <w:rFonts w:ascii="Arial" w:hAnsi="Arial" w:cs="Arial"/>
          <w:b/>
          <w:sz w:val="24"/>
          <w:szCs w:val="26"/>
        </w:rPr>
      </w:pPr>
    </w:p>
    <w:p w14:paraId="13F32F82" w14:textId="331BC20E" w:rsidR="00283888" w:rsidRDefault="00D0308A" w:rsidP="000D6439">
      <w:pPr>
        <w:spacing w:after="120" w:line="240" w:lineRule="auto"/>
        <w:ind w:left="2835"/>
        <w:jc w:val="both"/>
        <w:rPr>
          <w:rFonts w:ascii="Arial" w:hAnsi="Arial" w:cs="Arial"/>
          <w:sz w:val="24"/>
          <w:szCs w:val="26"/>
        </w:rPr>
      </w:pPr>
      <w:r w:rsidRPr="000D6439">
        <w:rPr>
          <w:rFonts w:ascii="Arial" w:hAnsi="Arial" w:cs="Arial"/>
          <w:b/>
          <w:sz w:val="24"/>
          <w:szCs w:val="26"/>
        </w:rPr>
        <w:t>R</w:t>
      </w:r>
      <w:r w:rsidR="00283888" w:rsidRPr="000D6439">
        <w:rPr>
          <w:rFonts w:ascii="Arial" w:hAnsi="Arial" w:cs="Arial"/>
          <w:b/>
          <w:sz w:val="24"/>
          <w:szCs w:val="26"/>
        </w:rPr>
        <w:t>ECURSO DE APELACIÓN:</w:t>
      </w:r>
      <w:r w:rsidR="00283888" w:rsidRPr="000D6439">
        <w:rPr>
          <w:rFonts w:ascii="Arial" w:hAnsi="Arial" w:cs="Arial"/>
          <w:sz w:val="24"/>
          <w:szCs w:val="26"/>
        </w:rPr>
        <w:t xml:space="preserve"> </w:t>
      </w:r>
      <w:r w:rsidR="00782BBE" w:rsidRPr="000D6439">
        <w:rPr>
          <w:rFonts w:ascii="Arial" w:hAnsi="Arial" w:cs="Arial"/>
          <w:sz w:val="24"/>
          <w:szCs w:val="26"/>
        </w:rPr>
        <w:t>81</w:t>
      </w:r>
      <w:r w:rsidR="00283888" w:rsidRPr="000D6439">
        <w:rPr>
          <w:rFonts w:ascii="Arial" w:hAnsi="Arial" w:cs="Arial"/>
          <w:sz w:val="24"/>
          <w:szCs w:val="26"/>
        </w:rPr>
        <w:t>/20</w:t>
      </w:r>
      <w:r w:rsidR="001D5810" w:rsidRPr="000D6439">
        <w:rPr>
          <w:rFonts w:ascii="Arial" w:hAnsi="Arial" w:cs="Arial"/>
          <w:sz w:val="24"/>
          <w:szCs w:val="26"/>
        </w:rPr>
        <w:t>2</w:t>
      </w:r>
      <w:r w:rsidR="00B13E2F" w:rsidRPr="000D6439">
        <w:rPr>
          <w:rFonts w:ascii="Arial" w:hAnsi="Arial" w:cs="Arial"/>
          <w:sz w:val="24"/>
          <w:szCs w:val="26"/>
        </w:rPr>
        <w:t>1</w:t>
      </w:r>
      <w:r w:rsidR="00283888" w:rsidRPr="000D6439">
        <w:rPr>
          <w:rFonts w:ascii="Arial" w:hAnsi="Arial" w:cs="Arial"/>
          <w:sz w:val="24"/>
          <w:szCs w:val="26"/>
        </w:rPr>
        <w:t>/SS</w:t>
      </w:r>
      <w:r w:rsidR="00D8676A">
        <w:rPr>
          <w:rFonts w:ascii="Arial" w:hAnsi="Arial" w:cs="Arial"/>
          <w:sz w:val="24"/>
          <w:szCs w:val="26"/>
        </w:rPr>
        <w:t>.</w:t>
      </w:r>
    </w:p>
    <w:p w14:paraId="41AC0CA3" w14:textId="092A1C53" w:rsidR="00C63564" w:rsidRPr="00C63564" w:rsidRDefault="00C63564" w:rsidP="00C63564">
      <w:pPr>
        <w:spacing w:after="120" w:line="240" w:lineRule="auto"/>
        <w:ind w:left="2835"/>
        <w:jc w:val="both"/>
        <w:rPr>
          <w:rFonts w:ascii="Arial" w:hAnsi="Arial" w:cs="Arial"/>
          <w:sz w:val="24"/>
          <w:szCs w:val="20"/>
        </w:rPr>
      </w:pPr>
      <w:r w:rsidRPr="00605E96">
        <w:rPr>
          <w:rFonts w:ascii="Arial" w:hAnsi="Arial" w:cs="Arial"/>
          <w:sz w:val="24"/>
          <w:szCs w:val="20"/>
        </w:rPr>
        <w:t>(</w:t>
      </w:r>
      <w:r>
        <w:rPr>
          <w:rFonts w:ascii="Arial" w:hAnsi="Arial" w:cs="Arial"/>
          <w:sz w:val="24"/>
          <w:szCs w:val="20"/>
        </w:rPr>
        <w:t xml:space="preserve">RESOLUCIÓN </w:t>
      </w:r>
      <w:r w:rsidRPr="00605E96">
        <w:rPr>
          <w:rFonts w:ascii="Arial" w:hAnsi="Arial" w:cs="Arial"/>
          <w:sz w:val="24"/>
          <w:szCs w:val="20"/>
        </w:rPr>
        <w:t>DI</w:t>
      </w:r>
      <w:r>
        <w:rPr>
          <w:rFonts w:ascii="Arial" w:hAnsi="Arial" w:cs="Arial"/>
          <w:sz w:val="24"/>
          <w:szCs w:val="20"/>
        </w:rPr>
        <w:t xml:space="preserve">CTADA EN CUMPLIMIENTO AL AMPARO DIRECTO </w:t>
      </w:r>
      <w:r w:rsidR="0050127A">
        <w:rPr>
          <w:rFonts w:ascii="Arial" w:hAnsi="Arial" w:cs="Arial"/>
          <w:color w:val="FF0000"/>
          <w:sz w:val="24"/>
          <w:szCs w:val="20"/>
        </w:rPr>
        <w:t>**********</w:t>
      </w:r>
      <w:r>
        <w:rPr>
          <w:rFonts w:ascii="Arial" w:hAnsi="Arial" w:cs="Arial"/>
          <w:sz w:val="24"/>
          <w:szCs w:val="20"/>
        </w:rPr>
        <w:t>/2022</w:t>
      </w:r>
      <w:r w:rsidRPr="00605E96">
        <w:rPr>
          <w:rFonts w:ascii="Arial" w:hAnsi="Arial" w:cs="Arial"/>
          <w:sz w:val="24"/>
          <w:szCs w:val="20"/>
        </w:rPr>
        <w:t>)</w:t>
      </w:r>
    </w:p>
    <w:p w14:paraId="737256C1" w14:textId="4AF0631C" w:rsidR="00283888" w:rsidRPr="000D6439" w:rsidRDefault="00283888" w:rsidP="000D6439">
      <w:pPr>
        <w:spacing w:after="120" w:line="240" w:lineRule="auto"/>
        <w:ind w:left="2835"/>
        <w:jc w:val="both"/>
        <w:rPr>
          <w:rFonts w:ascii="Arial" w:hAnsi="Arial" w:cs="Arial"/>
          <w:sz w:val="24"/>
          <w:szCs w:val="26"/>
        </w:rPr>
      </w:pPr>
      <w:r w:rsidRPr="000D6439">
        <w:rPr>
          <w:rFonts w:ascii="Arial" w:hAnsi="Arial" w:cs="Arial"/>
          <w:b/>
          <w:sz w:val="24"/>
          <w:szCs w:val="26"/>
        </w:rPr>
        <w:t>JUICIO CONTENCIOSO:</w:t>
      </w:r>
      <w:r w:rsidRPr="000D6439">
        <w:rPr>
          <w:rFonts w:ascii="Arial" w:hAnsi="Arial" w:cs="Arial"/>
          <w:sz w:val="24"/>
          <w:szCs w:val="26"/>
        </w:rPr>
        <w:t xml:space="preserve"> </w:t>
      </w:r>
      <w:r w:rsidR="00782BBE" w:rsidRPr="000D6439">
        <w:rPr>
          <w:rFonts w:ascii="Arial" w:hAnsi="Arial" w:cs="Arial"/>
          <w:sz w:val="24"/>
          <w:szCs w:val="26"/>
        </w:rPr>
        <w:t>541</w:t>
      </w:r>
      <w:r w:rsidR="00CF6527" w:rsidRPr="000D6439">
        <w:rPr>
          <w:rFonts w:ascii="Arial" w:hAnsi="Arial" w:cs="Arial"/>
          <w:sz w:val="24"/>
          <w:szCs w:val="26"/>
        </w:rPr>
        <w:t>/</w:t>
      </w:r>
      <w:r w:rsidRPr="000D6439">
        <w:rPr>
          <w:rFonts w:ascii="Arial" w:hAnsi="Arial" w:cs="Arial"/>
          <w:sz w:val="24"/>
          <w:szCs w:val="26"/>
        </w:rPr>
        <w:t>20</w:t>
      </w:r>
      <w:r w:rsidR="00782BBE" w:rsidRPr="000D6439">
        <w:rPr>
          <w:rFonts w:ascii="Arial" w:hAnsi="Arial" w:cs="Arial"/>
          <w:sz w:val="24"/>
          <w:szCs w:val="26"/>
        </w:rPr>
        <w:t>20</w:t>
      </w:r>
      <w:r w:rsidRPr="000D6439">
        <w:rPr>
          <w:rFonts w:ascii="Arial" w:hAnsi="Arial" w:cs="Arial"/>
          <w:sz w:val="24"/>
          <w:szCs w:val="26"/>
        </w:rPr>
        <w:t>/</w:t>
      </w:r>
      <w:r w:rsidR="00B13E2F" w:rsidRPr="000D6439">
        <w:rPr>
          <w:rFonts w:ascii="Arial" w:hAnsi="Arial" w:cs="Arial"/>
          <w:sz w:val="24"/>
          <w:szCs w:val="26"/>
        </w:rPr>
        <w:t>1</w:t>
      </w:r>
      <w:r w:rsidR="00D8676A">
        <w:rPr>
          <w:rFonts w:ascii="Arial" w:hAnsi="Arial" w:cs="Arial"/>
          <w:sz w:val="24"/>
          <w:szCs w:val="26"/>
        </w:rPr>
        <w:t>.</w:t>
      </w:r>
    </w:p>
    <w:p w14:paraId="69A2428D" w14:textId="5CB01416" w:rsidR="00283888" w:rsidRPr="000D6439" w:rsidRDefault="006261BC" w:rsidP="000D6439">
      <w:pPr>
        <w:spacing w:after="120" w:line="240" w:lineRule="auto"/>
        <w:ind w:left="2835"/>
        <w:jc w:val="both"/>
        <w:rPr>
          <w:rFonts w:ascii="Arial" w:hAnsi="Arial" w:cs="Arial"/>
          <w:sz w:val="24"/>
          <w:szCs w:val="26"/>
        </w:rPr>
      </w:pPr>
      <w:r w:rsidRPr="000D6439">
        <w:rPr>
          <w:rFonts w:ascii="Arial" w:hAnsi="Arial" w:cs="Arial"/>
          <w:b/>
          <w:sz w:val="24"/>
          <w:szCs w:val="26"/>
        </w:rPr>
        <w:t>ACTOR</w:t>
      </w:r>
      <w:r w:rsidR="00B13E2F" w:rsidRPr="000D6439">
        <w:rPr>
          <w:rFonts w:ascii="Arial" w:hAnsi="Arial" w:cs="Arial"/>
          <w:b/>
          <w:sz w:val="24"/>
          <w:szCs w:val="26"/>
        </w:rPr>
        <w:t>A</w:t>
      </w:r>
      <w:r w:rsidR="00782BBE" w:rsidRPr="000D6439">
        <w:rPr>
          <w:rFonts w:ascii="Arial" w:hAnsi="Arial" w:cs="Arial"/>
          <w:b/>
          <w:sz w:val="24"/>
          <w:szCs w:val="26"/>
        </w:rPr>
        <w:t xml:space="preserve"> Y RECURRENTE</w:t>
      </w:r>
      <w:r w:rsidR="006A3198" w:rsidRPr="000D6439">
        <w:rPr>
          <w:rFonts w:ascii="Arial" w:hAnsi="Arial" w:cs="Arial"/>
          <w:b/>
          <w:sz w:val="24"/>
          <w:szCs w:val="26"/>
        </w:rPr>
        <w:t>:</w:t>
      </w:r>
      <w:r w:rsidR="000B65F0" w:rsidRPr="000D6439">
        <w:rPr>
          <w:rFonts w:ascii="Arial" w:hAnsi="Arial" w:cs="Arial"/>
          <w:b/>
          <w:sz w:val="24"/>
          <w:szCs w:val="26"/>
        </w:rPr>
        <w:t xml:space="preserve"> </w:t>
      </w:r>
      <w:r w:rsidR="0050127A">
        <w:rPr>
          <w:rFonts w:ascii="Arial" w:hAnsi="Arial" w:cs="Arial"/>
          <w:b/>
          <w:color w:val="FF0000"/>
          <w:sz w:val="24"/>
          <w:szCs w:val="26"/>
        </w:rPr>
        <w:t>**********</w:t>
      </w:r>
      <w:r w:rsidR="00283888" w:rsidRPr="000D6439">
        <w:rPr>
          <w:rFonts w:ascii="Arial" w:hAnsi="Arial" w:cs="Arial"/>
          <w:b/>
          <w:sz w:val="24"/>
          <w:szCs w:val="26"/>
        </w:rPr>
        <w:t>DEMANDAD</w:t>
      </w:r>
      <w:r w:rsidR="00CF6527" w:rsidRPr="000D6439">
        <w:rPr>
          <w:rFonts w:ascii="Arial" w:hAnsi="Arial" w:cs="Arial"/>
          <w:b/>
          <w:sz w:val="24"/>
          <w:szCs w:val="26"/>
        </w:rPr>
        <w:t>A</w:t>
      </w:r>
      <w:r w:rsidR="00B13E2F" w:rsidRPr="000D6439">
        <w:rPr>
          <w:rFonts w:ascii="Arial" w:hAnsi="Arial" w:cs="Arial"/>
          <w:b/>
          <w:sz w:val="24"/>
          <w:szCs w:val="26"/>
        </w:rPr>
        <w:t>S</w:t>
      </w:r>
      <w:r w:rsidR="006A3198" w:rsidRPr="000D6439">
        <w:rPr>
          <w:rFonts w:ascii="Arial" w:hAnsi="Arial" w:cs="Arial"/>
          <w:b/>
          <w:sz w:val="24"/>
          <w:szCs w:val="26"/>
        </w:rPr>
        <w:t>:</w:t>
      </w:r>
      <w:r w:rsidR="00B13E2F" w:rsidRPr="000D6439">
        <w:rPr>
          <w:rFonts w:ascii="Arial" w:hAnsi="Arial" w:cs="Arial"/>
          <w:b/>
          <w:sz w:val="24"/>
          <w:szCs w:val="26"/>
        </w:rPr>
        <w:t xml:space="preserve"> </w:t>
      </w:r>
      <w:r w:rsidR="00782BBE" w:rsidRPr="000D6439">
        <w:rPr>
          <w:rFonts w:ascii="Arial" w:hAnsi="Arial" w:cs="Arial"/>
          <w:sz w:val="24"/>
          <w:szCs w:val="26"/>
        </w:rPr>
        <w:t xml:space="preserve">PRESIDENTE, </w:t>
      </w:r>
      <w:r w:rsidR="00664445" w:rsidRPr="000D6439">
        <w:rPr>
          <w:rFonts w:ascii="Arial" w:hAnsi="Arial" w:cs="Arial"/>
          <w:sz w:val="24"/>
          <w:szCs w:val="26"/>
        </w:rPr>
        <w:t>CABILDO Y AYUNTAMIENTO</w:t>
      </w:r>
      <w:r w:rsidR="00D23756" w:rsidRPr="000D6439">
        <w:rPr>
          <w:rFonts w:ascii="Arial" w:hAnsi="Arial" w:cs="Arial"/>
          <w:sz w:val="24"/>
          <w:szCs w:val="26"/>
        </w:rPr>
        <w:t xml:space="preserve">, </w:t>
      </w:r>
      <w:r w:rsidR="00E13B03" w:rsidRPr="000D6439">
        <w:rPr>
          <w:rFonts w:ascii="Arial" w:hAnsi="Arial" w:cs="Arial"/>
          <w:sz w:val="24"/>
          <w:szCs w:val="26"/>
        </w:rPr>
        <w:t>TODOS</w:t>
      </w:r>
      <w:r w:rsidR="00D23756" w:rsidRPr="000D6439">
        <w:rPr>
          <w:rFonts w:ascii="Arial" w:hAnsi="Arial" w:cs="Arial"/>
          <w:sz w:val="24"/>
          <w:szCs w:val="26"/>
        </w:rPr>
        <w:t xml:space="preserve"> </w:t>
      </w:r>
      <w:r w:rsidR="00664445" w:rsidRPr="000D6439">
        <w:rPr>
          <w:rFonts w:ascii="Arial" w:hAnsi="Arial" w:cs="Arial"/>
          <w:sz w:val="24"/>
          <w:szCs w:val="26"/>
        </w:rPr>
        <w:t>DEL MUNICIPIO DE SAN LUIS POTOSÍ;</w:t>
      </w:r>
      <w:r w:rsidR="00C50F97" w:rsidRPr="000D6439">
        <w:rPr>
          <w:rFonts w:ascii="Arial" w:hAnsi="Arial" w:cs="Arial"/>
          <w:sz w:val="24"/>
          <w:szCs w:val="26"/>
        </w:rPr>
        <w:t xml:space="preserve"> ASI</w:t>
      </w:r>
      <w:r w:rsidR="00D23756" w:rsidRPr="000D6439">
        <w:rPr>
          <w:rFonts w:ascii="Arial" w:hAnsi="Arial" w:cs="Arial"/>
          <w:sz w:val="24"/>
          <w:szCs w:val="26"/>
        </w:rPr>
        <w:t>MISMO,</w:t>
      </w:r>
      <w:r w:rsidR="00664445" w:rsidRPr="000D6439">
        <w:rPr>
          <w:rFonts w:ascii="Arial" w:hAnsi="Arial" w:cs="Arial"/>
          <w:sz w:val="24"/>
          <w:szCs w:val="26"/>
        </w:rPr>
        <w:t xml:space="preserve"> PRESIDENTE, CABILDO, AYUNTAMIENTO, </w:t>
      </w:r>
      <w:r w:rsidR="00782BBE" w:rsidRPr="000D6439">
        <w:rPr>
          <w:rFonts w:ascii="Arial" w:hAnsi="Arial" w:cs="Arial"/>
          <w:sz w:val="24"/>
          <w:szCs w:val="26"/>
        </w:rPr>
        <w:t xml:space="preserve">Y DIRECTOR </w:t>
      </w:r>
      <w:r w:rsidR="00B13E2F" w:rsidRPr="000D6439">
        <w:rPr>
          <w:rFonts w:ascii="Arial" w:hAnsi="Arial" w:cs="Arial"/>
          <w:sz w:val="24"/>
          <w:szCs w:val="26"/>
        </w:rPr>
        <w:t>DESARROLLO URBANO</w:t>
      </w:r>
      <w:r w:rsidR="00782BBE" w:rsidRPr="000D6439">
        <w:rPr>
          <w:rFonts w:ascii="Arial" w:hAnsi="Arial" w:cs="Arial"/>
          <w:sz w:val="24"/>
          <w:szCs w:val="26"/>
        </w:rPr>
        <w:t xml:space="preserve"> Y CATASTRO</w:t>
      </w:r>
      <w:r w:rsidR="00B13E2F" w:rsidRPr="000D6439">
        <w:rPr>
          <w:rFonts w:ascii="Arial" w:hAnsi="Arial" w:cs="Arial"/>
          <w:sz w:val="24"/>
          <w:szCs w:val="26"/>
        </w:rPr>
        <w:t xml:space="preserve">, </w:t>
      </w:r>
      <w:r w:rsidR="00782BBE" w:rsidRPr="000D6439">
        <w:rPr>
          <w:rFonts w:ascii="Arial" w:hAnsi="Arial" w:cs="Arial"/>
          <w:sz w:val="24"/>
          <w:szCs w:val="26"/>
        </w:rPr>
        <w:t>TODOS</w:t>
      </w:r>
      <w:r w:rsidR="00B13E2F" w:rsidRPr="000D6439">
        <w:rPr>
          <w:rFonts w:ascii="Arial" w:hAnsi="Arial" w:cs="Arial"/>
          <w:sz w:val="24"/>
          <w:szCs w:val="26"/>
        </w:rPr>
        <w:t xml:space="preserve"> DEL </w:t>
      </w:r>
      <w:r w:rsidR="00D23756" w:rsidRPr="000D6439">
        <w:rPr>
          <w:rFonts w:ascii="Arial" w:hAnsi="Arial" w:cs="Arial"/>
          <w:sz w:val="24"/>
          <w:szCs w:val="26"/>
        </w:rPr>
        <w:t xml:space="preserve">MUNICIPIO </w:t>
      </w:r>
      <w:r w:rsidR="00090D03" w:rsidRPr="000D6439">
        <w:rPr>
          <w:rFonts w:ascii="Arial" w:hAnsi="Arial" w:cs="Arial"/>
          <w:sz w:val="24"/>
          <w:szCs w:val="26"/>
        </w:rPr>
        <w:t xml:space="preserve">DE </w:t>
      </w:r>
      <w:r w:rsidR="00782BBE" w:rsidRPr="000D6439">
        <w:rPr>
          <w:rFonts w:ascii="Arial" w:hAnsi="Arial" w:cs="Arial"/>
          <w:sz w:val="24"/>
          <w:szCs w:val="26"/>
        </w:rPr>
        <w:t>SOLEDAD DE GRACIANO SÁNCHEZ</w:t>
      </w:r>
      <w:r w:rsidR="00E13B03" w:rsidRPr="000D6439">
        <w:rPr>
          <w:rFonts w:ascii="Arial" w:hAnsi="Arial" w:cs="Arial"/>
          <w:sz w:val="24"/>
          <w:szCs w:val="26"/>
        </w:rPr>
        <w:t>.</w:t>
      </w:r>
    </w:p>
    <w:p w14:paraId="10E00CF8" w14:textId="554279AB" w:rsidR="00283888" w:rsidRPr="000D6439" w:rsidRDefault="00283888" w:rsidP="000D6439">
      <w:pPr>
        <w:spacing w:after="120" w:line="240" w:lineRule="auto"/>
        <w:ind w:left="2835"/>
        <w:jc w:val="both"/>
        <w:rPr>
          <w:rFonts w:ascii="Arial" w:hAnsi="Arial" w:cs="Arial"/>
          <w:sz w:val="24"/>
          <w:szCs w:val="26"/>
        </w:rPr>
      </w:pPr>
      <w:r w:rsidRPr="000D6439">
        <w:rPr>
          <w:rFonts w:ascii="Arial" w:hAnsi="Arial" w:cs="Arial"/>
          <w:b/>
          <w:sz w:val="24"/>
          <w:szCs w:val="26"/>
        </w:rPr>
        <w:t xml:space="preserve">MAGISTRADO: </w:t>
      </w:r>
      <w:r w:rsidR="00782BBE" w:rsidRPr="000D6439">
        <w:rPr>
          <w:rFonts w:ascii="Arial" w:hAnsi="Arial" w:cs="Arial"/>
          <w:sz w:val="24"/>
          <w:szCs w:val="26"/>
        </w:rPr>
        <w:t>CLAUDIO ALBERTO ALVARADO BARRAGÁN</w:t>
      </w:r>
      <w:r w:rsidR="00D8676A">
        <w:rPr>
          <w:rFonts w:ascii="Arial" w:hAnsi="Arial" w:cs="Arial"/>
          <w:sz w:val="24"/>
          <w:szCs w:val="26"/>
        </w:rPr>
        <w:t>.</w:t>
      </w:r>
    </w:p>
    <w:p w14:paraId="7E5E2F3A" w14:textId="530233A7" w:rsidR="00283888" w:rsidRPr="000D6439" w:rsidRDefault="00283888" w:rsidP="000D6439">
      <w:pPr>
        <w:spacing w:after="120" w:line="240" w:lineRule="auto"/>
        <w:ind w:left="2835"/>
        <w:jc w:val="both"/>
        <w:rPr>
          <w:rFonts w:ascii="Arial" w:hAnsi="Arial" w:cs="Arial"/>
          <w:sz w:val="24"/>
          <w:szCs w:val="26"/>
        </w:rPr>
      </w:pPr>
      <w:r w:rsidRPr="000D6439">
        <w:rPr>
          <w:rFonts w:ascii="Arial" w:hAnsi="Arial" w:cs="Arial"/>
          <w:b/>
          <w:sz w:val="24"/>
          <w:szCs w:val="26"/>
        </w:rPr>
        <w:t>SECRETARI</w:t>
      </w:r>
      <w:r w:rsidR="00C63564">
        <w:rPr>
          <w:rFonts w:ascii="Arial" w:hAnsi="Arial" w:cs="Arial"/>
          <w:b/>
          <w:sz w:val="24"/>
          <w:szCs w:val="26"/>
        </w:rPr>
        <w:t>A</w:t>
      </w:r>
      <w:r w:rsidRPr="000D6439">
        <w:rPr>
          <w:rFonts w:ascii="Arial" w:hAnsi="Arial" w:cs="Arial"/>
          <w:b/>
          <w:sz w:val="24"/>
          <w:szCs w:val="26"/>
        </w:rPr>
        <w:t xml:space="preserve">: </w:t>
      </w:r>
      <w:r w:rsidR="00C63564">
        <w:rPr>
          <w:rFonts w:ascii="Arial" w:hAnsi="Arial" w:cs="Arial"/>
          <w:sz w:val="24"/>
          <w:szCs w:val="26"/>
        </w:rPr>
        <w:t>TERESA DE JESÚS MOLINA AGUIÑAGA</w:t>
      </w:r>
      <w:r w:rsidR="00D8676A">
        <w:rPr>
          <w:rFonts w:ascii="Arial" w:hAnsi="Arial" w:cs="Arial"/>
          <w:sz w:val="24"/>
          <w:szCs w:val="26"/>
        </w:rPr>
        <w:t>.</w:t>
      </w:r>
    </w:p>
    <w:p w14:paraId="598F9173" w14:textId="6A88BDFB" w:rsidR="00384281" w:rsidRDefault="00384281" w:rsidP="00277E3C">
      <w:pPr>
        <w:spacing w:after="120" w:line="360" w:lineRule="auto"/>
        <w:ind w:left="2835"/>
        <w:jc w:val="both"/>
        <w:rPr>
          <w:rFonts w:ascii="Arial" w:hAnsi="Arial" w:cs="Arial"/>
          <w:sz w:val="24"/>
          <w:szCs w:val="28"/>
        </w:rPr>
      </w:pPr>
    </w:p>
    <w:p w14:paraId="729E0C22" w14:textId="77777777" w:rsidR="000D6439" w:rsidRPr="00C63564" w:rsidRDefault="000D6439" w:rsidP="00C63564">
      <w:pPr>
        <w:spacing w:after="0" w:line="360" w:lineRule="auto"/>
        <w:ind w:left="2835"/>
        <w:jc w:val="both"/>
        <w:rPr>
          <w:rFonts w:ascii="Arial" w:hAnsi="Arial" w:cs="Arial"/>
          <w:sz w:val="28"/>
          <w:szCs w:val="28"/>
        </w:rPr>
      </w:pPr>
    </w:p>
    <w:p w14:paraId="7A497598" w14:textId="1EBF132D" w:rsidR="00283888" w:rsidRDefault="00283888" w:rsidP="00C63564">
      <w:pPr>
        <w:spacing w:after="0" w:line="360" w:lineRule="auto"/>
        <w:ind w:firstLine="851"/>
        <w:jc w:val="both"/>
        <w:rPr>
          <w:rFonts w:ascii="Arial" w:hAnsi="Arial" w:cs="Arial"/>
          <w:b/>
          <w:sz w:val="28"/>
          <w:szCs w:val="28"/>
        </w:rPr>
      </w:pPr>
      <w:r w:rsidRPr="00C63564">
        <w:rPr>
          <w:rFonts w:ascii="Arial" w:hAnsi="Arial" w:cs="Arial"/>
          <w:b/>
          <w:sz w:val="28"/>
          <w:szCs w:val="28"/>
        </w:rPr>
        <w:t xml:space="preserve">San Luis Potosí, San Luis Potosí, </w:t>
      </w:r>
      <w:r w:rsidR="00C63564" w:rsidRPr="00C63564">
        <w:rPr>
          <w:rFonts w:ascii="Arial" w:hAnsi="Arial" w:cs="Arial"/>
          <w:b/>
          <w:sz w:val="28"/>
          <w:szCs w:val="28"/>
        </w:rPr>
        <w:t>ocho</w:t>
      </w:r>
      <w:r w:rsidR="005A5D47" w:rsidRPr="00C63564">
        <w:rPr>
          <w:rFonts w:ascii="Arial" w:hAnsi="Arial" w:cs="Arial"/>
          <w:b/>
          <w:sz w:val="28"/>
          <w:szCs w:val="28"/>
        </w:rPr>
        <w:t xml:space="preserve"> </w:t>
      </w:r>
      <w:r w:rsidRPr="00C63564">
        <w:rPr>
          <w:rFonts w:ascii="Arial" w:hAnsi="Arial" w:cs="Arial"/>
          <w:b/>
          <w:sz w:val="28"/>
          <w:szCs w:val="28"/>
        </w:rPr>
        <w:t xml:space="preserve">de </w:t>
      </w:r>
      <w:r w:rsidR="000D6439" w:rsidRPr="00C63564">
        <w:rPr>
          <w:rFonts w:ascii="Arial" w:hAnsi="Arial" w:cs="Arial"/>
          <w:b/>
          <w:sz w:val="28"/>
          <w:szCs w:val="28"/>
        </w:rPr>
        <w:t>mayo</w:t>
      </w:r>
      <w:r w:rsidRPr="00C63564">
        <w:rPr>
          <w:rFonts w:ascii="Arial" w:hAnsi="Arial" w:cs="Arial"/>
          <w:b/>
          <w:sz w:val="28"/>
          <w:szCs w:val="28"/>
        </w:rPr>
        <w:t xml:space="preserve"> de dos mil ve</w:t>
      </w:r>
      <w:r w:rsidR="00E80F49" w:rsidRPr="00C63564">
        <w:rPr>
          <w:rFonts w:ascii="Arial" w:hAnsi="Arial" w:cs="Arial"/>
          <w:b/>
          <w:sz w:val="28"/>
          <w:szCs w:val="28"/>
        </w:rPr>
        <w:t>int</w:t>
      </w:r>
      <w:r w:rsidR="005F5E18" w:rsidRPr="00C63564">
        <w:rPr>
          <w:rFonts w:ascii="Arial" w:hAnsi="Arial" w:cs="Arial"/>
          <w:b/>
          <w:sz w:val="28"/>
          <w:szCs w:val="28"/>
        </w:rPr>
        <w:t>i</w:t>
      </w:r>
      <w:r w:rsidR="000D6439" w:rsidRPr="00C63564">
        <w:rPr>
          <w:rFonts w:ascii="Arial" w:hAnsi="Arial" w:cs="Arial"/>
          <w:b/>
          <w:sz w:val="28"/>
          <w:szCs w:val="28"/>
        </w:rPr>
        <w:t>cuatro.</w:t>
      </w:r>
    </w:p>
    <w:p w14:paraId="7151D9B7" w14:textId="77777777" w:rsidR="00C63564" w:rsidRDefault="00C63564" w:rsidP="00C63564">
      <w:pPr>
        <w:spacing w:after="0" w:line="360" w:lineRule="auto"/>
        <w:ind w:firstLine="851"/>
        <w:jc w:val="both"/>
        <w:rPr>
          <w:rFonts w:ascii="Arial" w:hAnsi="Arial" w:cs="Arial"/>
          <w:b/>
          <w:sz w:val="28"/>
          <w:szCs w:val="28"/>
        </w:rPr>
      </w:pPr>
    </w:p>
    <w:p w14:paraId="4E2B57A5" w14:textId="77777777" w:rsidR="00C116EA" w:rsidRPr="00C63564" w:rsidRDefault="00C116EA" w:rsidP="00C63564">
      <w:pPr>
        <w:spacing w:after="0" w:line="360" w:lineRule="auto"/>
        <w:ind w:firstLine="851"/>
        <w:jc w:val="both"/>
        <w:rPr>
          <w:rFonts w:ascii="Arial" w:hAnsi="Arial" w:cs="Arial"/>
          <w:b/>
          <w:sz w:val="28"/>
          <w:szCs w:val="28"/>
        </w:rPr>
      </w:pPr>
    </w:p>
    <w:p w14:paraId="7537F8F8" w14:textId="36ACA6EF" w:rsidR="000D6439" w:rsidRDefault="00283888" w:rsidP="00C63564">
      <w:pPr>
        <w:spacing w:after="0" w:line="360" w:lineRule="auto"/>
        <w:ind w:firstLine="851"/>
        <w:jc w:val="both"/>
        <w:rPr>
          <w:rFonts w:ascii="Arial" w:hAnsi="Arial" w:cs="Arial"/>
          <w:sz w:val="28"/>
          <w:szCs w:val="28"/>
        </w:rPr>
      </w:pPr>
      <w:r w:rsidRPr="00C63564">
        <w:rPr>
          <w:rStyle w:val="Bodytext2Spacing4pt"/>
          <w:sz w:val="28"/>
          <w:szCs w:val="28"/>
        </w:rPr>
        <w:t>VISTO</w:t>
      </w:r>
      <w:r w:rsidRPr="00C63564">
        <w:rPr>
          <w:rFonts w:ascii="Arial" w:hAnsi="Arial" w:cs="Arial"/>
          <w:color w:val="000000"/>
          <w:sz w:val="28"/>
          <w:szCs w:val="28"/>
          <w:lang w:val="es-ES" w:eastAsia="es-ES" w:bidi="es-ES"/>
        </w:rPr>
        <w:t xml:space="preserve">S para resolver los autos del Toca número </w:t>
      </w:r>
      <w:r w:rsidR="00B13E2F" w:rsidRPr="00C63564">
        <w:rPr>
          <w:rFonts w:ascii="Arial" w:hAnsi="Arial" w:cs="Arial"/>
          <w:b/>
          <w:color w:val="000000"/>
          <w:sz w:val="28"/>
          <w:szCs w:val="28"/>
          <w:lang w:val="es-ES" w:eastAsia="es-ES" w:bidi="es-ES"/>
        </w:rPr>
        <w:t>8</w:t>
      </w:r>
      <w:r w:rsidR="00782BBE" w:rsidRPr="00C63564">
        <w:rPr>
          <w:rFonts w:ascii="Arial" w:hAnsi="Arial" w:cs="Arial"/>
          <w:b/>
          <w:color w:val="000000"/>
          <w:sz w:val="28"/>
          <w:szCs w:val="28"/>
          <w:lang w:val="es-ES" w:eastAsia="es-ES" w:bidi="es-ES"/>
        </w:rPr>
        <w:t>1</w:t>
      </w:r>
      <w:r w:rsidRPr="00C63564">
        <w:rPr>
          <w:rFonts w:ascii="Arial" w:hAnsi="Arial" w:cs="Arial"/>
          <w:b/>
          <w:color w:val="000000"/>
          <w:sz w:val="28"/>
          <w:szCs w:val="28"/>
          <w:lang w:val="es-ES" w:eastAsia="es-ES" w:bidi="es-ES"/>
        </w:rPr>
        <w:t>/20</w:t>
      </w:r>
      <w:r w:rsidR="00B13E2F" w:rsidRPr="00C63564">
        <w:rPr>
          <w:rFonts w:ascii="Arial" w:hAnsi="Arial" w:cs="Arial"/>
          <w:b/>
          <w:color w:val="000000"/>
          <w:sz w:val="28"/>
          <w:szCs w:val="28"/>
          <w:lang w:val="es-ES" w:eastAsia="es-ES" w:bidi="es-ES"/>
        </w:rPr>
        <w:t>21</w:t>
      </w:r>
      <w:r w:rsidRPr="00C63564">
        <w:rPr>
          <w:rFonts w:ascii="Arial" w:hAnsi="Arial" w:cs="Arial"/>
          <w:b/>
          <w:color w:val="000000"/>
          <w:sz w:val="28"/>
          <w:szCs w:val="28"/>
          <w:lang w:val="es-ES" w:eastAsia="es-ES" w:bidi="es-ES"/>
        </w:rPr>
        <w:t>/SS</w:t>
      </w:r>
      <w:r w:rsidRPr="00C63564">
        <w:rPr>
          <w:rFonts w:ascii="Arial" w:hAnsi="Arial" w:cs="Arial"/>
          <w:color w:val="000000"/>
          <w:sz w:val="28"/>
          <w:szCs w:val="28"/>
          <w:lang w:val="es-ES" w:eastAsia="es-ES" w:bidi="es-ES"/>
        </w:rPr>
        <w:t xml:space="preserve"> formado con</w:t>
      </w:r>
      <w:r w:rsidRPr="00C63564">
        <w:rPr>
          <w:rStyle w:val="Bodytext2"/>
          <w:sz w:val="28"/>
          <w:szCs w:val="28"/>
        </w:rPr>
        <w:t xml:space="preserve"> </w:t>
      </w:r>
      <w:r w:rsidRPr="00C63564">
        <w:rPr>
          <w:rFonts w:ascii="Arial" w:hAnsi="Arial" w:cs="Arial"/>
          <w:color w:val="000000"/>
          <w:sz w:val="28"/>
          <w:szCs w:val="28"/>
          <w:lang w:val="es-ES" w:eastAsia="es-ES" w:bidi="es-ES"/>
        </w:rPr>
        <w:t>motivo de la interposición del</w:t>
      </w:r>
      <w:r w:rsidR="00AD0431" w:rsidRPr="00C63564">
        <w:rPr>
          <w:rFonts w:ascii="Arial" w:hAnsi="Arial" w:cs="Arial"/>
          <w:color w:val="000000"/>
          <w:sz w:val="28"/>
          <w:szCs w:val="28"/>
          <w:lang w:val="es-ES" w:eastAsia="es-ES" w:bidi="es-ES"/>
        </w:rPr>
        <w:t xml:space="preserve"> </w:t>
      </w:r>
      <w:r w:rsidRPr="00C63564">
        <w:rPr>
          <w:rFonts w:ascii="Arial" w:hAnsi="Arial" w:cs="Arial"/>
          <w:color w:val="000000"/>
          <w:sz w:val="28"/>
          <w:szCs w:val="28"/>
          <w:lang w:val="es-ES" w:eastAsia="es-ES" w:bidi="es-ES"/>
        </w:rPr>
        <w:t xml:space="preserve">recurso de apelación presentado el </w:t>
      </w:r>
      <w:r w:rsidR="00782BBE" w:rsidRPr="00C63564">
        <w:rPr>
          <w:rFonts w:ascii="Arial" w:hAnsi="Arial" w:cs="Arial"/>
          <w:color w:val="0000FF"/>
          <w:sz w:val="28"/>
          <w:szCs w:val="28"/>
          <w:lang w:val="es-ES" w:eastAsia="es-ES" w:bidi="es-ES"/>
        </w:rPr>
        <w:t>diez</w:t>
      </w:r>
      <w:r w:rsidR="00ED6CC3" w:rsidRPr="00C63564">
        <w:rPr>
          <w:rFonts w:ascii="Arial" w:hAnsi="Arial" w:cs="Arial"/>
          <w:color w:val="0000FF"/>
          <w:sz w:val="28"/>
          <w:szCs w:val="28"/>
          <w:lang w:val="es-ES" w:eastAsia="es-ES" w:bidi="es-ES"/>
        </w:rPr>
        <w:t xml:space="preserve"> de </w:t>
      </w:r>
      <w:r w:rsidR="00782BBE" w:rsidRPr="00C63564">
        <w:rPr>
          <w:rFonts w:ascii="Arial" w:hAnsi="Arial" w:cs="Arial"/>
          <w:color w:val="0000FF"/>
          <w:sz w:val="28"/>
          <w:szCs w:val="28"/>
          <w:lang w:val="es-ES" w:eastAsia="es-ES" w:bidi="es-ES"/>
        </w:rPr>
        <w:t>noviembre</w:t>
      </w:r>
      <w:r w:rsidR="00ED6CC3" w:rsidRPr="00C63564">
        <w:rPr>
          <w:rFonts w:ascii="Arial" w:hAnsi="Arial" w:cs="Arial"/>
          <w:color w:val="0000FF"/>
          <w:sz w:val="28"/>
          <w:szCs w:val="28"/>
          <w:lang w:val="es-ES" w:eastAsia="es-ES" w:bidi="es-ES"/>
        </w:rPr>
        <w:t xml:space="preserve"> de dos mil veintiuno</w:t>
      </w:r>
      <w:r w:rsidR="00F572FF" w:rsidRPr="00C63564">
        <w:rPr>
          <w:rFonts w:ascii="Arial" w:hAnsi="Arial" w:cs="Arial"/>
          <w:color w:val="000000"/>
          <w:sz w:val="28"/>
          <w:szCs w:val="28"/>
          <w:lang w:val="es-ES" w:eastAsia="es-ES" w:bidi="es-ES"/>
        </w:rPr>
        <w:t>,</w:t>
      </w:r>
      <w:r w:rsidRPr="00C63564">
        <w:rPr>
          <w:rFonts w:ascii="Arial" w:hAnsi="Arial" w:cs="Arial"/>
          <w:color w:val="000000"/>
          <w:sz w:val="28"/>
          <w:szCs w:val="28"/>
          <w:lang w:val="es-ES" w:eastAsia="es-ES" w:bidi="es-ES"/>
        </w:rPr>
        <w:t xml:space="preserve"> por </w:t>
      </w:r>
      <w:r w:rsidR="004D7FB2" w:rsidRPr="00C63564">
        <w:rPr>
          <w:rFonts w:ascii="Arial" w:hAnsi="Arial" w:cs="Arial"/>
          <w:color w:val="000000"/>
          <w:sz w:val="28"/>
          <w:szCs w:val="28"/>
          <w:lang w:val="es-ES" w:eastAsia="es-ES" w:bidi="es-ES"/>
        </w:rPr>
        <w:t>l</w:t>
      </w:r>
      <w:r w:rsidR="00ED6CC3" w:rsidRPr="00C63564">
        <w:rPr>
          <w:rFonts w:ascii="Arial" w:hAnsi="Arial" w:cs="Arial"/>
          <w:color w:val="000000"/>
          <w:sz w:val="28"/>
          <w:szCs w:val="28"/>
          <w:lang w:val="es-ES" w:eastAsia="es-ES" w:bidi="es-ES"/>
        </w:rPr>
        <w:t xml:space="preserve">a </w:t>
      </w:r>
      <w:r w:rsidR="000D6439" w:rsidRPr="00C63564">
        <w:rPr>
          <w:rFonts w:ascii="Arial" w:hAnsi="Arial" w:cs="Arial"/>
          <w:color w:val="000000"/>
          <w:sz w:val="28"/>
          <w:szCs w:val="28"/>
          <w:lang w:val="es-ES" w:eastAsia="es-ES" w:bidi="es-ES"/>
        </w:rPr>
        <w:t>persona moral “</w:t>
      </w:r>
      <w:r w:rsidR="0050127A">
        <w:rPr>
          <w:rFonts w:ascii="Arial" w:hAnsi="Arial" w:cs="Arial"/>
          <w:b/>
          <w:color w:val="FF0000"/>
          <w:sz w:val="28"/>
          <w:szCs w:val="28"/>
        </w:rPr>
        <w:t>**********</w:t>
      </w:r>
      <w:r w:rsidR="00ED6CC3" w:rsidRPr="00C63564">
        <w:rPr>
          <w:rFonts w:ascii="Arial" w:hAnsi="Arial" w:cs="Arial"/>
          <w:b/>
          <w:sz w:val="28"/>
          <w:szCs w:val="28"/>
        </w:rPr>
        <w:t>,</w:t>
      </w:r>
      <w:r w:rsidR="00ED6CC3" w:rsidRPr="00C63564">
        <w:rPr>
          <w:rFonts w:ascii="Arial" w:hAnsi="Arial" w:cs="Arial"/>
          <w:sz w:val="28"/>
          <w:szCs w:val="28"/>
        </w:rPr>
        <w:t xml:space="preserve"> por conducto de su autorizad</w:t>
      </w:r>
      <w:r w:rsidR="00782BBE" w:rsidRPr="00C63564">
        <w:rPr>
          <w:rFonts w:ascii="Arial" w:hAnsi="Arial" w:cs="Arial"/>
          <w:sz w:val="28"/>
          <w:szCs w:val="28"/>
        </w:rPr>
        <w:t>o</w:t>
      </w:r>
      <w:r w:rsidR="00ED6CC3" w:rsidRPr="00C63564">
        <w:rPr>
          <w:rFonts w:ascii="Arial" w:hAnsi="Arial" w:cs="Arial"/>
          <w:b/>
          <w:sz w:val="28"/>
          <w:szCs w:val="28"/>
        </w:rPr>
        <w:t xml:space="preserve"> </w:t>
      </w:r>
      <w:r w:rsidR="0050127A">
        <w:rPr>
          <w:rFonts w:ascii="Arial" w:hAnsi="Arial" w:cs="Arial"/>
          <w:b/>
          <w:color w:val="FF0000"/>
          <w:sz w:val="28"/>
          <w:szCs w:val="28"/>
        </w:rPr>
        <w:t>**********</w:t>
      </w:r>
      <w:r w:rsidR="00ED6CC3" w:rsidRPr="00C63564">
        <w:rPr>
          <w:rFonts w:ascii="Arial" w:hAnsi="Arial" w:cs="Arial"/>
          <w:sz w:val="28"/>
          <w:szCs w:val="28"/>
        </w:rPr>
        <w:t xml:space="preserve">, </w:t>
      </w:r>
      <w:r w:rsidRPr="00C63564">
        <w:rPr>
          <w:rFonts w:ascii="Arial" w:hAnsi="Arial" w:cs="Arial"/>
          <w:color w:val="000000"/>
          <w:sz w:val="28"/>
          <w:szCs w:val="28"/>
          <w:lang w:val="es-ES" w:eastAsia="es-ES" w:bidi="es-ES"/>
        </w:rPr>
        <w:t xml:space="preserve">en contra de la sentencia de </w:t>
      </w:r>
      <w:r w:rsidR="00C50F97" w:rsidRPr="00C63564">
        <w:rPr>
          <w:rFonts w:ascii="Arial" w:hAnsi="Arial" w:cs="Arial"/>
          <w:color w:val="0000FF"/>
          <w:sz w:val="28"/>
          <w:szCs w:val="28"/>
          <w:lang w:val="es-ES" w:eastAsia="es-ES" w:bidi="es-ES"/>
        </w:rPr>
        <w:t>treinta de septiembre</w:t>
      </w:r>
      <w:r w:rsidR="00A910C6" w:rsidRPr="00C63564">
        <w:rPr>
          <w:rFonts w:ascii="Arial" w:hAnsi="Arial" w:cs="Arial"/>
          <w:color w:val="0000FF"/>
          <w:sz w:val="28"/>
          <w:szCs w:val="28"/>
          <w:lang w:val="es-ES" w:eastAsia="es-ES" w:bidi="es-ES"/>
        </w:rPr>
        <w:t xml:space="preserve"> de</w:t>
      </w:r>
      <w:r w:rsidR="004D7FB2" w:rsidRPr="00C63564">
        <w:rPr>
          <w:rFonts w:ascii="Arial" w:hAnsi="Arial" w:cs="Arial"/>
          <w:color w:val="0000FF"/>
          <w:sz w:val="28"/>
          <w:szCs w:val="28"/>
          <w:lang w:val="es-ES" w:eastAsia="es-ES" w:bidi="es-ES"/>
        </w:rPr>
        <w:t xml:space="preserve"> </w:t>
      </w:r>
      <w:r w:rsidR="00E80F49" w:rsidRPr="00C63564">
        <w:rPr>
          <w:rFonts w:ascii="Arial" w:hAnsi="Arial" w:cs="Arial"/>
          <w:color w:val="0000FF"/>
          <w:sz w:val="28"/>
          <w:szCs w:val="28"/>
          <w:lang w:val="es-ES" w:eastAsia="es-ES" w:bidi="es-ES"/>
        </w:rPr>
        <w:t>dos mil ve</w:t>
      </w:r>
      <w:r w:rsidR="00AD0431" w:rsidRPr="00C63564">
        <w:rPr>
          <w:rFonts w:ascii="Arial" w:hAnsi="Arial" w:cs="Arial"/>
          <w:color w:val="0000FF"/>
          <w:sz w:val="28"/>
          <w:szCs w:val="28"/>
          <w:lang w:val="es-ES" w:eastAsia="es-ES" w:bidi="es-ES"/>
        </w:rPr>
        <w:t>int</w:t>
      </w:r>
      <w:r w:rsidR="00A910C6" w:rsidRPr="00C63564">
        <w:rPr>
          <w:rFonts w:ascii="Arial" w:hAnsi="Arial" w:cs="Arial"/>
          <w:color w:val="0000FF"/>
          <w:sz w:val="28"/>
          <w:szCs w:val="28"/>
          <w:lang w:val="es-ES" w:eastAsia="es-ES" w:bidi="es-ES"/>
        </w:rPr>
        <w:t>iuno</w:t>
      </w:r>
      <w:r w:rsidRPr="00C63564">
        <w:rPr>
          <w:rFonts w:ascii="Arial" w:hAnsi="Arial" w:cs="Arial"/>
          <w:color w:val="000000"/>
          <w:sz w:val="28"/>
          <w:szCs w:val="28"/>
          <w:lang w:val="es-ES" w:eastAsia="es-ES" w:bidi="es-ES"/>
        </w:rPr>
        <w:t xml:space="preserve">, pronunciada por la </w:t>
      </w:r>
      <w:r w:rsidR="00A910C6" w:rsidRPr="00C63564">
        <w:rPr>
          <w:rFonts w:ascii="Arial" w:hAnsi="Arial" w:cs="Arial"/>
          <w:color w:val="000000"/>
          <w:sz w:val="28"/>
          <w:szCs w:val="28"/>
          <w:lang w:val="es-ES" w:eastAsia="es-ES" w:bidi="es-ES"/>
        </w:rPr>
        <w:t>Primera</w:t>
      </w:r>
      <w:r w:rsidR="00A04DCB" w:rsidRPr="00C63564">
        <w:rPr>
          <w:rFonts w:ascii="Arial" w:hAnsi="Arial" w:cs="Arial"/>
          <w:color w:val="000000"/>
          <w:sz w:val="28"/>
          <w:szCs w:val="28"/>
          <w:lang w:val="es-ES" w:eastAsia="es-ES" w:bidi="es-ES"/>
        </w:rPr>
        <w:t xml:space="preserve"> Sala</w:t>
      </w:r>
      <w:r w:rsidRPr="00C63564">
        <w:rPr>
          <w:rFonts w:ascii="Arial" w:hAnsi="Arial" w:cs="Arial"/>
          <w:color w:val="000000"/>
          <w:sz w:val="28"/>
          <w:szCs w:val="28"/>
          <w:lang w:val="es-ES" w:eastAsia="es-ES" w:bidi="es-ES"/>
        </w:rPr>
        <w:t xml:space="preserve"> Unitaria</w:t>
      </w:r>
      <w:r w:rsidR="008E077D" w:rsidRPr="00C63564">
        <w:rPr>
          <w:rFonts w:ascii="Arial" w:hAnsi="Arial" w:cs="Arial"/>
          <w:color w:val="000000"/>
          <w:sz w:val="28"/>
          <w:szCs w:val="28"/>
          <w:lang w:val="es-ES" w:eastAsia="es-ES" w:bidi="es-ES"/>
        </w:rPr>
        <w:t xml:space="preserve"> del Tribunal Estatal de Justicia Administrativa</w:t>
      </w:r>
      <w:r w:rsidRPr="00C63564">
        <w:rPr>
          <w:rFonts w:ascii="Arial" w:hAnsi="Arial" w:cs="Arial"/>
          <w:color w:val="000000"/>
          <w:sz w:val="28"/>
          <w:szCs w:val="28"/>
          <w:lang w:val="es-ES" w:eastAsia="es-ES" w:bidi="es-ES"/>
        </w:rPr>
        <w:t xml:space="preserve">, al resolver el juicio contencioso administrativo número </w:t>
      </w:r>
      <w:r w:rsidR="0050127A">
        <w:rPr>
          <w:rFonts w:ascii="Arial" w:hAnsi="Arial" w:cs="Arial"/>
          <w:color w:val="FF0000"/>
          <w:sz w:val="28"/>
          <w:szCs w:val="28"/>
          <w:lang w:val="es-ES" w:eastAsia="es-ES" w:bidi="es-ES"/>
        </w:rPr>
        <w:t>**********</w:t>
      </w:r>
      <w:r w:rsidR="00A04DCB" w:rsidRPr="00C63564">
        <w:rPr>
          <w:rFonts w:ascii="Arial" w:hAnsi="Arial" w:cs="Arial"/>
          <w:color w:val="000000"/>
          <w:sz w:val="28"/>
          <w:szCs w:val="28"/>
          <w:lang w:val="es-ES" w:eastAsia="es-ES" w:bidi="es-ES"/>
        </w:rPr>
        <w:t>/</w:t>
      </w:r>
      <w:r w:rsidRPr="00C63564">
        <w:rPr>
          <w:rFonts w:ascii="Arial" w:hAnsi="Arial" w:cs="Arial"/>
          <w:color w:val="000000"/>
          <w:sz w:val="28"/>
          <w:szCs w:val="28"/>
          <w:lang w:val="es-ES" w:eastAsia="es-ES" w:bidi="es-ES"/>
        </w:rPr>
        <w:t>20</w:t>
      </w:r>
      <w:r w:rsidR="00C50F97" w:rsidRPr="00C63564">
        <w:rPr>
          <w:rFonts w:ascii="Arial" w:hAnsi="Arial" w:cs="Arial"/>
          <w:color w:val="000000"/>
          <w:sz w:val="28"/>
          <w:szCs w:val="28"/>
          <w:lang w:val="es-ES" w:eastAsia="es-ES" w:bidi="es-ES"/>
        </w:rPr>
        <w:t>20</w:t>
      </w:r>
      <w:r w:rsidR="00B43946" w:rsidRPr="00C63564">
        <w:rPr>
          <w:rFonts w:ascii="Arial" w:hAnsi="Arial" w:cs="Arial"/>
          <w:color w:val="000000"/>
          <w:sz w:val="28"/>
          <w:szCs w:val="28"/>
          <w:lang w:val="es-ES" w:eastAsia="es-ES" w:bidi="es-ES"/>
        </w:rPr>
        <w:t>-</w:t>
      </w:r>
      <w:r w:rsidR="00A910C6" w:rsidRPr="00C63564">
        <w:rPr>
          <w:rFonts w:ascii="Arial" w:hAnsi="Arial" w:cs="Arial"/>
          <w:color w:val="000000"/>
          <w:sz w:val="28"/>
          <w:szCs w:val="28"/>
          <w:lang w:val="es-ES" w:eastAsia="es-ES" w:bidi="es-ES"/>
        </w:rPr>
        <w:t>1,</w:t>
      </w:r>
      <w:r w:rsidR="00A910C6" w:rsidRPr="00C63564">
        <w:rPr>
          <w:rFonts w:ascii="Arial" w:hAnsi="Arial" w:cs="Arial"/>
          <w:b/>
          <w:color w:val="000000"/>
          <w:sz w:val="28"/>
          <w:szCs w:val="28"/>
          <w:lang w:val="es-ES" w:eastAsia="es-ES" w:bidi="es-ES"/>
        </w:rPr>
        <w:t xml:space="preserve"> </w:t>
      </w:r>
      <w:r w:rsidR="00A910C6" w:rsidRPr="00C63564">
        <w:rPr>
          <w:rFonts w:ascii="Arial" w:hAnsi="Arial" w:cs="Arial"/>
          <w:color w:val="000000"/>
          <w:sz w:val="28"/>
          <w:szCs w:val="28"/>
          <w:lang w:val="es-ES" w:eastAsia="es-ES" w:bidi="es-ES"/>
        </w:rPr>
        <w:t>promovido contra actos del</w:t>
      </w:r>
      <w:r w:rsidR="00C50F97" w:rsidRPr="00C63564">
        <w:rPr>
          <w:rFonts w:ascii="Arial" w:hAnsi="Arial" w:cs="Arial"/>
          <w:color w:val="000000"/>
          <w:sz w:val="28"/>
          <w:szCs w:val="28"/>
          <w:lang w:val="es-ES" w:eastAsia="es-ES" w:bidi="es-ES"/>
        </w:rPr>
        <w:t xml:space="preserve"> Presidente, Cabildo y Ayuntamiento, los tres del Municipio de San Luis Potosí; asimismo, Presidente, Cabildo, Ayunt</w:t>
      </w:r>
      <w:r w:rsidR="00A1775F" w:rsidRPr="00C63564">
        <w:rPr>
          <w:rFonts w:ascii="Arial" w:hAnsi="Arial" w:cs="Arial"/>
          <w:color w:val="000000"/>
          <w:sz w:val="28"/>
          <w:szCs w:val="28"/>
          <w:lang w:val="es-ES" w:eastAsia="es-ES" w:bidi="es-ES"/>
        </w:rPr>
        <w:t>amiento, Tesorero y Director Desarrollo Urbano y</w:t>
      </w:r>
      <w:r w:rsidR="00C50F97" w:rsidRPr="00C63564">
        <w:rPr>
          <w:rFonts w:ascii="Arial" w:hAnsi="Arial" w:cs="Arial"/>
          <w:color w:val="000000"/>
          <w:sz w:val="28"/>
          <w:szCs w:val="28"/>
          <w:lang w:val="es-ES" w:eastAsia="es-ES" w:bidi="es-ES"/>
        </w:rPr>
        <w:t xml:space="preserve"> Catastro, </w:t>
      </w:r>
      <w:r w:rsidR="00A1775F" w:rsidRPr="00C63564">
        <w:rPr>
          <w:rFonts w:ascii="Arial" w:hAnsi="Arial" w:cs="Arial"/>
          <w:color w:val="000000"/>
          <w:sz w:val="28"/>
          <w:szCs w:val="28"/>
          <w:lang w:val="es-ES" w:eastAsia="es-ES" w:bidi="es-ES"/>
        </w:rPr>
        <w:t>d</w:t>
      </w:r>
      <w:r w:rsidR="00C50F97" w:rsidRPr="00C63564">
        <w:rPr>
          <w:rFonts w:ascii="Arial" w:hAnsi="Arial" w:cs="Arial"/>
          <w:color w:val="000000"/>
          <w:sz w:val="28"/>
          <w:szCs w:val="28"/>
          <w:lang w:val="es-ES" w:eastAsia="es-ES" w:bidi="es-ES"/>
        </w:rPr>
        <w:t xml:space="preserve">el Municipio </w:t>
      </w:r>
      <w:r w:rsidR="00A1775F" w:rsidRPr="00C63564">
        <w:rPr>
          <w:rFonts w:ascii="Arial" w:hAnsi="Arial" w:cs="Arial"/>
          <w:color w:val="000000"/>
          <w:sz w:val="28"/>
          <w:szCs w:val="28"/>
          <w:lang w:val="es-ES" w:eastAsia="es-ES" w:bidi="es-ES"/>
        </w:rPr>
        <w:t>d</w:t>
      </w:r>
      <w:r w:rsidR="00C50F97" w:rsidRPr="00C63564">
        <w:rPr>
          <w:rFonts w:ascii="Arial" w:hAnsi="Arial" w:cs="Arial"/>
          <w:color w:val="000000"/>
          <w:sz w:val="28"/>
          <w:szCs w:val="28"/>
          <w:lang w:val="es-ES" w:eastAsia="es-ES" w:bidi="es-ES"/>
        </w:rPr>
        <w:t xml:space="preserve">e Soledad </w:t>
      </w:r>
      <w:r w:rsidR="00A1775F" w:rsidRPr="00C63564">
        <w:rPr>
          <w:rFonts w:ascii="Arial" w:hAnsi="Arial" w:cs="Arial"/>
          <w:color w:val="000000"/>
          <w:sz w:val="28"/>
          <w:szCs w:val="28"/>
          <w:lang w:val="es-ES" w:eastAsia="es-ES" w:bidi="es-ES"/>
        </w:rPr>
        <w:t>d</w:t>
      </w:r>
      <w:r w:rsidR="00C50F97" w:rsidRPr="00C63564">
        <w:rPr>
          <w:rFonts w:ascii="Arial" w:hAnsi="Arial" w:cs="Arial"/>
          <w:color w:val="000000"/>
          <w:sz w:val="28"/>
          <w:szCs w:val="28"/>
          <w:lang w:val="es-ES" w:eastAsia="es-ES" w:bidi="es-ES"/>
        </w:rPr>
        <w:t>e Graciano Sánchez, San Luis Potosí</w:t>
      </w:r>
      <w:r w:rsidR="00D8676A" w:rsidRPr="00C63564">
        <w:rPr>
          <w:rFonts w:ascii="Arial" w:hAnsi="Arial" w:cs="Arial"/>
          <w:color w:val="000000"/>
          <w:sz w:val="28"/>
          <w:szCs w:val="28"/>
          <w:lang w:val="es-ES" w:eastAsia="es-ES" w:bidi="es-ES"/>
        </w:rPr>
        <w:t>;</w:t>
      </w:r>
      <w:r w:rsidR="000D6439" w:rsidRPr="00C63564">
        <w:rPr>
          <w:rFonts w:ascii="Arial" w:hAnsi="Arial" w:cs="Arial"/>
          <w:color w:val="000000"/>
          <w:sz w:val="28"/>
          <w:szCs w:val="28"/>
          <w:lang w:val="es-ES" w:eastAsia="es-ES" w:bidi="es-ES"/>
        </w:rPr>
        <w:t xml:space="preserve"> </w:t>
      </w:r>
      <w:r w:rsidR="000D6439" w:rsidRPr="00C63564">
        <w:rPr>
          <w:rFonts w:ascii="Arial" w:hAnsi="Arial" w:cs="Arial"/>
          <w:sz w:val="28"/>
          <w:szCs w:val="28"/>
        </w:rPr>
        <w:t>ello</w:t>
      </w:r>
      <w:r w:rsidR="00D8676A" w:rsidRPr="00C63564">
        <w:rPr>
          <w:rFonts w:ascii="Arial" w:hAnsi="Arial" w:cs="Arial"/>
          <w:sz w:val="28"/>
          <w:szCs w:val="28"/>
        </w:rPr>
        <w:t>,</w:t>
      </w:r>
      <w:r w:rsidR="000D6439" w:rsidRPr="00C63564">
        <w:rPr>
          <w:rFonts w:ascii="Arial" w:hAnsi="Arial" w:cs="Arial"/>
          <w:sz w:val="28"/>
          <w:szCs w:val="28"/>
        </w:rPr>
        <w:t xml:space="preserve"> en </w:t>
      </w:r>
      <w:r w:rsidR="000D6439" w:rsidRPr="00C63564">
        <w:rPr>
          <w:rFonts w:ascii="Arial" w:hAnsi="Arial" w:cs="Arial"/>
          <w:sz w:val="28"/>
          <w:szCs w:val="28"/>
        </w:rPr>
        <w:lastRenderedPageBreak/>
        <w:t xml:space="preserve">cumplimiento a la ejecutoria pronunciada, en sesión ordinaria virtual el </w:t>
      </w:r>
      <w:r w:rsidR="00B43946" w:rsidRPr="00C63564">
        <w:rPr>
          <w:rFonts w:ascii="Arial" w:hAnsi="Arial" w:cs="Arial"/>
          <w:color w:val="0000FF"/>
          <w:sz w:val="28"/>
          <w:szCs w:val="28"/>
        </w:rPr>
        <w:t>once</w:t>
      </w:r>
      <w:r w:rsidR="000D6439" w:rsidRPr="00C63564">
        <w:rPr>
          <w:rFonts w:ascii="Arial" w:hAnsi="Arial" w:cs="Arial"/>
          <w:color w:val="0000FF"/>
          <w:sz w:val="28"/>
          <w:szCs w:val="28"/>
        </w:rPr>
        <w:t xml:space="preserve"> de </w:t>
      </w:r>
      <w:r w:rsidR="00B43946" w:rsidRPr="00C63564">
        <w:rPr>
          <w:rFonts w:ascii="Arial" w:hAnsi="Arial" w:cs="Arial"/>
          <w:color w:val="0000FF"/>
          <w:sz w:val="28"/>
          <w:szCs w:val="28"/>
        </w:rPr>
        <w:t>abril</w:t>
      </w:r>
      <w:r w:rsidR="000D6439" w:rsidRPr="00C63564">
        <w:rPr>
          <w:rFonts w:ascii="Arial" w:hAnsi="Arial" w:cs="Arial"/>
          <w:color w:val="0000FF"/>
          <w:sz w:val="28"/>
          <w:szCs w:val="28"/>
        </w:rPr>
        <w:t xml:space="preserve"> de dos mil veinti</w:t>
      </w:r>
      <w:r w:rsidR="00B43946" w:rsidRPr="00C63564">
        <w:rPr>
          <w:rFonts w:ascii="Arial" w:hAnsi="Arial" w:cs="Arial"/>
          <w:color w:val="0000FF"/>
          <w:sz w:val="28"/>
          <w:szCs w:val="28"/>
        </w:rPr>
        <w:t>cuatro</w:t>
      </w:r>
      <w:r w:rsidR="000D6439" w:rsidRPr="00C63564">
        <w:rPr>
          <w:rFonts w:ascii="Arial" w:hAnsi="Arial" w:cs="Arial"/>
          <w:sz w:val="28"/>
          <w:szCs w:val="28"/>
        </w:rPr>
        <w:t xml:space="preserve">, en el amparo directo administrativo </w:t>
      </w:r>
      <w:r w:rsidR="0050127A">
        <w:rPr>
          <w:rFonts w:ascii="Arial" w:hAnsi="Arial" w:cs="Arial"/>
          <w:color w:val="FF0000"/>
          <w:sz w:val="28"/>
          <w:szCs w:val="28"/>
        </w:rPr>
        <w:t>**********</w:t>
      </w:r>
      <w:r w:rsidR="000D6439" w:rsidRPr="00C63564">
        <w:rPr>
          <w:rFonts w:ascii="Arial" w:hAnsi="Arial" w:cs="Arial"/>
          <w:sz w:val="28"/>
          <w:szCs w:val="28"/>
        </w:rPr>
        <w:t>/202</w:t>
      </w:r>
      <w:r w:rsidR="00B43946" w:rsidRPr="00C63564">
        <w:rPr>
          <w:rFonts w:ascii="Arial" w:hAnsi="Arial" w:cs="Arial"/>
          <w:sz w:val="28"/>
          <w:szCs w:val="28"/>
        </w:rPr>
        <w:t>2</w:t>
      </w:r>
      <w:r w:rsidR="000D6439" w:rsidRPr="00C63564">
        <w:rPr>
          <w:rFonts w:ascii="Arial" w:hAnsi="Arial" w:cs="Arial"/>
          <w:sz w:val="28"/>
          <w:szCs w:val="28"/>
        </w:rPr>
        <w:t>, del índice del Segundo Tribunal Colegiado en Materias Civil y Administrativa del Noveno Circuito.</w:t>
      </w:r>
    </w:p>
    <w:p w14:paraId="6C1A26B5" w14:textId="77777777" w:rsidR="00C63564" w:rsidRPr="00C63564" w:rsidRDefault="00C63564" w:rsidP="00C63564">
      <w:pPr>
        <w:spacing w:after="0" w:line="360" w:lineRule="auto"/>
        <w:ind w:firstLine="851"/>
        <w:jc w:val="both"/>
        <w:rPr>
          <w:rFonts w:ascii="Arial" w:hAnsi="Arial" w:cs="Arial"/>
          <w:sz w:val="28"/>
          <w:szCs w:val="28"/>
        </w:rPr>
      </w:pPr>
    </w:p>
    <w:p w14:paraId="4CF9D3EB" w14:textId="77777777" w:rsidR="00283888" w:rsidRDefault="00283888" w:rsidP="00C63564">
      <w:pPr>
        <w:spacing w:after="0" w:line="360" w:lineRule="auto"/>
        <w:jc w:val="center"/>
        <w:rPr>
          <w:rFonts w:ascii="Arial" w:hAnsi="Arial" w:cs="Arial"/>
          <w:b/>
          <w:sz w:val="28"/>
          <w:szCs w:val="28"/>
        </w:rPr>
      </w:pPr>
      <w:r w:rsidRPr="00C63564">
        <w:rPr>
          <w:rFonts w:ascii="Arial" w:hAnsi="Arial" w:cs="Arial"/>
          <w:b/>
          <w:sz w:val="28"/>
          <w:szCs w:val="28"/>
        </w:rPr>
        <w:t>R E S U L T A N D O.</w:t>
      </w:r>
    </w:p>
    <w:p w14:paraId="424BD6E1" w14:textId="77777777" w:rsidR="00C63564" w:rsidRPr="00C63564" w:rsidRDefault="00C63564" w:rsidP="00C63564">
      <w:pPr>
        <w:spacing w:after="0" w:line="360" w:lineRule="auto"/>
        <w:jc w:val="center"/>
        <w:rPr>
          <w:rFonts w:ascii="Arial" w:hAnsi="Arial" w:cs="Arial"/>
          <w:b/>
          <w:sz w:val="28"/>
          <w:szCs w:val="28"/>
        </w:rPr>
      </w:pPr>
    </w:p>
    <w:p w14:paraId="6034BA39" w14:textId="1524C256" w:rsidR="00AE46D3" w:rsidRDefault="00AE46D3" w:rsidP="00C63564">
      <w:pPr>
        <w:spacing w:after="0" w:line="360" w:lineRule="auto"/>
        <w:ind w:right="51" w:firstLine="851"/>
        <w:jc w:val="both"/>
        <w:rPr>
          <w:rFonts w:ascii="Arial" w:hAnsi="Arial" w:cs="Arial"/>
          <w:sz w:val="28"/>
          <w:szCs w:val="28"/>
        </w:rPr>
      </w:pPr>
      <w:r w:rsidRPr="00C63564">
        <w:rPr>
          <w:rFonts w:ascii="Arial" w:hAnsi="Arial" w:cs="Arial"/>
          <w:b/>
          <w:sz w:val="28"/>
          <w:szCs w:val="28"/>
        </w:rPr>
        <w:t>I.</w:t>
      </w:r>
      <w:r w:rsidRPr="00C63564">
        <w:rPr>
          <w:rFonts w:ascii="Arial" w:hAnsi="Arial" w:cs="Arial"/>
          <w:sz w:val="28"/>
          <w:szCs w:val="28"/>
        </w:rPr>
        <w:t xml:space="preserve"> La resolución materia de apelación, concluyó con los resolutivos siguientes:</w:t>
      </w:r>
    </w:p>
    <w:p w14:paraId="727F4995" w14:textId="77777777" w:rsidR="00C63564" w:rsidRPr="00C63564" w:rsidRDefault="00C63564" w:rsidP="00C63564">
      <w:pPr>
        <w:spacing w:after="0" w:line="360" w:lineRule="auto"/>
        <w:ind w:right="51" w:firstLine="851"/>
        <w:jc w:val="both"/>
        <w:rPr>
          <w:rFonts w:ascii="Arial" w:hAnsi="Arial" w:cs="Arial"/>
          <w:sz w:val="28"/>
          <w:szCs w:val="28"/>
        </w:rPr>
      </w:pPr>
    </w:p>
    <w:p w14:paraId="02EC07B2" w14:textId="77777777" w:rsidR="00721CD7" w:rsidRPr="00C63564" w:rsidRDefault="00721CD7" w:rsidP="00C63564">
      <w:pPr>
        <w:spacing w:after="0" w:line="240" w:lineRule="auto"/>
        <w:ind w:left="567" w:right="567"/>
        <w:jc w:val="both"/>
        <w:rPr>
          <w:rFonts w:ascii="Arial Narrow" w:hAnsi="Arial Narrow" w:cs="Arial"/>
          <w:i/>
          <w:sz w:val="24"/>
          <w:szCs w:val="24"/>
        </w:rPr>
      </w:pPr>
      <w:r w:rsidRPr="00C63564">
        <w:rPr>
          <w:rFonts w:ascii="Arial Narrow" w:hAnsi="Arial Narrow" w:cs="Arial"/>
          <w:i/>
          <w:sz w:val="24"/>
          <w:szCs w:val="24"/>
        </w:rPr>
        <w:t>“</w:t>
      </w:r>
      <w:r w:rsidRPr="00C63564">
        <w:rPr>
          <w:rFonts w:ascii="Arial Narrow" w:hAnsi="Arial Narrow" w:cs="Arial"/>
          <w:b/>
          <w:i/>
          <w:sz w:val="24"/>
          <w:szCs w:val="24"/>
        </w:rPr>
        <w:t>PRIMERO.-</w:t>
      </w:r>
      <w:r w:rsidRPr="00C63564">
        <w:rPr>
          <w:rFonts w:ascii="Arial Narrow" w:hAnsi="Arial Narrow" w:cs="Arial"/>
          <w:i/>
          <w:sz w:val="24"/>
          <w:szCs w:val="24"/>
        </w:rPr>
        <w:t xml:space="preserve"> Esta Primera Sala Unitaria del Tribunal Estatal de Justicia Administrativa, resultó competente para conocer y resolver el presente juicio.</w:t>
      </w:r>
    </w:p>
    <w:p w14:paraId="664E93F8" w14:textId="77777777" w:rsidR="00C63564" w:rsidRDefault="00C63564" w:rsidP="00C63564">
      <w:pPr>
        <w:spacing w:after="0" w:line="240" w:lineRule="auto"/>
        <w:ind w:left="567" w:right="567"/>
        <w:jc w:val="both"/>
        <w:rPr>
          <w:rFonts w:ascii="Arial Narrow" w:hAnsi="Arial Narrow" w:cs="Arial"/>
          <w:b/>
          <w:i/>
          <w:sz w:val="24"/>
          <w:szCs w:val="24"/>
        </w:rPr>
      </w:pPr>
    </w:p>
    <w:p w14:paraId="33EFDA82" w14:textId="77777777" w:rsidR="00721CD7" w:rsidRPr="00C63564" w:rsidRDefault="00721CD7" w:rsidP="00C63564">
      <w:pPr>
        <w:spacing w:after="0" w:line="240" w:lineRule="auto"/>
        <w:ind w:left="567" w:right="567"/>
        <w:jc w:val="both"/>
        <w:rPr>
          <w:rFonts w:ascii="Arial Narrow" w:hAnsi="Arial Narrow" w:cs="Arial"/>
          <w:i/>
          <w:sz w:val="24"/>
          <w:szCs w:val="24"/>
        </w:rPr>
      </w:pPr>
      <w:r w:rsidRPr="00C63564">
        <w:rPr>
          <w:rFonts w:ascii="Arial Narrow" w:hAnsi="Arial Narrow" w:cs="Arial"/>
          <w:b/>
          <w:i/>
          <w:sz w:val="24"/>
          <w:szCs w:val="24"/>
        </w:rPr>
        <w:t>SEGUNDO.-</w:t>
      </w:r>
      <w:r w:rsidRPr="00C63564">
        <w:rPr>
          <w:rFonts w:ascii="Arial Narrow" w:hAnsi="Arial Narrow" w:cs="Arial"/>
          <w:i/>
          <w:sz w:val="24"/>
          <w:szCs w:val="24"/>
        </w:rPr>
        <w:t xml:space="preserve"> Se decreta el sobreseimiento en el presente juicio, con relación a los actos impugnados identificados en los incisos a) y b) del Resultando I, por las razones contenidas en el Considerando Quinto de esta resolución.</w:t>
      </w:r>
    </w:p>
    <w:p w14:paraId="6F8F7D83" w14:textId="77777777" w:rsidR="00C63564" w:rsidRDefault="00C63564" w:rsidP="00C63564">
      <w:pPr>
        <w:spacing w:after="0" w:line="240" w:lineRule="auto"/>
        <w:ind w:left="567" w:right="567"/>
        <w:jc w:val="both"/>
        <w:rPr>
          <w:rFonts w:ascii="Arial Narrow" w:hAnsi="Arial Narrow" w:cs="Arial"/>
          <w:b/>
          <w:i/>
          <w:sz w:val="24"/>
          <w:szCs w:val="24"/>
        </w:rPr>
      </w:pPr>
    </w:p>
    <w:p w14:paraId="139E7277" w14:textId="77777777" w:rsidR="00721CD7" w:rsidRPr="00C63564" w:rsidRDefault="00721CD7" w:rsidP="00C63564">
      <w:pPr>
        <w:spacing w:after="0" w:line="240" w:lineRule="auto"/>
        <w:ind w:left="567" w:right="567"/>
        <w:jc w:val="both"/>
        <w:rPr>
          <w:rFonts w:ascii="Arial Narrow" w:hAnsi="Arial Narrow" w:cs="Arial"/>
          <w:i/>
          <w:sz w:val="24"/>
          <w:szCs w:val="24"/>
        </w:rPr>
      </w:pPr>
      <w:r w:rsidRPr="00C63564">
        <w:rPr>
          <w:rFonts w:ascii="Arial Narrow" w:hAnsi="Arial Narrow" w:cs="Arial"/>
          <w:b/>
          <w:i/>
          <w:sz w:val="24"/>
          <w:szCs w:val="24"/>
        </w:rPr>
        <w:t>TERCERO.-</w:t>
      </w:r>
      <w:r w:rsidRPr="00C63564">
        <w:rPr>
          <w:rFonts w:ascii="Arial Narrow" w:hAnsi="Arial Narrow" w:cs="Arial"/>
          <w:i/>
          <w:sz w:val="24"/>
          <w:szCs w:val="24"/>
        </w:rPr>
        <w:t xml:space="preserve"> La parte actora no probó su pretensión, en consecuencia;</w:t>
      </w:r>
    </w:p>
    <w:p w14:paraId="6ECF046C" w14:textId="77777777" w:rsidR="00C63564" w:rsidRDefault="00C63564" w:rsidP="00C63564">
      <w:pPr>
        <w:spacing w:after="0" w:line="240" w:lineRule="auto"/>
        <w:ind w:left="567" w:right="567"/>
        <w:jc w:val="both"/>
        <w:rPr>
          <w:rFonts w:ascii="Arial Narrow" w:hAnsi="Arial Narrow" w:cs="Arial"/>
          <w:b/>
          <w:i/>
          <w:sz w:val="24"/>
          <w:szCs w:val="24"/>
        </w:rPr>
      </w:pPr>
    </w:p>
    <w:p w14:paraId="409A036A" w14:textId="73A7FDDE" w:rsidR="00721CD7" w:rsidRPr="00C63564" w:rsidRDefault="00721CD7" w:rsidP="00C63564">
      <w:pPr>
        <w:spacing w:after="0" w:line="240" w:lineRule="auto"/>
        <w:ind w:left="567" w:right="567"/>
        <w:jc w:val="both"/>
        <w:rPr>
          <w:rFonts w:ascii="Arial Narrow" w:hAnsi="Arial Narrow" w:cs="Arial"/>
          <w:i/>
          <w:sz w:val="24"/>
          <w:szCs w:val="24"/>
        </w:rPr>
      </w:pPr>
      <w:r w:rsidRPr="00C63564">
        <w:rPr>
          <w:rFonts w:ascii="Arial Narrow" w:hAnsi="Arial Narrow" w:cs="Arial"/>
          <w:b/>
          <w:i/>
          <w:sz w:val="24"/>
          <w:szCs w:val="24"/>
        </w:rPr>
        <w:t>CUARTO.-</w:t>
      </w:r>
      <w:r w:rsidRPr="00C63564">
        <w:rPr>
          <w:rFonts w:ascii="Arial Narrow" w:hAnsi="Arial Narrow" w:cs="Arial"/>
          <w:i/>
          <w:sz w:val="24"/>
          <w:szCs w:val="24"/>
        </w:rPr>
        <w:t xml:space="preserve"> Se reconoce la VALIDEZ del acto impugnado, consistente en la Licencia de Uso de Suelo de Funcionamiento con número de folio </w:t>
      </w:r>
      <w:r w:rsidR="0050127A">
        <w:rPr>
          <w:rFonts w:ascii="Arial Narrow" w:hAnsi="Arial Narrow" w:cs="Arial"/>
          <w:i/>
          <w:color w:val="FF0000"/>
          <w:sz w:val="24"/>
          <w:szCs w:val="24"/>
        </w:rPr>
        <w:t>**********</w:t>
      </w:r>
      <w:r w:rsidRPr="00C63564">
        <w:rPr>
          <w:rFonts w:ascii="Arial Narrow" w:hAnsi="Arial Narrow" w:cs="Arial"/>
          <w:i/>
          <w:sz w:val="24"/>
          <w:szCs w:val="24"/>
        </w:rPr>
        <w:t>/2020 de dieciséis de julio de dos mil veinte, precisada en el inciso c) del Resultando I, por los motivos expuestos en el Considerando Sexto del presente fallo.</w:t>
      </w:r>
    </w:p>
    <w:p w14:paraId="16E98A90" w14:textId="77777777" w:rsidR="00C63564" w:rsidRDefault="00C63564" w:rsidP="00C63564">
      <w:pPr>
        <w:spacing w:after="0" w:line="240" w:lineRule="auto"/>
        <w:ind w:left="567" w:right="567"/>
        <w:jc w:val="both"/>
        <w:rPr>
          <w:rFonts w:ascii="Arial Narrow" w:hAnsi="Arial Narrow" w:cs="Arial"/>
          <w:b/>
          <w:i/>
          <w:sz w:val="24"/>
          <w:szCs w:val="24"/>
        </w:rPr>
      </w:pPr>
    </w:p>
    <w:p w14:paraId="6F81DE95" w14:textId="77777777" w:rsidR="00721CD7" w:rsidRPr="00C63564" w:rsidRDefault="00721CD7" w:rsidP="00C63564">
      <w:pPr>
        <w:spacing w:after="0" w:line="240" w:lineRule="auto"/>
        <w:ind w:left="567" w:right="567"/>
        <w:jc w:val="both"/>
        <w:rPr>
          <w:rFonts w:ascii="Arial Narrow" w:hAnsi="Arial Narrow" w:cs="Arial"/>
          <w:i/>
          <w:sz w:val="24"/>
          <w:szCs w:val="24"/>
        </w:rPr>
      </w:pPr>
      <w:r w:rsidRPr="00C63564">
        <w:rPr>
          <w:rFonts w:ascii="Arial Narrow" w:hAnsi="Arial Narrow" w:cs="Arial"/>
          <w:b/>
          <w:i/>
          <w:sz w:val="24"/>
          <w:szCs w:val="24"/>
        </w:rPr>
        <w:t>QUINTO.-</w:t>
      </w:r>
      <w:r w:rsidRPr="00C63564">
        <w:rPr>
          <w:rFonts w:ascii="Arial Narrow" w:hAnsi="Arial Narrow" w:cs="Arial"/>
          <w:i/>
          <w:sz w:val="24"/>
          <w:szCs w:val="24"/>
        </w:rPr>
        <w:t xml:space="preserve"> Notifíquese personalmente a la Parte Actora y por oficio a las Autoridades Demandadas, con copia autorizada de esta resolución.”</w:t>
      </w:r>
    </w:p>
    <w:p w14:paraId="7FB10C73" w14:textId="77777777" w:rsidR="00AE46D3" w:rsidRPr="00C63564" w:rsidRDefault="00AE46D3" w:rsidP="00C63564">
      <w:pPr>
        <w:spacing w:after="0" w:line="360" w:lineRule="auto"/>
        <w:ind w:firstLine="851"/>
        <w:jc w:val="both"/>
        <w:rPr>
          <w:rFonts w:ascii="Arial" w:hAnsi="Arial" w:cs="Arial"/>
          <w:sz w:val="24"/>
          <w:szCs w:val="24"/>
        </w:rPr>
      </w:pPr>
    </w:p>
    <w:p w14:paraId="41415C60" w14:textId="656BE8F9" w:rsidR="00AE46D3" w:rsidRDefault="00AE46D3" w:rsidP="00C63564">
      <w:pPr>
        <w:spacing w:after="0" w:line="360" w:lineRule="auto"/>
        <w:ind w:firstLine="851"/>
        <w:jc w:val="both"/>
        <w:rPr>
          <w:rFonts w:ascii="Arial" w:hAnsi="Arial" w:cs="Arial"/>
          <w:sz w:val="28"/>
          <w:szCs w:val="24"/>
        </w:rPr>
      </w:pPr>
      <w:r w:rsidRPr="00D21D7D">
        <w:rPr>
          <w:rFonts w:ascii="Arial" w:hAnsi="Arial" w:cs="Arial"/>
          <w:b/>
          <w:sz w:val="28"/>
          <w:szCs w:val="24"/>
        </w:rPr>
        <w:t>II.</w:t>
      </w:r>
      <w:r>
        <w:rPr>
          <w:rFonts w:ascii="Arial" w:hAnsi="Arial" w:cs="Arial"/>
          <w:sz w:val="28"/>
          <w:szCs w:val="24"/>
        </w:rPr>
        <w:t xml:space="preserve"> Inconforme con la referida determinación, </w:t>
      </w:r>
      <w:r w:rsidR="0081213A">
        <w:rPr>
          <w:rFonts w:ascii="Arial" w:hAnsi="Arial" w:cs="Arial"/>
          <w:sz w:val="28"/>
          <w:szCs w:val="28"/>
        </w:rPr>
        <w:t>mediante</w:t>
      </w:r>
      <w:r>
        <w:rPr>
          <w:rFonts w:ascii="Arial" w:hAnsi="Arial" w:cs="Arial"/>
          <w:sz w:val="28"/>
          <w:szCs w:val="28"/>
        </w:rPr>
        <w:t xml:space="preserve"> escrito presentado en la </w:t>
      </w:r>
      <w:r w:rsidR="0081213A">
        <w:rPr>
          <w:rFonts w:ascii="Arial" w:hAnsi="Arial" w:cs="Arial"/>
          <w:sz w:val="28"/>
          <w:szCs w:val="28"/>
        </w:rPr>
        <w:t xml:space="preserve">oficialía de partes </w:t>
      </w:r>
      <w:r>
        <w:rPr>
          <w:rFonts w:ascii="Arial" w:hAnsi="Arial" w:cs="Arial"/>
          <w:sz w:val="28"/>
          <w:szCs w:val="28"/>
        </w:rPr>
        <w:t xml:space="preserve">de este Tribunal </w:t>
      </w:r>
      <w:r w:rsidRPr="00784537">
        <w:rPr>
          <w:rFonts w:ascii="Arial" w:hAnsi="Arial" w:cs="Arial"/>
          <w:sz w:val="28"/>
          <w:szCs w:val="28"/>
        </w:rPr>
        <w:t xml:space="preserve">el </w:t>
      </w:r>
      <w:r w:rsidR="0081213A">
        <w:rPr>
          <w:rFonts w:ascii="Arial" w:hAnsi="Arial" w:cs="Arial"/>
          <w:color w:val="0000FF"/>
          <w:sz w:val="28"/>
          <w:szCs w:val="24"/>
        </w:rPr>
        <w:t>diez</w:t>
      </w:r>
      <w:r w:rsidRPr="00721CD7">
        <w:rPr>
          <w:rFonts w:ascii="Arial" w:hAnsi="Arial" w:cs="Arial"/>
          <w:color w:val="0000FF"/>
          <w:sz w:val="28"/>
          <w:szCs w:val="24"/>
        </w:rPr>
        <w:t xml:space="preserve"> de </w:t>
      </w:r>
      <w:r w:rsidR="0081213A">
        <w:rPr>
          <w:rFonts w:ascii="Arial" w:hAnsi="Arial" w:cs="Arial"/>
          <w:color w:val="0000FF"/>
          <w:sz w:val="28"/>
          <w:szCs w:val="24"/>
        </w:rPr>
        <w:t>noviembre</w:t>
      </w:r>
      <w:r w:rsidRPr="00721CD7">
        <w:rPr>
          <w:rFonts w:ascii="Arial" w:hAnsi="Arial" w:cs="Arial"/>
          <w:color w:val="0000FF"/>
          <w:sz w:val="28"/>
          <w:szCs w:val="24"/>
        </w:rPr>
        <w:t xml:space="preserve"> de dos mil veintiuno</w:t>
      </w:r>
      <w:r w:rsidRPr="00784537">
        <w:rPr>
          <w:rFonts w:ascii="Arial" w:hAnsi="Arial" w:cs="Arial"/>
          <w:sz w:val="28"/>
          <w:szCs w:val="24"/>
        </w:rPr>
        <w:t xml:space="preserve">, </w:t>
      </w:r>
      <w:r w:rsidR="0050127A">
        <w:rPr>
          <w:rFonts w:ascii="Arial" w:hAnsi="Arial" w:cs="Arial"/>
          <w:color w:val="FF0000"/>
          <w:sz w:val="28"/>
          <w:szCs w:val="24"/>
        </w:rPr>
        <w:t>**********</w:t>
      </w:r>
      <w:r w:rsidR="0081213A">
        <w:rPr>
          <w:rFonts w:ascii="Arial" w:hAnsi="Arial" w:cs="Arial"/>
          <w:sz w:val="28"/>
          <w:szCs w:val="24"/>
        </w:rPr>
        <w:t xml:space="preserve">, autorizado de la </w:t>
      </w:r>
      <w:r w:rsidR="0081213A">
        <w:rPr>
          <w:rFonts w:ascii="Arial" w:hAnsi="Arial" w:cs="Arial"/>
          <w:sz w:val="28"/>
          <w:szCs w:val="28"/>
        </w:rPr>
        <w:t xml:space="preserve">persona moral </w:t>
      </w:r>
      <w:r w:rsidR="0050127A">
        <w:rPr>
          <w:rFonts w:ascii="Arial" w:hAnsi="Arial" w:cs="Arial"/>
          <w:color w:val="FF0000"/>
          <w:sz w:val="28"/>
          <w:szCs w:val="28"/>
        </w:rPr>
        <w:t>**********</w:t>
      </w:r>
      <w:r w:rsidR="0081213A" w:rsidRPr="00721CD7">
        <w:rPr>
          <w:rFonts w:ascii="Arial" w:hAnsi="Arial" w:cs="Arial"/>
          <w:sz w:val="28"/>
          <w:szCs w:val="20"/>
        </w:rPr>
        <w:t>,</w:t>
      </w:r>
      <w:r w:rsidR="0081213A">
        <w:rPr>
          <w:rFonts w:ascii="Arial" w:hAnsi="Arial" w:cs="Arial"/>
          <w:sz w:val="28"/>
          <w:szCs w:val="20"/>
        </w:rPr>
        <w:t xml:space="preserve"> parte </w:t>
      </w:r>
      <w:r w:rsidR="0081213A">
        <w:rPr>
          <w:rFonts w:ascii="Arial" w:hAnsi="Arial" w:cs="Arial"/>
          <w:sz w:val="28"/>
          <w:szCs w:val="28"/>
        </w:rPr>
        <w:t>actora,</w:t>
      </w:r>
      <w:r w:rsidR="0081213A" w:rsidRPr="00721CD7">
        <w:rPr>
          <w:rFonts w:ascii="Arial" w:hAnsi="Arial" w:cs="Arial"/>
          <w:sz w:val="28"/>
          <w:szCs w:val="28"/>
        </w:rPr>
        <w:t xml:space="preserve"> </w:t>
      </w:r>
      <w:r w:rsidR="0081213A">
        <w:rPr>
          <w:rFonts w:ascii="Arial" w:hAnsi="Arial" w:cs="Arial"/>
          <w:sz w:val="28"/>
          <w:szCs w:val="28"/>
        </w:rPr>
        <w:t xml:space="preserve">interpuso recurso de apelación, </w:t>
      </w:r>
      <w:r w:rsidRPr="00784537">
        <w:rPr>
          <w:rFonts w:ascii="Arial" w:hAnsi="Arial" w:cs="Arial"/>
          <w:sz w:val="28"/>
          <w:szCs w:val="24"/>
        </w:rPr>
        <w:t>el cual</w:t>
      </w:r>
      <w:r>
        <w:rPr>
          <w:rFonts w:ascii="Arial" w:hAnsi="Arial" w:cs="Arial"/>
          <w:sz w:val="28"/>
          <w:szCs w:val="24"/>
        </w:rPr>
        <w:t>,</w:t>
      </w:r>
      <w:r w:rsidRPr="00784537">
        <w:rPr>
          <w:rFonts w:ascii="Arial" w:hAnsi="Arial" w:cs="Arial"/>
          <w:sz w:val="28"/>
          <w:szCs w:val="24"/>
        </w:rPr>
        <w:t xml:space="preserve"> </w:t>
      </w:r>
      <w:r w:rsidR="0081213A">
        <w:rPr>
          <w:rFonts w:ascii="Arial" w:hAnsi="Arial" w:cs="Arial"/>
          <w:sz w:val="28"/>
          <w:szCs w:val="24"/>
        </w:rPr>
        <w:t>por</w:t>
      </w:r>
      <w:r w:rsidRPr="00784537">
        <w:rPr>
          <w:rFonts w:ascii="Arial" w:hAnsi="Arial" w:cs="Arial"/>
          <w:sz w:val="28"/>
          <w:szCs w:val="24"/>
        </w:rPr>
        <w:t xml:space="preserve"> proveído de </w:t>
      </w:r>
      <w:r w:rsidR="0081213A" w:rsidRPr="0081213A">
        <w:rPr>
          <w:rFonts w:ascii="Arial" w:hAnsi="Arial" w:cs="Arial"/>
          <w:color w:val="0000FF"/>
          <w:sz w:val="28"/>
          <w:szCs w:val="24"/>
        </w:rPr>
        <w:t>once de noviembre</w:t>
      </w:r>
      <w:r w:rsidRPr="0081213A">
        <w:rPr>
          <w:rFonts w:ascii="Arial" w:hAnsi="Arial" w:cs="Arial"/>
          <w:color w:val="0000FF"/>
          <w:sz w:val="28"/>
          <w:szCs w:val="24"/>
        </w:rPr>
        <w:t xml:space="preserve"> siguiente</w:t>
      </w:r>
      <w:r w:rsidR="0081213A" w:rsidRPr="00784537">
        <w:rPr>
          <w:rFonts w:ascii="Arial" w:hAnsi="Arial" w:cs="Arial"/>
          <w:sz w:val="28"/>
          <w:szCs w:val="24"/>
        </w:rPr>
        <w:t>,</w:t>
      </w:r>
      <w:r w:rsidRPr="00784537">
        <w:rPr>
          <w:rStyle w:val="Refdenotaalpie"/>
          <w:rFonts w:ascii="Arial" w:hAnsi="Arial" w:cs="Arial"/>
          <w:sz w:val="28"/>
          <w:szCs w:val="24"/>
        </w:rPr>
        <w:footnoteReference w:id="1"/>
      </w:r>
      <w:r w:rsidRPr="00784537">
        <w:rPr>
          <w:rFonts w:ascii="Arial" w:hAnsi="Arial" w:cs="Arial"/>
          <w:sz w:val="28"/>
          <w:szCs w:val="24"/>
        </w:rPr>
        <w:t xml:space="preserve"> </w:t>
      </w:r>
      <w:r w:rsidR="0081213A">
        <w:rPr>
          <w:rFonts w:ascii="Arial" w:hAnsi="Arial" w:cs="Arial"/>
          <w:sz w:val="28"/>
          <w:szCs w:val="24"/>
        </w:rPr>
        <w:t>la</w:t>
      </w:r>
      <w:r w:rsidRPr="00784537">
        <w:rPr>
          <w:rFonts w:ascii="Arial" w:hAnsi="Arial" w:cs="Arial"/>
          <w:sz w:val="28"/>
          <w:szCs w:val="24"/>
        </w:rPr>
        <w:t xml:space="preserve"> Magistrad</w:t>
      </w:r>
      <w:r w:rsidR="0081213A">
        <w:rPr>
          <w:rFonts w:ascii="Arial" w:hAnsi="Arial" w:cs="Arial"/>
          <w:sz w:val="28"/>
          <w:szCs w:val="24"/>
        </w:rPr>
        <w:t>a</w:t>
      </w:r>
      <w:r w:rsidRPr="00784537">
        <w:rPr>
          <w:rFonts w:ascii="Arial" w:hAnsi="Arial" w:cs="Arial"/>
          <w:sz w:val="28"/>
          <w:szCs w:val="24"/>
        </w:rPr>
        <w:t xml:space="preserve"> de la </w:t>
      </w:r>
      <w:r w:rsidR="0081213A" w:rsidRPr="0081213A">
        <w:rPr>
          <w:rFonts w:ascii="Arial" w:hAnsi="Arial" w:cs="Arial"/>
          <w:color w:val="0000FF"/>
          <w:sz w:val="28"/>
          <w:szCs w:val="24"/>
        </w:rPr>
        <w:t>Primera</w:t>
      </w:r>
      <w:r w:rsidRPr="00784537">
        <w:rPr>
          <w:rFonts w:ascii="Arial" w:hAnsi="Arial" w:cs="Arial"/>
          <w:sz w:val="28"/>
          <w:szCs w:val="24"/>
        </w:rPr>
        <w:t xml:space="preserve"> Sala Unitaria, con fundamento en el artículo 152, último párrafo del Código Procesal Administrativo para el Estado</w:t>
      </w:r>
      <w:r w:rsidR="0081213A">
        <w:rPr>
          <w:rFonts w:ascii="Arial" w:hAnsi="Arial" w:cs="Arial"/>
          <w:sz w:val="28"/>
          <w:szCs w:val="24"/>
        </w:rPr>
        <w:t>,</w:t>
      </w:r>
      <w:r w:rsidRPr="00784537">
        <w:rPr>
          <w:rStyle w:val="Refdenotaalpie"/>
          <w:rFonts w:ascii="Arial" w:hAnsi="Arial" w:cs="Arial"/>
          <w:sz w:val="28"/>
          <w:szCs w:val="24"/>
        </w:rPr>
        <w:footnoteReference w:id="2"/>
      </w:r>
      <w:r w:rsidRPr="00784537">
        <w:rPr>
          <w:rFonts w:ascii="Arial" w:hAnsi="Arial" w:cs="Arial"/>
          <w:sz w:val="28"/>
          <w:szCs w:val="24"/>
        </w:rPr>
        <w:t xml:space="preserve"> ordenó remitir a esta </w:t>
      </w:r>
      <w:r w:rsidRPr="00784537">
        <w:rPr>
          <w:rFonts w:ascii="Arial" w:hAnsi="Arial" w:cs="Arial"/>
          <w:sz w:val="28"/>
          <w:szCs w:val="24"/>
        </w:rPr>
        <w:lastRenderedPageBreak/>
        <w:t>Sala Superior</w:t>
      </w:r>
      <w:r>
        <w:rPr>
          <w:rFonts w:ascii="Arial" w:hAnsi="Arial" w:cs="Arial"/>
          <w:sz w:val="28"/>
          <w:szCs w:val="24"/>
        </w:rPr>
        <w:t>,</w:t>
      </w:r>
      <w:r w:rsidRPr="00784537">
        <w:rPr>
          <w:rFonts w:ascii="Arial" w:hAnsi="Arial" w:cs="Arial"/>
          <w:sz w:val="28"/>
          <w:szCs w:val="24"/>
        </w:rPr>
        <w:t xml:space="preserve"> </w:t>
      </w:r>
      <w:r>
        <w:rPr>
          <w:rFonts w:ascii="Arial" w:hAnsi="Arial" w:cs="Arial"/>
          <w:sz w:val="28"/>
          <w:szCs w:val="24"/>
        </w:rPr>
        <w:t>la</w:t>
      </w:r>
      <w:r w:rsidRPr="003131B2">
        <w:rPr>
          <w:rFonts w:ascii="Arial" w:hAnsi="Arial" w:cs="Arial"/>
          <w:sz w:val="28"/>
          <w:szCs w:val="24"/>
        </w:rPr>
        <w:t xml:space="preserve"> </w:t>
      </w:r>
      <w:r>
        <w:rPr>
          <w:rFonts w:ascii="Arial" w:hAnsi="Arial" w:cs="Arial"/>
          <w:sz w:val="28"/>
          <w:szCs w:val="24"/>
        </w:rPr>
        <w:t>apelación con</w:t>
      </w:r>
      <w:r w:rsidRPr="003131B2">
        <w:rPr>
          <w:rFonts w:ascii="Arial" w:hAnsi="Arial" w:cs="Arial"/>
          <w:sz w:val="28"/>
          <w:szCs w:val="24"/>
        </w:rPr>
        <w:t xml:space="preserve"> los autos del expediente </w:t>
      </w:r>
      <w:r w:rsidR="0050127A">
        <w:rPr>
          <w:rFonts w:ascii="Arial" w:hAnsi="Arial" w:cs="Arial"/>
          <w:color w:val="FF0000"/>
          <w:sz w:val="28"/>
          <w:szCs w:val="24"/>
        </w:rPr>
        <w:t>**********</w:t>
      </w:r>
      <w:r w:rsidRPr="00784537">
        <w:rPr>
          <w:rFonts w:ascii="Arial" w:hAnsi="Arial" w:cs="Arial"/>
          <w:sz w:val="28"/>
          <w:szCs w:val="24"/>
        </w:rPr>
        <w:t>/2020-</w:t>
      </w:r>
      <w:r w:rsidR="0081213A">
        <w:rPr>
          <w:rFonts w:ascii="Arial" w:hAnsi="Arial" w:cs="Arial"/>
          <w:sz w:val="28"/>
          <w:szCs w:val="24"/>
        </w:rPr>
        <w:t>1</w:t>
      </w:r>
      <w:r w:rsidRPr="00784537">
        <w:rPr>
          <w:rFonts w:ascii="Arial" w:hAnsi="Arial" w:cs="Arial"/>
          <w:sz w:val="28"/>
          <w:szCs w:val="24"/>
        </w:rPr>
        <w:t>.</w:t>
      </w:r>
    </w:p>
    <w:p w14:paraId="4FD37611" w14:textId="77777777" w:rsidR="00C63564" w:rsidRDefault="00C63564" w:rsidP="00C63564">
      <w:pPr>
        <w:spacing w:after="0" w:line="360" w:lineRule="auto"/>
        <w:ind w:firstLine="851"/>
        <w:jc w:val="both"/>
        <w:rPr>
          <w:rFonts w:ascii="Arial" w:hAnsi="Arial" w:cs="Arial"/>
          <w:b/>
          <w:sz w:val="28"/>
          <w:szCs w:val="28"/>
        </w:rPr>
      </w:pPr>
    </w:p>
    <w:p w14:paraId="224EADD7" w14:textId="03897A61" w:rsidR="00AE46D3" w:rsidRDefault="00AE46D3" w:rsidP="00C63564">
      <w:pPr>
        <w:spacing w:after="0" w:line="360" w:lineRule="auto"/>
        <w:ind w:firstLine="851"/>
        <w:jc w:val="both"/>
        <w:rPr>
          <w:rFonts w:ascii="Arial" w:hAnsi="Arial" w:cs="Arial"/>
          <w:sz w:val="28"/>
          <w:szCs w:val="28"/>
        </w:rPr>
      </w:pPr>
      <w:r>
        <w:rPr>
          <w:rFonts w:ascii="Arial" w:hAnsi="Arial" w:cs="Arial"/>
          <w:b/>
          <w:sz w:val="28"/>
          <w:szCs w:val="28"/>
        </w:rPr>
        <w:t>III</w:t>
      </w:r>
      <w:r w:rsidRPr="00BE7607">
        <w:rPr>
          <w:rFonts w:ascii="Arial" w:hAnsi="Arial" w:cs="Arial"/>
          <w:b/>
          <w:sz w:val="28"/>
          <w:szCs w:val="28"/>
        </w:rPr>
        <w:t>.</w:t>
      </w:r>
      <w:r w:rsidRPr="003979F9">
        <w:rPr>
          <w:rFonts w:ascii="Arial" w:hAnsi="Arial" w:cs="Arial"/>
          <w:sz w:val="28"/>
          <w:szCs w:val="28"/>
        </w:rPr>
        <w:t xml:space="preserve"> </w:t>
      </w:r>
      <w:r w:rsidR="0081213A">
        <w:rPr>
          <w:rFonts w:ascii="Arial" w:hAnsi="Arial" w:cs="Arial"/>
          <w:sz w:val="28"/>
          <w:szCs w:val="28"/>
        </w:rPr>
        <w:t>El</w:t>
      </w:r>
      <w:r w:rsidRPr="003979F9">
        <w:rPr>
          <w:rFonts w:ascii="Arial" w:hAnsi="Arial" w:cs="Arial"/>
          <w:sz w:val="28"/>
          <w:szCs w:val="28"/>
        </w:rPr>
        <w:t xml:space="preserve"> </w:t>
      </w:r>
      <w:r w:rsidR="00922DF5">
        <w:rPr>
          <w:rFonts w:ascii="Arial" w:hAnsi="Arial" w:cs="Arial"/>
          <w:color w:val="0000FF"/>
          <w:sz w:val="28"/>
          <w:szCs w:val="28"/>
        </w:rPr>
        <w:t>dieciocho</w:t>
      </w:r>
      <w:r w:rsidRPr="00721CD7">
        <w:rPr>
          <w:rFonts w:ascii="Arial" w:hAnsi="Arial" w:cs="Arial"/>
          <w:color w:val="0000FF"/>
          <w:sz w:val="28"/>
          <w:szCs w:val="28"/>
        </w:rPr>
        <w:t xml:space="preserve"> de </w:t>
      </w:r>
      <w:r w:rsidR="00922DF5">
        <w:rPr>
          <w:rFonts w:ascii="Arial" w:hAnsi="Arial" w:cs="Arial"/>
          <w:color w:val="0000FF"/>
          <w:sz w:val="28"/>
          <w:szCs w:val="28"/>
        </w:rPr>
        <w:t>noviembre</w:t>
      </w:r>
      <w:r w:rsidRPr="00721CD7">
        <w:rPr>
          <w:rFonts w:ascii="Arial" w:hAnsi="Arial" w:cs="Arial"/>
          <w:color w:val="0000FF"/>
          <w:sz w:val="28"/>
          <w:szCs w:val="28"/>
        </w:rPr>
        <w:t xml:space="preserve"> de dos mil veintiuno</w:t>
      </w:r>
      <w:r w:rsidRPr="00784537">
        <w:rPr>
          <w:rStyle w:val="Refdenotaalpie"/>
          <w:rFonts w:ascii="Arial" w:hAnsi="Arial" w:cs="Arial"/>
          <w:sz w:val="28"/>
          <w:szCs w:val="28"/>
        </w:rPr>
        <w:footnoteReference w:id="3"/>
      </w:r>
      <w:r w:rsidR="00D8676A">
        <w:rPr>
          <w:rFonts w:ascii="Arial" w:hAnsi="Arial" w:cs="Arial"/>
          <w:color w:val="0000FF"/>
          <w:sz w:val="28"/>
          <w:szCs w:val="28"/>
        </w:rPr>
        <w:t>,</w:t>
      </w:r>
      <w:r w:rsidRPr="003979F9">
        <w:rPr>
          <w:rFonts w:ascii="Arial" w:hAnsi="Arial" w:cs="Arial"/>
          <w:sz w:val="28"/>
          <w:szCs w:val="28"/>
        </w:rPr>
        <w:t xml:space="preserve"> se radicó la apelación con el número </w:t>
      </w:r>
      <w:r w:rsidR="0050127A">
        <w:rPr>
          <w:rFonts w:ascii="Arial" w:hAnsi="Arial" w:cs="Arial"/>
          <w:color w:val="FF0000"/>
          <w:sz w:val="28"/>
          <w:szCs w:val="28"/>
        </w:rPr>
        <w:t>**********</w:t>
      </w:r>
      <w:r w:rsidRPr="003979F9">
        <w:rPr>
          <w:rFonts w:ascii="Arial" w:hAnsi="Arial" w:cs="Arial"/>
          <w:sz w:val="28"/>
          <w:szCs w:val="28"/>
        </w:rPr>
        <w:t>/20</w:t>
      </w:r>
      <w:r>
        <w:rPr>
          <w:rFonts w:ascii="Arial" w:hAnsi="Arial" w:cs="Arial"/>
          <w:sz w:val="28"/>
          <w:szCs w:val="28"/>
        </w:rPr>
        <w:t>21</w:t>
      </w:r>
      <w:r w:rsidRPr="003979F9">
        <w:rPr>
          <w:rFonts w:ascii="Arial" w:hAnsi="Arial" w:cs="Arial"/>
          <w:sz w:val="28"/>
          <w:szCs w:val="28"/>
        </w:rPr>
        <w:t xml:space="preserve">/SS y se ordenó notificar </w:t>
      </w:r>
      <w:r>
        <w:rPr>
          <w:rFonts w:ascii="Arial" w:hAnsi="Arial" w:cs="Arial"/>
          <w:sz w:val="28"/>
          <w:szCs w:val="28"/>
        </w:rPr>
        <w:t>y dar vista con copia de</w:t>
      </w:r>
      <w:r w:rsidRPr="00521882">
        <w:rPr>
          <w:rFonts w:ascii="Arial" w:hAnsi="Arial" w:cs="Arial"/>
          <w:sz w:val="28"/>
          <w:szCs w:val="28"/>
        </w:rPr>
        <w:t>l escrito de cuenta, a</w:t>
      </w:r>
      <w:r>
        <w:rPr>
          <w:rFonts w:ascii="Arial" w:hAnsi="Arial" w:cs="Arial"/>
          <w:sz w:val="28"/>
          <w:szCs w:val="28"/>
        </w:rPr>
        <w:t xml:space="preserve"> la</w:t>
      </w:r>
      <w:r w:rsidR="00922DF5">
        <w:rPr>
          <w:rFonts w:ascii="Arial" w:hAnsi="Arial" w:cs="Arial"/>
          <w:sz w:val="28"/>
          <w:szCs w:val="28"/>
        </w:rPr>
        <w:t>s</w:t>
      </w:r>
      <w:r>
        <w:rPr>
          <w:rFonts w:ascii="Arial" w:hAnsi="Arial" w:cs="Arial"/>
          <w:sz w:val="28"/>
          <w:szCs w:val="28"/>
        </w:rPr>
        <w:t xml:space="preserve"> autoridad</w:t>
      </w:r>
      <w:r w:rsidR="00922DF5">
        <w:rPr>
          <w:rFonts w:ascii="Arial" w:hAnsi="Arial" w:cs="Arial"/>
          <w:sz w:val="28"/>
          <w:szCs w:val="28"/>
        </w:rPr>
        <w:t>es</w:t>
      </w:r>
      <w:r>
        <w:rPr>
          <w:rFonts w:ascii="Arial" w:hAnsi="Arial" w:cs="Arial"/>
          <w:sz w:val="28"/>
          <w:szCs w:val="28"/>
        </w:rPr>
        <w:t xml:space="preserve"> demandada</w:t>
      </w:r>
      <w:r w:rsidR="00922DF5">
        <w:rPr>
          <w:rFonts w:ascii="Arial" w:hAnsi="Arial" w:cs="Arial"/>
          <w:sz w:val="28"/>
          <w:szCs w:val="28"/>
        </w:rPr>
        <w:t>s</w:t>
      </w:r>
      <w:r>
        <w:rPr>
          <w:rFonts w:ascii="Arial" w:hAnsi="Arial" w:cs="Arial"/>
          <w:sz w:val="28"/>
          <w:szCs w:val="28"/>
        </w:rPr>
        <w:t xml:space="preserve"> </w:t>
      </w:r>
      <w:r w:rsidR="0050127A">
        <w:rPr>
          <w:rFonts w:ascii="Arial" w:hAnsi="Arial" w:cs="Arial"/>
          <w:color w:val="FF0000"/>
          <w:sz w:val="28"/>
          <w:szCs w:val="28"/>
        </w:rPr>
        <w:t>**********</w:t>
      </w:r>
      <w:r w:rsidR="00922DF5" w:rsidRPr="00922DF5">
        <w:rPr>
          <w:rFonts w:ascii="Arial" w:hAnsi="Arial" w:cs="Arial"/>
          <w:sz w:val="28"/>
          <w:szCs w:val="28"/>
        </w:rPr>
        <w:t xml:space="preserve">, </w:t>
      </w:r>
      <w:r w:rsidR="0050127A">
        <w:rPr>
          <w:rFonts w:ascii="Arial" w:hAnsi="Arial" w:cs="Arial"/>
          <w:color w:val="FF0000"/>
          <w:sz w:val="28"/>
          <w:szCs w:val="28"/>
        </w:rPr>
        <w:t>**********</w:t>
      </w:r>
      <w:r w:rsidR="00922DF5" w:rsidRPr="00922DF5">
        <w:rPr>
          <w:rFonts w:ascii="Arial" w:hAnsi="Arial" w:cs="Arial"/>
          <w:sz w:val="28"/>
          <w:szCs w:val="28"/>
        </w:rPr>
        <w:t xml:space="preserve">, </w:t>
      </w:r>
      <w:r w:rsidR="0050127A">
        <w:rPr>
          <w:rFonts w:ascii="Arial" w:hAnsi="Arial" w:cs="Arial"/>
          <w:color w:val="FF0000"/>
          <w:sz w:val="28"/>
          <w:szCs w:val="28"/>
        </w:rPr>
        <w:t>**********</w:t>
      </w:r>
      <w:r w:rsidR="00922DF5" w:rsidRPr="00922DF5">
        <w:rPr>
          <w:rFonts w:ascii="Arial" w:hAnsi="Arial" w:cs="Arial"/>
          <w:sz w:val="28"/>
          <w:szCs w:val="28"/>
        </w:rPr>
        <w:t xml:space="preserve"> y </w:t>
      </w:r>
      <w:r w:rsidR="0050127A">
        <w:rPr>
          <w:rFonts w:ascii="Arial" w:hAnsi="Arial" w:cs="Arial"/>
          <w:color w:val="FF0000"/>
          <w:sz w:val="28"/>
          <w:szCs w:val="28"/>
        </w:rPr>
        <w:t>**********</w:t>
      </w:r>
      <w:r w:rsidR="00922DF5" w:rsidRPr="00922DF5">
        <w:rPr>
          <w:rFonts w:ascii="Arial" w:hAnsi="Arial" w:cs="Arial"/>
          <w:sz w:val="28"/>
          <w:szCs w:val="28"/>
        </w:rPr>
        <w:t xml:space="preserve">, todos del </w:t>
      </w:r>
      <w:r w:rsidR="0050127A">
        <w:rPr>
          <w:rFonts w:ascii="Arial" w:hAnsi="Arial" w:cs="Arial"/>
          <w:color w:val="FF0000"/>
          <w:sz w:val="28"/>
          <w:szCs w:val="28"/>
        </w:rPr>
        <w:t>**********</w:t>
      </w:r>
      <w:r w:rsidR="00922DF5" w:rsidRPr="00922DF5">
        <w:rPr>
          <w:rFonts w:ascii="Arial" w:hAnsi="Arial" w:cs="Arial"/>
          <w:sz w:val="28"/>
          <w:szCs w:val="28"/>
        </w:rPr>
        <w:t xml:space="preserve">; y </w:t>
      </w:r>
      <w:r w:rsidR="0050127A">
        <w:rPr>
          <w:rFonts w:ascii="Arial" w:hAnsi="Arial" w:cs="Arial"/>
          <w:color w:val="FF0000"/>
          <w:sz w:val="28"/>
          <w:szCs w:val="28"/>
        </w:rPr>
        <w:t>**********</w:t>
      </w:r>
      <w:r w:rsidR="00922DF5" w:rsidRPr="00922DF5">
        <w:rPr>
          <w:rFonts w:ascii="Arial" w:hAnsi="Arial" w:cs="Arial"/>
          <w:sz w:val="28"/>
          <w:szCs w:val="28"/>
        </w:rPr>
        <w:t xml:space="preserve">, </w:t>
      </w:r>
      <w:r w:rsidR="0050127A">
        <w:rPr>
          <w:rFonts w:ascii="Arial" w:hAnsi="Arial" w:cs="Arial"/>
          <w:color w:val="FF0000"/>
          <w:sz w:val="28"/>
          <w:szCs w:val="28"/>
        </w:rPr>
        <w:t>**********</w:t>
      </w:r>
      <w:r w:rsidR="00922DF5" w:rsidRPr="00922DF5">
        <w:rPr>
          <w:rFonts w:ascii="Arial" w:hAnsi="Arial" w:cs="Arial"/>
          <w:sz w:val="28"/>
          <w:szCs w:val="28"/>
        </w:rPr>
        <w:t xml:space="preserve"> y </w:t>
      </w:r>
      <w:r w:rsidR="0050127A">
        <w:rPr>
          <w:rFonts w:ascii="Arial" w:hAnsi="Arial" w:cs="Arial"/>
          <w:color w:val="FF0000"/>
          <w:sz w:val="28"/>
          <w:szCs w:val="28"/>
        </w:rPr>
        <w:t>**********</w:t>
      </w:r>
      <w:r w:rsidR="00922DF5" w:rsidRPr="00922DF5">
        <w:rPr>
          <w:rFonts w:ascii="Arial" w:hAnsi="Arial" w:cs="Arial"/>
          <w:sz w:val="28"/>
          <w:szCs w:val="28"/>
        </w:rPr>
        <w:t xml:space="preserve">, todos del </w:t>
      </w:r>
      <w:r w:rsidR="0050127A">
        <w:rPr>
          <w:rFonts w:ascii="Arial" w:hAnsi="Arial" w:cs="Arial"/>
          <w:color w:val="FF0000"/>
          <w:sz w:val="28"/>
          <w:szCs w:val="28"/>
        </w:rPr>
        <w:t>**********</w:t>
      </w:r>
      <w:r w:rsidRPr="0021238C">
        <w:rPr>
          <w:rFonts w:ascii="Arial" w:hAnsi="Arial" w:cs="Arial"/>
          <w:sz w:val="28"/>
          <w:szCs w:val="28"/>
        </w:rPr>
        <w:t>, para</w:t>
      </w:r>
      <w:r w:rsidRPr="003979F9">
        <w:rPr>
          <w:rFonts w:ascii="Arial" w:hAnsi="Arial" w:cs="Arial"/>
          <w:sz w:val="28"/>
          <w:szCs w:val="28"/>
        </w:rPr>
        <w:t xml:space="preserve"> que en el término de tres días hábiles manifestara</w:t>
      </w:r>
      <w:r w:rsidR="00922DF5">
        <w:rPr>
          <w:rFonts w:ascii="Arial" w:hAnsi="Arial" w:cs="Arial"/>
          <w:sz w:val="28"/>
          <w:szCs w:val="28"/>
        </w:rPr>
        <w:t>n</w:t>
      </w:r>
      <w:r w:rsidRPr="003979F9">
        <w:rPr>
          <w:rFonts w:ascii="Arial" w:hAnsi="Arial" w:cs="Arial"/>
          <w:sz w:val="28"/>
          <w:szCs w:val="28"/>
        </w:rPr>
        <w:t xml:space="preserve"> lo que a su derecho</w:t>
      </w:r>
      <w:r>
        <w:rPr>
          <w:rFonts w:ascii="Arial" w:hAnsi="Arial" w:cs="Arial"/>
          <w:sz w:val="28"/>
          <w:szCs w:val="28"/>
        </w:rPr>
        <w:t xml:space="preserve"> conviniere.</w:t>
      </w:r>
    </w:p>
    <w:p w14:paraId="7E655791" w14:textId="77777777" w:rsidR="00C63564" w:rsidRDefault="00C63564" w:rsidP="00C63564">
      <w:pPr>
        <w:spacing w:after="0" w:line="360" w:lineRule="auto"/>
        <w:ind w:firstLine="851"/>
        <w:jc w:val="both"/>
        <w:rPr>
          <w:rFonts w:ascii="Arial" w:hAnsi="Arial" w:cs="Arial"/>
          <w:sz w:val="28"/>
          <w:szCs w:val="28"/>
        </w:rPr>
      </w:pPr>
    </w:p>
    <w:p w14:paraId="4264654B" w14:textId="13642146" w:rsidR="00AE46D3" w:rsidRDefault="00AE46D3" w:rsidP="00C63564">
      <w:pPr>
        <w:spacing w:after="0" w:line="360" w:lineRule="auto"/>
        <w:ind w:firstLine="851"/>
        <w:jc w:val="both"/>
        <w:rPr>
          <w:rFonts w:ascii="Arial" w:hAnsi="Arial" w:cs="Arial"/>
          <w:sz w:val="28"/>
          <w:szCs w:val="28"/>
        </w:rPr>
      </w:pPr>
      <w:r w:rsidRPr="0021238C">
        <w:rPr>
          <w:rFonts w:ascii="Arial" w:hAnsi="Arial" w:cs="Arial"/>
          <w:b/>
          <w:sz w:val="28"/>
          <w:szCs w:val="28"/>
        </w:rPr>
        <w:t>IV.</w:t>
      </w:r>
      <w:r w:rsidRPr="0021238C">
        <w:rPr>
          <w:rFonts w:ascii="Arial" w:hAnsi="Arial" w:cs="Arial"/>
          <w:sz w:val="28"/>
          <w:szCs w:val="28"/>
        </w:rPr>
        <w:t xml:space="preserve"> En </w:t>
      </w:r>
      <w:r w:rsidR="00922DF5" w:rsidRPr="00922DF5">
        <w:rPr>
          <w:rFonts w:ascii="Arial" w:hAnsi="Arial" w:cs="Arial"/>
          <w:color w:val="0000FF"/>
          <w:sz w:val="28"/>
          <w:szCs w:val="28"/>
        </w:rPr>
        <w:t>treinta</w:t>
      </w:r>
      <w:r w:rsidRPr="00922DF5">
        <w:rPr>
          <w:rFonts w:ascii="Arial" w:hAnsi="Arial" w:cs="Arial"/>
          <w:color w:val="0000FF"/>
          <w:sz w:val="28"/>
          <w:szCs w:val="28"/>
        </w:rPr>
        <w:t xml:space="preserve"> de </w:t>
      </w:r>
      <w:r w:rsidR="00922DF5" w:rsidRPr="00922DF5">
        <w:rPr>
          <w:rFonts w:ascii="Arial" w:hAnsi="Arial" w:cs="Arial"/>
          <w:color w:val="0000FF"/>
          <w:sz w:val="28"/>
          <w:szCs w:val="28"/>
        </w:rPr>
        <w:t>noviembre</w:t>
      </w:r>
      <w:r w:rsidRPr="00922DF5">
        <w:rPr>
          <w:rFonts w:ascii="Arial" w:hAnsi="Arial" w:cs="Arial"/>
          <w:color w:val="0000FF"/>
          <w:sz w:val="28"/>
          <w:szCs w:val="28"/>
        </w:rPr>
        <w:t xml:space="preserve"> de dos mil veintiuno</w:t>
      </w:r>
      <w:r w:rsidR="00922DF5">
        <w:rPr>
          <w:rFonts w:ascii="Arial" w:hAnsi="Arial" w:cs="Arial"/>
          <w:sz w:val="28"/>
          <w:szCs w:val="28"/>
        </w:rPr>
        <w:t>,</w:t>
      </w:r>
      <w:r w:rsidRPr="00784537">
        <w:rPr>
          <w:rStyle w:val="Refdenotaalpie"/>
          <w:rFonts w:ascii="Arial" w:hAnsi="Arial" w:cs="Arial"/>
          <w:sz w:val="28"/>
          <w:szCs w:val="28"/>
        </w:rPr>
        <w:footnoteReference w:id="4"/>
      </w:r>
      <w:r w:rsidRPr="0021238C">
        <w:rPr>
          <w:rFonts w:ascii="Arial" w:hAnsi="Arial" w:cs="Arial"/>
          <w:sz w:val="28"/>
          <w:szCs w:val="28"/>
        </w:rPr>
        <w:t xml:space="preserve"> se </w:t>
      </w:r>
      <w:r>
        <w:rPr>
          <w:rFonts w:ascii="Arial" w:hAnsi="Arial" w:cs="Arial"/>
          <w:sz w:val="28"/>
          <w:szCs w:val="28"/>
        </w:rPr>
        <w:t xml:space="preserve">acordó que </w:t>
      </w:r>
      <w:r w:rsidRPr="0021238C">
        <w:rPr>
          <w:rFonts w:ascii="Arial" w:hAnsi="Arial" w:cs="Arial"/>
          <w:sz w:val="28"/>
          <w:szCs w:val="28"/>
        </w:rPr>
        <w:t>la</w:t>
      </w:r>
      <w:r w:rsidR="00277E3C">
        <w:rPr>
          <w:rFonts w:ascii="Arial" w:hAnsi="Arial" w:cs="Arial"/>
          <w:sz w:val="28"/>
          <w:szCs w:val="28"/>
        </w:rPr>
        <w:t>s</w:t>
      </w:r>
      <w:r w:rsidRPr="0021238C">
        <w:rPr>
          <w:rFonts w:ascii="Arial" w:hAnsi="Arial" w:cs="Arial"/>
          <w:sz w:val="28"/>
          <w:szCs w:val="28"/>
        </w:rPr>
        <w:t xml:space="preserve"> autoridad</w:t>
      </w:r>
      <w:r w:rsidR="00277E3C">
        <w:rPr>
          <w:rFonts w:ascii="Arial" w:hAnsi="Arial" w:cs="Arial"/>
          <w:sz w:val="28"/>
          <w:szCs w:val="28"/>
        </w:rPr>
        <w:t>es</w:t>
      </w:r>
      <w:r w:rsidRPr="0021238C">
        <w:rPr>
          <w:rFonts w:ascii="Arial" w:hAnsi="Arial" w:cs="Arial"/>
          <w:sz w:val="28"/>
          <w:szCs w:val="28"/>
        </w:rPr>
        <w:t xml:space="preserve"> demandada</w:t>
      </w:r>
      <w:r w:rsidR="00277E3C">
        <w:rPr>
          <w:rFonts w:ascii="Arial" w:hAnsi="Arial" w:cs="Arial"/>
          <w:sz w:val="28"/>
          <w:szCs w:val="28"/>
        </w:rPr>
        <w:t xml:space="preserve">s </w:t>
      </w:r>
      <w:r w:rsidR="0050127A">
        <w:rPr>
          <w:rFonts w:ascii="Arial" w:hAnsi="Arial" w:cs="Arial"/>
          <w:color w:val="FF0000"/>
          <w:sz w:val="28"/>
          <w:szCs w:val="28"/>
        </w:rPr>
        <w:t>**********</w:t>
      </w:r>
      <w:r w:rsidR="00277E3C" w:rsidRPr="00922DF5">
        <w:rPr>
          <w:rFonts w:ascii="Arial" w:hAnsi="Arial" w:cs="Arial"/>
          <w:sz w:val="28"/>
          <w:szCs w:val="28"/>
        </w:rPr>
        <w:t xml:space="preserve">, </w:t>
      </w:r>
      <w:r w:rsidR="0050127A">
        <w:rPr>
          <w:rFonts w:ascii="Arial" w:hAnsi="Arial" w:cs="Arial"/>
          <w:color w:val="FF0000"/>
          <w:sz w:val="28"/>
          <w:szCs w:val="28"/>
        </w:rPr>
        <w:t>**********</w:t>
      </w:r>
      <w:r w:rsidR="00277E3C" w:rsidRPr="00922DF5">
        <w:rPr>
          <w:rFonts w:ascii="Arial" w:hAnsi="Arial" w:cs="Arial"/>
          <w:sz w:val="28"/>
          <w:szCs w:val="28"/>
        </w:rPr>
        <w:t xml:space="preserve">, </w:t>
      </w:r>
      <w:r w:rsidR="0050127A">
        <w:rPr>
          <w:rFonts w:ascii="Arial" w:hAnsi="Arial" w:cs="Arial"/>
          <w:color w:val="FF0000"/>
          <w:sz w:val="28"/>
          <w:szCs w:val="28"/>
        </w:rPr>
        <w:t>**********</w:t>
      </w:r>
      <w:r w:rsidR="00277E3C" w:rsidRPr="00922DF5">
        <w:rPr>
          <w:rFonts w:ascii="Arial" w:hAnsi="Arial" w:cs="Arial"/>
          <w:sz w:val="28"/>
          <w:szCs w:val="28"/>
        </w:rPr>
        <w:t xml:space="preserve"> y </w:t>
      </w:r>
      <w:r w:rsidR="0050127A">
        <w:rPr>
          <w:rFonts w:ascii="Arial" w:hAnsi="Arial" w:cs="Arial"/>
          <w:color w:val="FF0000"/>
          <w:sz w:val="28"/>
          <w:szCs w:val="28"/>
        </w:rPr>
        <w:t>**********</w:t>
      </w:r>
      <w:r w:rsidR="00277E3C" w:rsidRPr="00922DF5">
        <w:rPr>
          <w:rFonts w:ascii="Arial" w:hAnsi="Arial" w:cs="Arial"/>
          <w:sz w:val="28"/>
          <w:szCs w:val="28"/>
        </w:rPr>
        <w:t xml:space="preserve">, todos del </w:t>
      </w:r>
      <w:r w:rsidR="0050127A">
        <w:rPr>
          <w:rFonts w:ascii="Arial" w:hAnsi="Arial" w:cs="Arial"/>
          <w:color w:val="FF0000"/>
          <w:sz w:val="28"/>
          <w:szCs w:val="28"/>
        </w:rPr>
        <w:t>**********</w:t>
      </w:r>
      <w:r w:rsidR="00277E3C" w:rsidRPr="00922DF5">
        <w:rPr>
          <w:rFonts w:ascii="Arial" w:hAnsi="Arial" w:cs="Arial"/>
          <w:sz w:val="28"/>
          <w:szCs w:val="28"/>
        </w:rPr>
        <w:t xml:space="preserve">; y </w:t>
      </w:r>
      <w:r w:rsidR="0050127A">
        <w:rPr>
          <w:rFonts w:ascii="Arial" w:hAnsi="Arial" w:cs="Arial"/>
          <w:color w:val="FF0000"/>
          <w:sz w:val="28"/>
          <w:szCs w:val="28"/>
        </w:rPr>
        <w:t>**********</w:t>
      </w:r>
      <w:r w:rsidR="00277E3C" w:rsidRPr="00922DF5">
        <w:rPr>
          <w:rFonts w:ascii="Arial" w:hAnsi="Arial" w:cs="Arial"/>
          <w:sz w:val="28"/>
          <w:szCs w:val="28"/>
        </w:rPr>
        <w:t xml:space="preserve">, </w:t>
      </w:r>
      <w:r w:rsidR="0050127A">
        <w:rPr>
          <w:rFonts w:ascii="Arial" w:hAnsi="Arial" w:cs="Arial"/>
          <w:color w:val="FF0000"/>
          <w:sz w:val="28"/>
          <w:szCs w:val="28"/>
        </w:rPr>
        <w:t>**********</w:t>
      </w:r>
      <w:r w:rsidR="00277E3C" w:rsidRPr="00922DF5">
        <w:rPr>
          <w:rFonts w:ascii="Arial" w:hAnsi="Arial" w:cs="Arial"/>
          <w:sz w:val="28"/>
          <w:szCs w:val="28"/>
        </w:rPr>
        <w:t xml:space="preserve"> y </w:t>
      </w:r>
      <w:r w:rsidR="0050127A">
        <w:rPr>
          <w:rFonts w:ascii="Arial" w:hAnsi="Arial" w:cs="Arial"/>
          <w:color w:val="FF0000"/>
          <w:sz w:val="28"/>
          <w:szCs w:val="28"/>
        </w:rPr>
        <w:t>**********</w:t>
      </w:r>
      <w:r w:rsidR="00277E3C" w:rsidRPr="00922DF5">
        <w:rPr>
          <w:rFonts w:ascii="Arial" w:hAnsi="Arial" w:cs="Arial"/>
          <w:sz w:val="28"/>
          <w:szCs w:val="28"/>
        </w:rPr>
        <w:t xml:space="preserve">, todos del </w:t>
      </w:r>
      <w:r w:rsidR="0050127A">
        <w:rPr>
          <w:rFonts w:ascii="Arial" w:hAnsi="Arial" w:cs="Arial"/>
          <w:color w:val="FF0000"/>
          <w:sz w:val="28"/>
          <w:szCs w:val="28"/>
        </w:rPr>
        <w:t>**********</w:t>
      </w:r>
      <w:r w:rsidR="00277E3C" w:rsidRPr="0021238C">
        <w:rPr>
          <w:rFonts w:ascii="Arial" w:hAnsi="Arial" w:cs="Arial"/>
          <w:sz w:val="28"/>
          <w:szCs w:val="28"/>
        </w:rPr>
        <w:t>,</w:t>
      </w:r>
      <w:r>
        <w:rPr>
          <w:rFonts w:ascii="Arial" w:hAnsi="Arial" w:cs="Arial"/>
          <w:sz w:val="28"/>
          <w:szCs w:val="28"/>
        </w:rPr>
        <w:t xml:space="preserve"> no desahog</w:t>
      </w:r>
      <w:r w:rsidR="00277E3C">
        <w:rPr>
          <w:rFonts w:ascii="Arial" w:hAnsi="Arial" w:cs="Arial"/>
          <w:sz w:val="28"/>
          <w:szCs w:val="28"/>
        </w:rPr>
        <w:t>aron</w:t>
      </w:r>
      <w:r w:rsidRPr="0021238C">
        <w:rPr>
          <w:rFonts w:ascii="Arial" w:hAnsi="Arial" w:cs="Arial"/>
          <w:sz w:val="28"/>
          <w:szCs w:val="28"/>
        </w:rPr>
        <w:t xml:space="preserve"> la vista </w:t>
      </w:r>
      <w:r w:rsidR="00277E3C">
        <w:rPr>
          <w:rFonts w:ascii="Arial" w:hAnsi="Arial" w:cs="Arial"/>
          <w:sz w:val="28"/>
          <w:szCs w:val="28"/>
        </w:rPr>
        <w:t>concedida en el párrafo que antecede</w:t>
      </w:r>
      <w:r w:rsidRPr="0021238C">
        <w:rPr>
          <w:rFonts w:ascii="Arial" w:hAnsi="Arial" w:cs="Arial"/>
          <w:sz w:val="28"/>
          <w:szCs w:val="28"/>
        </w:rPr>
        <w:t xml:space="preserve"> y con fundamento en lo dispuesto por el </w:t>
      </w:r>
      <w:r>
        <w:rPr>
          <w:rFonts w:ascii="Arial" w:hAnsi="Arial" w:cs="Arial"/>
          <w:sz w:val="28"/>
          <w:szCs w:val="28"/>
        </w:rPr>
        <w:t>ú</w:t>
      </w:r>
      <w:r w:rsidRPr="0021238C">
        <w:rPr>
          <w:rFonts w:ascii="Arial" w:hAnsi="Arial" w:cs="Arial"/>
          <w:sz w:val="28"/>
          <w:szCs w:val="28"/>
        </w:rPr>
        <w:t>ltimo párrafo del artículo 154 del Código Procesal Administrativo en el Estado</w:t>
      </w:r>
      <w:r w:rsidR="00277E3C">
        <w:rPr>
          <w:rFonts w:ascii="Arial" w:hAnsi="Arial" w:cs="Arial"/>
          <w:sz w:val="28"/>
          <w:szCs w:val="28"/>
        </w:rPr>
        <w:t>,</w:t>
      </w:r>
      <w:r w:rsidRPr="0021238C">
        <w:rPr>
          <w:rStyle w:val="Refdenotaalpie"/>
          <w:rFonts w:ascii="Arial" w:hAnsi="Arial" w:cs="Arial"/>
          <w:sz w:val="28"/>
          <w:szCs w:val="28"/>
        </w:rPr>
        <w:footnoteReference w:id="5"/>
      </w:r>
      <w:r w:rsidRPr="0021238C">
        <w:rPr>
          <w:rFonts w:ascii="Arial" w:hAnsi="Arial" w:cs="Arial"/>
          <w:sz w:val="28"/>
          <w:szCs w:val="28"/>
        </w:rPr>
        <w:t xml:space="preserve"> se citó para resolver el presente recurso de apelación.</w:t>
      </w:r>
    </w:p>
    <w:p w14:paraId="10DD5D60" w14:textId="77777777" w:rsidR="00C63564" w:rsidRDefault="00C63564" w:rsidP="00C63564">
      <w:pPr>
        <w:spacing w:after="0" w:line="360" w:lineRule="auto"/>
        <w:ind w:firstLine="851"/>
        <w:jc w:val="both"/>
        <w:rPr>
          <w:rFonts w:ascii="Arial" w:hAnsi="Arial" w:cs="Arial"/>
          <w:sz w:val="28"/>
          <w:szCs w:val="28"/>
        </w:rPr>
      </w:pPr>
    </w:p>
    <w:p w14:paraId="22C6ACD6" w14:textId="587AFA7A" w:rsidR="00AE46D3" w:rsidRDefault="00AE46D3" w:rsidP="00C63564">
      <w:pPr>
        <w:spacing w:after="0" w:line="360" w:lineRule="auto"/>
        <w:ind w:firstLine="851"/>
        <w:jc w:val="both"/>
        <w:rPr>
          <w:rFonts w:ascii="Arial" w:hAnsi="Arial" w:cs="Arial"/>
          <w:sz w:val="28"/>
          <w:szCs w:val="28"/>
        </w:rPr>
      </w:pPr>
      <w:r w:rsidRPr="007442BF">
        <w:rPr>
          <w:rFonts w:ascii="Arial" w:hAnsi="Arial" w:cs="Arial"/>
          <w:b/>
          <w:sz w:val="28"/>
          <w:szCs w:val="28"/>
        </w:rPr>
        <w:t>V.</w:t>
      </w:r>
      <w:r w:rsidRPr="007442BF">
        <w:rPr>
          <w:rFonts w:ascii="Arial" w:hAnsi="Arial" w:cs="Arial"/>
          <w:sz w:val="28"/>
          <w:szCs w:val="28"/>
        </w:rPr>
        <w:t xml:space="preserve"> </w:t>
      </w:r>
      <w:r w:rsidR="00277E3C">
        <w:rPr>
          <w:rFonts w:ascii="Arial" w:hAnsi="Arial" w:cs="Arial"/>
          <w:sz w:val="28"/>
          <w:szCs w:val="28"/>
        </w:rPr>
        <w:t xml:space="preserve">Posteriormente, </w:t>
      </w:r>
      <w:r w:rsidR="00277E3C" w:rsidRPr="007442BF">
        <w:rPr>
          <w:rFonts w:ascii="Arial" w:hAnsi="Arial" w:cs="Arial"/>
          <w:sz w:val="28"/>
          <w:szCs w:val="28"/>
        </w:rPr>
        <w:t xml:space="preserve">el </w:t>
      </w:r>
      <w:r w:rsidR="00277E3C" w:rsidRPr="00277E3C">
        <w:rPr>
          <w:rFonts w:ascii="Arial" w:hAnsi="Arial" w:cs="Arial"/>
          <w:color w:val="0000FF"/>
          <w:sz w:val="28"/>
          <w:szCs w:val="28"/>
        </w:rPr>
        <w:t>ocho</w:t>
      </w:r>
      <w:r w:rsidRPr="00277E3C">
        <w:rPr>
          <w:rFonts w:ascii="Arial" w:hAnsi="Arial" w:cs="Arial"/>
          <w:color w:val="0000FF"/>
          <w:sz w:val="28"/>
          <w:szCs w:val="28"/>
        </w:rPr>
        <w:t xml:space="preserve"> de </w:t>
      </w:r>
      <w:r w:rsidR="00277E3C" w:rsidRPr="00277E3C">
        <w:rPr>
          <w:rFonts w:ascii="Arial" w:hAnsi="Arial" w:cs="Arial"/>
          <w:color w:val="0000FF"/>
          <w:sz w:val="28"/>
          <w:szCs w:val="28"/>
        </w:rPr>
        <w:t>marzo</w:t>
      </w:r>
      <w:r w:rsidRPr="00277E3C">
        <w:rPr>
          <w:rFonts w:ascii="Arial" w:hAnsi="Arial" w:cs="Arial"/>
          <w:color w:val="0000FF"/>
          <w:sz w:val="28"/>
          <w:szCs w:val="28"/>
        </w:rPr>
        <w:t xml:space="preserve"> de dos mil veinti</w:t>
      </w:r>
      <w:r w:rsidR="00277E3C" w:rsidRPr="00277E3C">
        <w:rPr>
          <w:rFonts w:ascii="Arial" w:hAnsi="Arial" w:cs="Arial"/>
          <w:color w:val="0000FF"/>
          <w:sz w:val="28"/>
          <w:szCs w:val="28"/>
        </w:rPr>
        <w:t>dós</w:t>
      </w:r>
      <w:r>
        <w:rPr>
          <w:rFonts w:ascii="Arial" w:hAnsi="Arial" w:cs="Arial"/>
          <w:sz w:val="28"/>
          <w:szCs w:val="28"/>
        </w:rPr>
        <w:t>,</w:t>
      </w:r>
      <w:r w:rsidR="00232F73">
        <w:rPr>
          <w:rStyle w:val="Refdenotaalpie"/>
          <w:rFonts w:ascii="Arial" w:hAnsi="Arial" w:cs="Arial"/>
          <w:sz w:val="28"/>
          <w:szCs w:val="28"/>
        </w:rPr>
        <w:footnoteReference w:id="6"/>
      </w:r>
      <w:r w:rsidRPr="007442BF">
        <w:rPr>
          <w:rFonts w:ascii="Arial" w:hAnsi="Arial" w:cs="Arial"/>
          <w:sz w:val="28"/>
          <w:szCs w:val="28"/>
        </w:rPr>
        <w:t xml:space="preserve"> esta Sala Superior del Tribunal Estatal de Justicia Administra</w:t>
      </w:r>
      <w:r>
        <w:rPr>
          <w:rFonts w:ascii="Arial" w:hAnsi="Arial" w:cs="Arial"/>
          <w:sz w:val="28"/>
          <w:szCs w:val="28"/>
        </w:rPr>
        <w:t>tiva</w:t>
      </w:r>
      <w:r w:rsidR="00277E3C">
        <w:rPr>
          <w:rFonts w:ascii="Arial" w:hAnsi="Arial" w:cs="Arial"/>
          <w:sz w:val="28"/>
          <w:szCs w:val="28"/>
        </w:rPr>
        <w:t>,</w:t>
      </w:r>
      <w:r>
        <w:rPr>
          <w:rFonts w:ascii="Arial" w:hAnsi="Arial" w:cs="Arial"/>
          <w:sz w:val="28"/>
          <w:szCs w:val="28"/>
        </w:rPr>
        <w:t xml:space="preserve"> emitió resolución en el t</w:t>
      </w:r>
      <w:r w:rsidRPr="007442BF">
        <w:rPr>
          <w:rFonts w:ascii="Arial" w:hAnsi="Arial" w:cs="Arial"/>
          <w:sz w:val="28"/>
          <w:szCs w:val="28"/>
        </w:rPr>
        <w:t>oca en que se actúa, bajo los siguientes puntos resolutivos:</w:t>
      </w:r>
    </w:p>
    <w:p w14:paraId="1753DD8E" w14:textId="77777777" w:rsidR="00C63564" w:rsidRDefault="00C63564" w:rsidP="00C63564">
      <w:pPr>
        <w:spacing w:after="0" w:line="360" w:lineRule="auto"/>
        <w:ind w:firstLine="851"/>
        <w:jc w:val="both"/>
        <w:rPr>
          <w:rFonts w:ascii="Arial" w:hAnsi="Arial" w:cs="Arial"/>
          <w:sz w:val="28"/>
          <w:szCs w:val="28"/>
        </w:rPr>
      </w:pPr>
    </w:p>
    <w:p w14:paraId="00D81017" w14:textId="77777777" w:rsidR="00277E3C" w:rsidRDefault="00AE46D3" w:rsidP="00C63564">
      <w:pPr>
        <w:spacing w:after="0" w:line="240" w:lineRule="auto"/>
        <w:ind w:left="567" w:right="618"/>
        <w:jc w:val="both"/>
        <w:rPr>
          <w:rFonts w:ascii="Arial Narrow" w:hAnsi="Arial Narrow" w:cs="Arial"/>
          <w:i/>
          <w:sz w:val="24"/>
          <w:szCs w:val="24"/>
          <w:lang w:val="es-ES_tradnl"/>
        </w:rPr>
      </w:pPr>
      <w:r w:rsidRPr="00C63564">
        <w:rPr>
          <w:rFonts w:ascii="Arial Narrow" w:hAnsi="Arial Narrow" w:cs="Arial"/>
          <w:b/>
          <w:i/>
          <w:sz w:val="24"/>
          <w:szCs w:val="24"/>
        </w:rPr>
        <w:t>“</w:t>
      </w:r>
      <w:r w:rsidR="00277E3C" w:rsidRPr="00C63564">
        <w:rPr>
          <w:rFonts w:ascii="Arial Narrow" w:hAnsi="Arial Narrow" w:cs="Arial"/>
          <w:b/>
          <w:i/>
          <w:sz w:val="24"/>
          <w:szCs w:val="24"/>
          <w:lang w:val="es-ES_tradnl"/>
        </w:rPr>
        <w:t>PRIMERO.</w:t>
      </w:r>
      <w:r w:rsidR="00277E3C" w:rsidRPr="00C63564">
        <w:rPr>
          <w:rFonts w:ascii="Arial Narrow" w:hAnsi="Arial Narrow" w:cs="Arial"/>
          <w:i/>
          <w:sz w:val="24"/>
          <w:szCs w:val="24"/>
          <w:lang w:val="es-ES_tradnl"/>
        </w:rPr>
        <w:t xml:space="preserve"> Se </w:t>
      </w:r>
      <w:r w:rsidR="00277E3C" w:rsidRPr="00C63564">
        <w:rPr>
          <w:rFonts w:ascii="Arial Narrow" w:hAnsi="Arial Narrow" w:cs="Arial"/>
          <w:b/>
          <w:i/>
          <w:sz w:val="24"/>
          <w:szCs w:val="24"/>
          <w:lang w:val="es-ES_tradnl"/>
        </w:rPr>
        <w:t xml:space="preserve">modifica </w:t>
      </w:r>
      <w:r w:rsidR="00277E3C" w:rsidRPr="00C63564">
        <w:rPr>
          <w:rFonts w:ascii="Arial Narrow" w:hAnsi="Arial Narrow" w:cs="Arial"/>
          <w:i/>
          <w:sz w:val="24"/>
          <w:szCs w:val="24"/>
          <w:lang w:val="es-ES_tradnl"/>
        </w:rPr>
        <w:t>la sentencia apelada.</w:t>
      </w:r>
    </w:p>
    <w:p w14:paraId="33460FB6" w14:textId="77777777" w:rsidR="00C63564" w:rsidRPr="00C63564" w:rsidRDefault="00C63564" w:rsidP="00C63564">
      <w:pPr>
        <w:spacing w:after="0" w:line="240" w:lineRule="auto"/>
        <w:ind w:left="567" w:right="618"/>
        <w:jc w:val="both"/>
        <w:rPr>
          <w:rFonts w:ascii="Arial Narrow" w:hAnsi="Arial Narrow" w:cs="Arial"/>
          <w:i/>
          <w:sz w:val="24"/>
          <w:szCs w:val="24"/>
          <w:lang w:val="es-ES_tradnl"/>
        </w:rPr>
      </w:pPr>
    </w:p>
    <w:p w14:paraId="7BEDED5C" w14:textId="2AE775BC" w:rsidR="00277E3C" w:rsidRDefault="00277E3C" w:rsidP="00C63564">
      <w:pPr>
        <w:spacing w:after="0" w:line="240" w:lineRule="auto"/>
        <w:ind w:left="567" w:right="618"/>
        <w:jc w:val="both"/>
        <w:rPr>
          <w:rFonts w:ascii="Arial Narrow" w:hAnsi="Arial Narrow" w:cs="Arial"/>
          <w:i/>
          <w:sz w:val="24"/>
          <w:szCs w:val="24"/>
        </w:rPr>
      </w:pPr>
      <w:r w:rsidRPr="00C63564">
        <w:rPr>
          <w:rFonts w:ascii="Arial Narrow" w:hAnsi="Arial Narrow" w:cs="Arial"/>
          <w:b/>
          <w:i/>
          <w:sz w:val="24"/>
          <w:szCs w:val="24"/>
          <w:lang w:val="es-ES_tradnl"/>
        </w:rPr>
        <w:t>SEGUNDO.</w:t>
      </w:r>
      <w:r w:rsidRPr="00C63564">
        <w:rPr>
          <w:rFonts w:ascii="Arial Narrow" w:hAnsi="Arial Narrow" w:cs="Arial"/>
          <w:i/>
          <w:sz w:val="24"/>
          <w:szCs w:val="24"/>
        </w:rPr>
        <w:t xml:space="preserve"> Se </w:t>
      </w:r>
      <w:r w:rsidRPr="00C63564">
        <w:rPr>
          <w:rFonts w:ascii="Arial Narrow" w:hAnsi="Arial Narrow" w:cs="Arial"/>
          <w:b/>
          <w:i/>
          <w:sz w:val="24"/>
          <w:szCs w:val="24"/>
        </w:rPr>
        <w:t>sobreseen</w:t>
      </w:r>
      <w:r w:rsidRPr="00C63564">
        <w:rPr>
          <w:rFonts w:ascii="Arial Narrow" w:hAnsi="Arial Narrow" w:cs="Arial"/>
          <w:i/>
          <w:sz w:val="24"/>
          <w:szCs w:val="24"/>
        </w:rPr>
        <w:t xml:space="preserve"> los actos impugnados consistentes en el oficio número </w:t>
      </w:r>
      <w:r w:rsidR="0050127A">
        <w:rPr>
          <w:rFonts w:ascii="Arial Narrow" w:hAnsi="Arial Narrow" w:cs="Arial"/>
          <w:i/>
          <w:color w:val="FF0000"/>
          <w:sz w:val="24"/>
          <w:szCs w:val="24"/>
        </w:rPr>
        <w:t>**********</w:t>
      </w:r>
      <w:r w:rsidRPr="00C63564">
        <w:rPr>
          <w:rFonts w:ascii="Arial Narrow" w:hAnsi="Arial Narrow" w:cs="Arial"/>
          <w:i/>
          <w:sz w:val="24"/>
          <w:szCs w:val="24"/>
        </w:rPr>
        <w:t>/2020 de once de marzo de dos mil veinte, emitido por el Director de Desarrollo Urbano y Catastro Municipal de Soledad de Graciano Sánchez y el Plan del Centro de Población Estratégico San Luis Potosí Soledad de Graciano Sánchez publicado en el Periódico Oficial el veintiuno de agosto de dos mil tres, por los motivos expuestos en el Considerando Octavo de la presente resolución.</w:t>
      </w:r>
    </w:p>
    <w:p w14:paraId="21D580C0" w14:textId="77777777" w:rsidR="00C63564" w:rsidRPr="00C63564" w:rsidRDefault="00C63564" w:rsidP="00C63564">
      <w:pPr>
        <w:spacing w:after="0" w:line="240" w:lineRule="auto"/>
        <w:ind w:left="567" w:right="618"/>
        <w:jc w:val="both"/>
        <w:rPr>
          <w:rFonts w:ascii="Arial Narrow" w:hAnsi="Arial Narrow" w:cs="Arial"/>
          <w:i/>
          <w:sz w:val="24"/>
          <w:szCs w:val="24"/>
        </w:rPr>
      </w:pPr>
    </w:p>
    <w:p w14:paraId="70A67AF5" w14:textId="6C3578AB" w:rsidR="00AE46D3" w:rsidRPr="00C63564" w:rsidRDefault="00277E3C" w:rsidP="00C63564">
      <w:pPr>
        <w:spacing w:after="0" w:line="240" w:lineRule="auto"/>
        <w:ind w:left="567" w:right="618"/>
        <w:jc w:val="both"/>
        <w:rPr>
          <w:rFonts w:ascii="Arial Narrow" w:hAnsi="Arial Narrow" w:cs="Arial"/>
          <w:i/>
          <w:sz w:val="24"/>
          <w:szCs w:val="24"/>
        </w:rPr>
      </w:pPr>
      <w:r w:rsidRPr="00C63564">
        <w:rPr>
          <w:rFonts w:ascii="Arial Narrow" w:hAnsi="Arial Narrow" w:cs="Arial"/>
          <w:b/>
          <w:i/>
          <w:sz w:val="24"/>
          <w:szCs w:val="24"/>
        </w:rPr>
        <w:t>TERCERO</w:t>
      </w:r>
      <w:r w:rsidRPr="00C63564">
        <w:rPr>
          <w:rFonts w:ascii="Arial Narrow" w:hAnsi="Arial Narrow" w:cs="Arial"/>
          <w:i/>
          <w:sz w:val="24"/>
          <w:szCs w:val="24"/>
        </w:rPr>
        <w:t xml:space="preserve">. Se declara la </w:t>
      </w:r>
      <w:r w:rsidRPr="00C63564">
        <w:rPr>
          <w:rFonts w:ascii="Arial Narrow" w:hAnsi="Arial Narrow" w:cs="Arial"/>
          <w:b/>
          <w:i/>
          <w:sz w:val="24"/>
          <w:szCs w:val="24"/>
        </w:rPr>
        <w:t>validez</w:t>
      </w:r>
      <w:r w:rsidRPr="00C63564">
        <w:rPr>
          <w:rFonts w:ascii="Arial Narrow" w:hAnsi="Arial Narrow" w:cs="Arial"/>
          <w:i/>
          <w:sz w:val="24"/>
          <w:szCs w:val="24"/>
        </w:rPr>
        <w:t xml:space="preserve"> del acto impugnado, consistente en la Licencia de Uso de Suelo de Funcionamiento con número de folio </w:t>
      </w:r>
      <w:r w:rsidR="0050127A">
        <w:rPr>
          <w:rFonts w:ascii="Arial Narrow" w:hAnsi="Arial Narrow" w:cs="Arial"/>
          <w:i/>
          <w:color w:val="FF0000"/>
          <w:sz w:val="24"/>
          <w:szCs w:val="24"/>
        </w:rPr>
        <w:t>**********</w:t>
      </w:r>
      <w:r w:rsidRPr="00C63564">
        <w:rPr>
          <w:rFonts w:ascii="Arial Narrow" w:hAnsi="Arial Narrow" w:cs="Arial"/>
          <w:i/>
          <w:sz w:val="24"/>
          <w:szCs w:val="24"/>
        </w:rPr>
        <w:t>/2020 de dieciséis de julio de dos mil veinte, por los motivos expuestos en el Considerando Sexto del fallo recurrido y Noveno de la  presente resolución.</w:t>
      </w:r>
      <w:r w:rsidR="00AE46D3" w:rsidRPr="00C63564">
        <w:rPr>
          <w:rFonts w:ascii="Arial Narrow" w:hAnsi="Arial Narrow" w:cs="Arial"/>
          <w:i/>
          <w:sz w:val="24"/>
          <w:szCs w:val="24"/>
        </w:rPr>
        <w:t>”</w:t>
      </w:r>
    </w:p>
    <w:p w14:paraId="3DC80982" w14:textId="77777777" w:rsidR="00AE46D3" w:rsidRDefault="00AE46D3" w:rsidP="00384281">
      <w:pPr>
        <w:spacing w:after="0" w:line="360" w:lineRule="auto"/>
        <w:ind w:firstLine="851"/>
        <w:jc w:val="both"/>
        <w:rPr>
          <w:rFonts w:ascii="Arial" w:hAnsi="Arial" w:cs="Arial"/>
          <w:i/>
          <w:sz w:val="24"/>
          <w:szCs w:val="28"/>
        </w:rPr>
      </w:pPr>
    </w:p>
    <w:p w14:paraId="3E21877C" w14:textId="1285EE67" w:rsidR="00AE46D3" w:rsidRDefault="00AE46D3" w:rsidP="00384281">
      <w:pPr>
        <w:spacing w:after="0" w:line="360" w:lineRule="auto"/>
        <w:ind w:firstLine="851"/>
        <w:jc w:val="both"/>
        <w:rPr>
          <w:rFonts w:ascii="Arial" w:hAnsi="Arial" w:cs="Arial"/>
          <w:sz w:val="28"/>
          <w:szCs w:val="28"/>
          <w:lang w:val="es-ES_tradnl"/>
        </w:rPr>
      </w:pPr>
      <w:r w:rsidRPr="00560F64">
        <w:rPr>
          <w:rFonts w:ascii="Arial" w:hAnsi="Arial" w:cs="Arial"/>
          <w:b/>
          <w:sz w:val="28"/>
          <w:szCs w:val="28"/>
          <w:lang w:val="es-ES_tradnl"/>
        </w:rPr>
        <w:t>VI</w:t>
      </w:r>
      <w:r w:rsidR="00D8676A">
        <w:rPr>
          <w:rFonts w:ascii="Arial" w:hAnsi="Arial" w:cs="Arial"/>
          <w:b/>
          <w:sz w:val="28"/>
          <w:szCs w:val="28"/>
          <w:lang w:val="es-ES_tradnl"/>
        </w:rPr>
        <w:t>.</w:t>
      </w:r>
      <w:r>
        <w:rPr>
          <w:rFonts w:ascii="Arial" w:hAnsi="Arial" w:cs="Arial"/>
          <w:sz w:val="28"/>
          <w:szCs w:val="28"/>
          <w:lang w:val="es-ES_tradnl"/>
        </w:rPr>
        <w:t xml:space="preserve"> Contra dicha determinación,</w:t>
      </w:r>
      <w:r w:rsidR="00D8676A">
        <w:rPr>
          <w:rFonts w:ascii="Arial" w:hAnsi="Arial" w:cs="Arial"/>
          <w:sz w:val="28"/>
          <w:szCs w:val="28"/>
          <w:lang w:val="es-ES_tradnl"/>
        </w:rPr>
        <w:t xml:space="preserve"> la persona moral actora </w:t>
      </w:r>
      <w:r w:rsidR="0050127A">
        <w:rPr>
          <w:rFonts w:ascii="Arial" w:hAnsi="Arial" w:cs="Arial"/>
          <w:color w:val="FF0000"/>
          <w:sz w:val="28"/>
          <w:szCs w:val="28"/>
        </w:rPr>
        <w:t>**********</w:t>
      </w:r>
      <w:r w:rsidR="00D8676A" w:rsidRPr="00721CD7">
        <w:rPr>
          <w:rFonts w:ascii="Arial" w:hAnsi="Arial" w:cs="Arial"/>
          <w:sz w:val="28"/>
          <w:szCs w:val="20"/>
        </w:rPr>
        <w:t>,</w:t>
      </w:r>
      <w:r w:rsidR="00D8676A">
        <w:rPr>
          <w:rFonts w:ascii="Arial" w:hAnsi="Arial" w:cs="Arial"/>
          <w:sz w:val="28"/>
          <w:szCs w:val="20"/>
        </w:rPr>
        <w:t xml:space="preserve"> por conducto de su represente legal </w:t>
      </w:r>
      <w:r w:rsidR="0050127A">
        <w:rPr>
          <w:rFonts w:ascii="Arial" w:hAnsi="Arial" w:cs="Arial"/>
          <w:color w:val="FF0000"/>
          <w:sz w:val="28"/>
          <w:szCs w:val="20"/>
        </w:rPr>
        <w:t>**********</w:t>
      </w:r>
      <w:r w:rsidR="00D8676A">
        <w:rPr>
          <w:rFonts w:ascii="Arial" w:hAnsi="Arial" w:cs="Arial"/>
          <w:sz w:val="28"/>
          <w:szCs w:val="20"/>
        </w:rPr>
        <w:t xml:space="preserve">, </w:t>
      </w:r>
      <w:r w:rsidR="00D8676A">
        <w:rPr>
          <w:rFonts w:ascii="Arial" w:hAnsi="Arial" w:cs="Arial"/>
          <w:sz w:val="28"/>
          <w:szCs w:val="28"/>
          <w:lang w:val="es-ES_tradnl"/>
        </w:rPr>
        <w:t>promovió juicio de amparo directo,</w:t>
      </w:r>
      <w:r>
        <w:rPr>
          <w:rFonts w:ascii="Arial" w:hAnsi="Arial" w:cs="Arial"/>
          <w:sz w:val="28"/>
          <w:szCs w:val="28"/>
          <w:lang w:val="es-ES_tradnl"/>
        </w:rPr>
        <w:t xml:space="preserve"> </w:t>
      </w:r>
      <w:r w:rsidR="009A2559">
        <w:rPr>
          <w:rFonts w:ascii="Arial" w:hAnsi="Arial" w:cs="Arial"/>
          <w:sz w:val="28"/>
          <w:szCs w:val="28"/>
          <w:lang w:val="es-ES_tradnl"/>
        </w:rPr>
        <w:t xml:space="preserve">mediante escrito presentado </w:t>
      </w:r>
      <w:r>
        <w:rPr>
          <w:rFonts w:ascii="Arial" w:hAnsi="Arial" w:cs="Arial"/>
          <w:sz w:val="28"/>
          <w:szCs w:val="28"/>
          <w:lang w:val="es-ES_tradnl"/>
        </w:rPr>
        <w:t xml:space="preserve">el </w:t>
      </w:r>
      <w:r w:rsidR="009A2559" w:rsidRPr="009A2559">
        <w:rPr>
          <w:rFonts w:ascii="Arial" w:hAnsi="Arial" w:cs="Arial"/>
          <w:color w:val="0000FF"/>
          <w:sz w:val="28"/>
          <w:szCs w:val="28"/>
          <w:lang w:val="es-ES_tradnl"/>
        </w:rPr>
        <w:t>cinco</w:t>
      </w:r>
      <w:r w:rsidRPr="009A2559">
        <w:rPr>
          <w:rFonts w:ascii="Arial" w:hAnsi="Arial" w:cs="Arial"/>
          <w:color w:val="0000FF"/>
          <w:sz w:val="28"/>
          <w:szCs w:val="28"/>
          <w:lang w:val="es-ES_tradnl"/>
        </w:rPr>
        <w:t xml:space="preserve"> de </w:t>
      </w:r>
      <w:r w:rsidR="009A2559" w:rsidRPr="009A2559">
        <w:rPr>
          <w:rFonts w:ascii="Arial" w:hAnsi="Arial" w:cs="Arial"/>
          <w:color w:val="0000FF"/>
          <w:sz w:val="28"/>
          <w:szCs w:val="28"/>
          <w:lang w:val="es-ES_tradnl"/>
        </w:rPr>
        <w:t>abril</w:t>
      </w:r>
      <w:r w:rsidRPr="009A2559">
        <w:rPr>
          <w:rFonts w:ascii="Arial" w:hAnsi="Arial" w:cs="Arial"/>
          <w:color w:val="0000FF"/>
          <w:sz w:val="28"/>
          <w:szCs w:val="28"/>
          <w:lang w:val="es-ES_tradnl"/>
        </w:rPr>
        <w:t xml:space="preserve"> de dos mil veinti</w:t>
      </w:r>
      <w:r w:rsidR="009A2559" w:rsidRPr="009A2559">
        <w:rPr>
          <w:rFonts w:ascii="Arial" w:hAnsi="Arial" w:cs="Arial"/>
          <w:color w:val="0000FF"/>
          <w:sz w:val="28"/>
          <w:szCs w:val="28"/>
          <w:lang w:val="es-ES_tradnl"/>
        </w:rPr>
        <w:t>dós</w:t>
      </w:r>
      <w:r>
        <w:rPr>
          <w:rFonts w:ascii="Arial" w:hAnsi="Arial" w:cs="Arial"/>
          <w:sz w:val="28"/>
          <w:szCs w:val="28"/>
          <w:lang w:val="es-ES_tradnl"/>
        </w:rPr>
        <w:t>,</w:t>
      </w:r>
      <w:r w:rsidR="009A2559">
        <w:rPr>
          <w:rFonts w:ascii="Arial" w:hAnsi="Arial" w:cs="Arial"/>
          <w:sz w:val="28"/>
          <w:szCs w:val="28"/>
          <w:lang w:val="es-ES_tradnl"/>
        </w:rPr>
        <w:t xml:space="preserve"> en la oficialía de partes de este Tribunal,</w:t>
      </w:r>
      <w:r>
        <w:rPr>
          <w:rFonts w:ascii="Arial" w:hAnsi="Arial" w:cs="Arial"/>
          <w:sz w:val="28"/>
          <w:szCs w:val="28"/>
          <w:lang w:val="es-ES_tradnl"/>
        </w:rPr>
        <w:t xml:space="preserve"> del cual correspondió conocer al Segundo Tribunal Colegiado en Materias Civil y Administrativa del Noveno Circuito, quien lo admitió a trámite bajo el número </w:t>
      </w:r>
      <w:r w:rsidR="0050127A">
        <w:rPr>
          <w:rFonts w:ascii="Arial" w:hAnsi="Arial" w:cs="Arial"/>
          <w:color w:val="FF0000"/>
          <w:sz w:val="28"/>
          <w:szCs w:val="28"/>
          <w:lang w:val="es-ES_tradnl"/>
        </w:rPr>
        <w:t>**********</w:t>
      </w:r>
      <w:r>
        <w:rPr>
          <w:rFonts w:ascii="Arial" w:hAnsi="Arial" w:cs="Arial"/>
          <w:sz w:val="28"/>
          <w:szCs w:val="28"/>
          <w:lang w:val="es-ES_tradnl"/>
        </w:rPr>
        <w:t>/202</w:t>
      </w:r>
      <w:r w:rsidR="009A2559">
        <w:rPr>
          <w:rFonts w:ascii="Arial" w:hAnsi="Arial" w:cs="Arial"/>
          <w:sz w:val="28"/>
          <w:szCs w:val="28"/>
          <w:lang w:val="es-ES_tradnl"/>
        </w:rPr>
        <w:t>2</w:t>
      </w:r>
      <w:r>
        <w:rPr>
          <w:rFonts w:ascii="Arial" w:hAnsi="Arial" w:cs="Arial"/>
          <w:sz w:val="28"/>
          <w:szCs w:val="28"/>
          <w:lang w:val="es-ES_tradnl"/>
        </w:rPr>
        <w:t xml:space="preserve"> y en sesión ordinaria virtual del </w:t>
      </w:r>
      <w:r w:rsidR="009A2559" w:rsidRPr="009A2559">
        <w:rPr>
          <w:rFonts w:ascii="Arial" w:hAnsi="Arial" w:cs="Arial"/>
          <w:color w:val="0000FF"/>
          <w:sz w:val="28"/>
          <w:szCs w:val="28"/>
          <w:lang w:val="es-ES_tradnl"/>
        </w:rPr>
        <w:t>once</w:t>
      </w:r>
      <w:r w:rsidRPr="009A2559">
        <w:rPr>
          <w:rFonts w:ascii="Arial" w:hAnsi="Arial" w:cs="Arial"/>
          <w:color w:val="0000FF"/>
          <w:sz w:val="28"/>
          <w:szCs w:val="28"/>
          <w:lang w:val="es-ES_tradnl"/>
        </w:rPr>
        <w:t xml:space="preserve"> de </w:t>
      </w:r>
      <w:r w:rsidR="009A2559" w:rsidRPr="009A2559">
        <w:rPr>
          <w:rFonts w:ascii="Arial" w:hAnsi="Arial" w:cs="Arial"/>
          <w:color w:val="0000FF"/>
          <w:sz w:val="28"/>
          <w:szCs w:val="28"/>
          <w:lang w:val="es-ES_tradnl"/>
        </w:rPr>
        <w:t>abril</w:t>
      </w:r>
      <w:r w:rsidRPr="009A2559">
        <w:rPr>
          <w:rFonts w:ascii="Arial" w:hAnsi="Arial" w:cs="Arial"/>
          <w:color w:val="0000FF"/>
          <w:sz w:val="28"/>
          <w:szCs w:val="28"/>
          <w:lang w:val="es-ES_tradnl"/>
        </w:rPr>
        <w:t xml:space="preserve"> de dos mil veinti</w:t>
      </w:r>
      <w:r w:rsidR="009A2559" w:rsidRPr="009A2559">
        <w:rPr>
          <w:rFonts w:ascii="Arial" w:hAnsi="Arial" w:cs="Arial"/>
          <w:color w:val="0000FF"/>
          <w:sz w:val="28"/>
          <w:szCs w:val="28"/>
          <w:lang w:val="es-ES_tradnl"/>
        </w:rPr>
        <w:t>cuatro</w:t>
      </w:r>
      <w:r>
        <w:rPr>
          <w:rFonts w:ascii="Arial" w:hAnsi="Arial" w:cs="Arial"/>
          <w:sz w:val="28"/>
          <w:szCs w:val="28"/>
          <w:lang w:val="es-ES_tradnl"/>
        </w:rPr>
        <w:t xml:space="preserve">, </w:t>
      </w:r>
      <w:r w:rsidR="009A2559">
        <w:rPr>
          <w:rFonts w:ascii="Arial" w:hAnsi="Arial" w:cs="Arial"/>
          <w:sz w:val="28"/>
          <w:szCs w:val="28"/>
          <w:lang w:val="es-ES_tradnl"/>
        </w:rPr>
        <w:t xml:space="preserve">en su punto resolutivo </w:t>
      </w:r>
      <w:r w:rsidR="00D8676A">
        <w:rPr>
          <w:rFonts w:ascii="Arial" w:hAnsi="Arial" w:cs="Arial"/>
          <w:sz w:val="28"/>
          <w:szCs w:val="28"/>
          <w:lang w:val="es-ES_tradnl"/>
        </w:rPr>
        <w:t>determinó</w:t>
      </w:r>
      <w:r w:rsidR="00384281">
        <w:rPr>
          <w:rFonts w:ascii="Arial" w:hAnsi="Arial" w:cs="Arial"/>
          <w:sz w:val="28"/>
          <w:szCs w:val="28"/>
          <w:lang w:val="es-ES_tradnl"/>
        </w:rPr>
        <w:t>:</w:t>
      </w:r>
    </w:p>
    <w:p w14:paraId="401DD606" w14:textId="77777777" w:rsidR="00D8676A" w:rsidRPr="00255501" w:rsidRDefault="00D8676A" w:rsidP="00255501">
      <w:pPr>
        <w:spacing w:after="0" w:line="240" w:lineRule="auto"/>
        <w:ind w:left="567" w:right="618" w:firstLine="284"/>
        <w:jc w:val="both"/>
        <w:rPr>
          <w:rFonts w:ascii="Arial Narrow" w:hAnsi="Arial Narrow" w:cs="Arial"/>
          <w:b/>
          <w:i/>
          <w:sz w:val="24"/>
          <w:szCs w:val="24"/>
        </w:rPr>
      </w:pPr>
    </w:p>
    <w:p w14:paraId="4A1F2305" w14:textId="5EEC7BAA" w:rsidR="009A2559" w:rsidRPr="00255501" w:rsidRDefault="009A2559" w:rsidP="00255501">
      <w:pPr>
        <w:spacing w:after="0" w:line="240" w:lineRule="auto"/>
        <w:ind w:left="567" w:right="618" w:firstLine="284"/>
        <w:jc w:val="both"/>
        <w:rPr>
          <w:rFonts w:ascii="Arial Narrow" w:hAnsi="Arial Narrow" w:cs="Arial"/>
          <w:i/>
          <w:sz w:val="24"/>
          <w:szCs w:val="24"/>
        </w:rPr>
      </w:pPr>
      <w:r w:rsidRPr="00255501">
        <w:rPr>
          <w:rFonts w:ascii="Arial Narrow" w:hAnsi="Arial Narrow" w:cs="Arial"/>
          <w:b/>
          <w:i/>
          <w:sz w:val="24"/>
          <w:szCs w:val="24"/>
        </w:rPr>
        <w:t>"ÚNICO.</w:t>
      </w:r>
      <w:r w:rsidRPr="00255501">
        <w:rPr>
          <w:rFonts w:ascii="Arial Narrow" w:hAnsi="Arial Narrow" w:cs="Arial"/>
          <w:i/>
          <w:sz w:val="24"/>
          <w:szCs w:val="24"/>
        </w:rPr>
        <w:t xml:space="preserve"> </w:t>
      </w:r>
      <w:r w:rsidRPr="00255501">
        <w:rPr>
          <w:rFonts w:ascii="Arial Narrow" w:hAnsi="Arial Narrow" w:cs="Arial"/>
          <w:b/>
          <w:i/>
          <w:sz w:val="24"/>
          <w:szCs w:val="24"/>
        </w:rPr>
        <w:t>La Justicia de la Unión</w:t>
      </w:r>
      <w:r w:rsidRPr="00255501">
        <w:rPr>
          <w:rFonts w:ascii="Arial Narrow" w:hAnsi="Arial Narrow" w:cs="Arial"/>
          <w:i/>
          <w:sz w:val="24"/>
          <w:szCs w:val="24"/>
        </w:rPr>
        <w:t xml:space="preserve"> </w:t>
      </w:r>
      <w:r w:rsidRPr="00255501">
        <w:rPr>
          <w:rFonts w:ascii="Arial Narrow" w:hAnsi="Arial Narrow" w:cs="Arial"/>
          <w:b/>
          <w:i/>
          <w:sz w:val="24"/>
          <w:szCs w:val="24"/>
        </w:rPr>
        <w:t>ampara y protege a</w:t>
      </w:r>
      <w:r w:rsidRPr="00255501">
        <w:rPr>
          <w:rFonts w:ascii="Arial Narrow" w:hAnsi="Arial Narrow" w:cs="Arial"/>
          <w:i/>
          <w:sz w:val="24"/>
          <w:szCs w:val="24"/>
        </w:rPr>
        <w:t xml:space="preserve"> “</w:t>
      </w:r>
      <w:r w:rsidR="0050127A">
        <w:rPr>
          <w:rFonts w:ascii="Arial Narrow" w:hAnsi="Arial Narrow" w:cs="Arial"/>
          <w:i/>
          <w:color w:val="FF0000"/>
          <w:sz w:val="24"/>
          <w:szCs w:val="24"/>
        </w:rPr>
        <w:t>**********</w:t>
      </w:r>
      <w:r w:rsidRPr="00255501">
        <w:rPr>
          <w:rFonts w:ascii="Arial Narrow" w:hAnsi="Arial Narrow" w:cs="Arial"/>
          <w:i/>
          <w:sz w:val="24"/>
          <w:szCs w:val="24"/>
        </w:rPr>
        <w:t>, sociedad anónima de capital variable,</w:t>
      </w:r>
      <w:r w:rsidRPr="00255501">
        <w:rPr>
          <w:rFonts w:ascii="Arial Narrow" w:hAnsi="Arial Narrow" w:cs="Arial"/>
          <w:i/>
          <w:color w:val="000000"/>
          <w:sz w:val="24"/>
          <w:szCs w:val="24"/>
        </w:rPr>
        <w:t xml:space="preserve"> por conducto de su apoderado legal </w:t>
      </w:r>
      <w:r w:rsidR="0050127A">
        <w:rPr>
          <w:rFonts w:ascii="Arial Narrow" w:hAnsi="Arial Narrow" w:cs="Arial"/>
          <w:i/>
          <w:color w:val="FF0000"/>
          <w:sz w:val="24"/>
          <w:szCs w:val="24"/>
        </w:rPr>
        <w:t>**********</w:t>
      </w:r>
      <w:r w:rsidRPr="00255501">
        <w:rPr>
          <w:rFonts w:ascii="Arial Narrow" w:hAnsi="Arial Narrow" w:cs="Arial"/>
          <w:i/>
          <w:sz w:val="24"/>
          <w:szCs w:val="24"/>
        </w:rPr>
        <w:t>respecto del acto y la autoridad precisados en el resultando primero de esta ejecutoria.</w:t>
      </w:r>
    </w:p>
    <w:p w14:paraId="278F61AA" w14:textId="77777777" w:rsidR="009A2559" w:rsidRPr="00255501" w:rsidRDefault="009A2559" w:rsidP="00255501">
      <w:pPr>
        <w:spacing w:after="0" w:line="240" w:lineRule="auto"/>
        <w:ind w:left="567" w:right="618" w:firstLine="284"/>
        <w:jc w:val="both"/>
        <w:rPr>
          <w:rFonts w:ascii="Arial Narrow" w:hAnsi="Arial Narrow" w:cs="Arial"/>
          <w:i/>
          <w:sz w:val="24"/>
          <w:szCs w:val="24"/>
        </w:rPr>
      </w:pPr>
      <w:r w:rsidRPr="00255501">
        <w:rPr>
          <w:rFonts w:ascii="Arial Narrow" w:hAnsi="Arial Narrow" w:cs="Arial"/>
          <w:i/>
          <w:sz w:val="24"/>
          <w:szCs w:val="24"/>
        </w:rPr>
        <w:t>El amparo se concede por vicios de fondo, para los efectos precisados en el último considerando de esta ejecutoria.</w:t>
      </w:r>
      <w:r w:rsidRPr="00255501">
        <w:rPr>
          <w:rFonts w:ascii="Arial Narrow" w:hAnsi="Arial Narrow" w:cs="Arial"/>
          <w:b/>
          <w:i/>
          <w:sz w:val="24"/>
          <w:szCs w:val="24"/>
        </w:rPr>
        <w:t>"</w:t>
      </w:r>
    </w:p>
    <w:p w14:paraId="53A88210" w14:textId="77777777" w:rsidR="00D8676A" w:rsidRPr="00255501" w:rsidRDefault="00D8676A" w:rsidP="00255501">
      <w:pPr>
        <w:spacing w:after="0" w:line="240" w:lineRule="auto"/>
        <w:ind w:firstLine="851"/>
        <w:jc w:val="both"/>
        <w:rPr>
          <w:rFonts w:ascii="Arial Narrow" w:hAnsi="Arial Narrow" w:cs="Arial"/>
          <w:sz w:val="24"/>
          <w:szCs w:val="24"/>
        </w:rPr>
      </w:pPr>
    </w:p>
    <w:p w14:paraId="71AECDF5" w14:textId="77777777" w:rsidR="009A2559" w:rsidRPr="00255501" w:rsidRDefault="009A2559" w:rsidP="00255501">
      <w:pPr>
        <w:spacing w:after="0" w:line="240" w:lineRule="auto"/>
        <w:ind w:firstLine="851"/>
        <w:jc w:val="both"/>
        <w:rPr>
          <w:rFonts w:ascii="Arial Narrow" w:hAnsi="Arial Narrow" w:cs="Arial"/>
          <w:sz w:val="24"/>
          <w:szCs w:val="24"/>
        </w:rPr>
      </w:pPr>
      <w:r w:rsidRPr="00255501">
        <w:rPr>
          <w:rFonts w:ascii="Arial Narrow" w:hAnsi="Arial Narrow" w:cs="Arial"/>
          <w:sz w:val="24"/>
          <w:szCs w:val="24"/>
        </w:rPr>
        <w:t xml:space="preserve">Lo anterior, para los efectos siguientes: </w:t>
      </w:r>
    </w:p>
    <w:p w14:paraId="5A202CE8" w14:textId="77777777" w:rsidR="009A2559" w:rsidRPr="00255501" w:rsidRDefault="009A2559" w:rsidP="00255501">
      <w:pPr>
        <w:spacing w:after="0" w:line="240" w:lineRule="auto"/>
        <w:ind w:left="567" w:right="567"/>
        <w:jc w:val="both"/>
        <w:rPr>
          <w:rFonts w:ascii="Arial Narrow" w:hAnsi="Arial Narrow" w:cs="Arial"/>
          <w:i/>
          <w:sz w:val="24"/>
          <w:szCs w:val="24"/>
        </w:rPr>
      </w:pPr>
      <w:r w:rsidRPr="00255501">
        <w:rPr>
          <w:rFonts w:ascii="Arial Narrow" w:hAnsi="Arial Narrow" w:cs="Arial"/>
          <w:i/>
          <w:sz w:val="24"/>
          <w:szCs w:val="24"/>
        </w:rPr>
        <w:t xml:space="preserve">“1. Deje insubsistente la resolución de ocho de marzo de dos mil veintidós; y </w:t>
      </w:r>
    </w:p>
    <w:p w14:paraId="6925342B" w14:textId="1104DDE6" w:rsidR="009A2559" w:rsidRPr="00255501" w:rsidRDefault="009A2559" w:rsidP="00255501">
      <w:pPr>
        <w:spacing w:after="0" w:line="240" w:lineRule="auto"/>
        <w:ind w:left="567" w:right="618"/>
        <w:jc w:val="both"/>
        <w:rPr>
          <w:rFonts w:ascii="Arial Narrow" w:hAnsi="Arial Narrow" w:cs="Arial"/>
          <w:i/>
          <w:sz w:val="24"/>
          <w:szCs w:val="24"/>
        </w:rPr>
      </w:pPr>
      <w:r w:rsidRPr="00255501">
        <w:rPr>
          <w:rFonts w:ascii="Arial Narrow" w:hAnsi="Arial Narrow" w:cs="Arial"/>
          <w:i/>
          <w:sz w:val="24"/>
          <w:szCs w:val="24"/>
        </w:rPr>
        <w:t xml:space="preserve">2. Emita otra en la que, prescinda de su consideración en el sentido de que en el caso se actualiza la causal de improcedencia prevista en los artículos 228 fracción VI y 229, fracción II del Código Procesal Administrativo para el Estado de San Luis Potosí, respecto de los actos consistentes en la resolución contenida en el oficio número </w:t>
      </w:r>
      <w:r w:rsidR="0050127A">
        <w:rPr>
          <w:rFonts w:ascii="Arial Narrow" w:hAnsi="Arial Narrow" w:cs="Arial"/>
          <w:i/>
          <w:color w:val="FF0000"/>
          <w:sz w:val="24"/>
          <w:szCs w:val="24"/>
        </w:rPr>
        <w:t>**********</w:t>
      </w:r>
      <w:r w:rsidRPr="00255501">
        <w:rPr>
          <w:rFonts w:ascii="Arial Narrow" w:hAnsi="Arial Narrow" w:cs="Arial"/>
          <w:i/>
          <w:sz w:val="24"/>
          <w:szCs w:val="24"/>
        </w:rPr>
        <w:t xml:space="preserve">/2020 de once de marzo de dos mil veinte, emitida por el Director de Desarrollo Urbano y Catastro Municipal de Soledad de Graciano Sánchez, San Luis Potosí, a través del cual resolvió no autorizar la Licencia de Uso de Suelo a la parte actora; y el Plan Estratégico de Población, San Luis Potosí – Soledad de Graciano Sánchez, publicado en el Periódico Oficial del Estado el veintiuno de agosto de dos mil tres; y </w:t>
      </w:r>
    </w:p>
    <w:p w14:paraId="20C848F0" w14:textId="77777777" w:rsidR="009A2559" w:rsidRPr="00255501" w:rsidRDefault="009A2559" w:rsidP="00255501">
      <w:pPr>
        <w:spacing w:after="0" w:line="240" w:lineRule="auto"/>
        <w:ind w:left="567" w:right="618"/>
        <w:jc w:val="both"/>
        <w:rPr>
          <w:rFonts w:ascii="Arial Narrow" w:hAnsi="Arial Narrow" w:cs="Arial"/>
          <w:i/>
          <w:sz w:val="24"/>
          <w:szCs w:val="24"/>
        </w:rPr>
      </w:pPr>
      <w:r w:rsidRPr="00255501">
        <w:rPr>
          <w:rFonts w:ascii="Arial Narrow" w:hAnsi="Arial Narrow" w:cs="Arial"/>
          <w:i/>
          <w:sz w:val="24"/>
          <w:szCs w:val="24"/>
        </w:rPr>
        <w:t>3. Y hecho lo anterior, con plenitud de jurisdicción, resuelva lo que en derecho corresponda.</w:t>
      </w:r>
    </w:p>
    <w:p w14:paraId="08810989" w14:textId="50B89DA8" w:rsidR="009A2559" w:rsidRPr="00255501" w:rsidRDefault="009A2559" w:rsidP="00255501">
      <w:pPr>
        <w:spacing w:after="0" w:line="240" w:lineRule="auto"/>
        <w:ind w:left="567" w:right="618"/>
        <w:jc w:val="both"/>
        <w:rPr>
          <w:rFonts w:ascii="Arial Narrow" w:hAnsi="Arial Narrow" w:cs="Arial"/>
          <w:i/>
          <w:sz w:val="24"/>
          <w:szCs w:val="24"/>
        </w:rPr>
      </w:pPr>
      <w:r w:rsidRPr="00255501">
        <w:rPr>
          <w:rFonts w:ascii="Arial Narrow" w:hAnsi="Arial Narrow" w:cs="Arial"/>
          <w:i/>
          <w:sz w:val="24"/>
          <w:szCs w:val="24"/>
        </w:rPr>
        <w:t xml:space="preserve">En esa medida, resulta innecesario el análisis de los restantes conceptos de violación, en los que la quejosa combate las consideraciones que hizo la autoridad del diverso acto impugnado en el juicio de nulidad consistente en la licencia de uso de suelo con número de folio </w:t>
      </w:r>
      <w:r w:rsidR="0050127A">
        <w:rPr>
          <w:rFonts w:ascii="Arial Narrow" w:hAnsi="Arial Narrow" w:cs="Arial"/>
          <w:i/>
          <w:color w:val="FF0000"/>
          <w:sz w:val="24"/>
          <w:szCs w:val="24"/>
        </w:rPr>
        <w:t>**********</w:t>
      </w:r>
      <w:r w:rsidRPr="00255501">
        <w:rPr>
          <w:rFonts w:ascii="Arial Narrow" w:hAnsi="Arial Narrow" w:cs="Arial"/>
          <w:i/>
          <w:sz w:val="24"/>
          <w:szCs w:val="24"/>
        </w:rPr>
        <w:t xml:space="preserve">/2020, de dieciséis de julio de dos mil veinte, emitida por el Director de Desarrollo Urbano y Catastro Municipal de Soledad de Graciano Sánchez, San Luis Potosí, porque el análisis que hizo la autoridad en relación a dicho acto, partió de la premisa de </w:t>
      </w:r>
      <w:r w:rsidRPr="00255501">
        <w:rPr>
          <w:rFonts w:ascii="Arial Narrow" w:hAnsi="Arial Narrow" w:cs="Arial"/>
          <w:i/>
          <w:sz w:val="24"/>
          <w:szCs w:val="24"/>
        </w:rPr>
        <w:lastRenderedPageBreak/>
        <w:t xml:space="preserve">que l aquejosa consintió el Plan Estratégico de Población, San Luis Potosí – Soledad de Graciano Sánchez, y por tanto, ante la concesión del amparo, dichas consideraciones quedan sin efecto.” </w:t>
      </w:r>
    </w:p>
    <w:p w14:paraId="5957844A" w14:textId="77777777" w:rsidR="009A2559" w:rsidRPr="00255501" w:rsidRDefault="009A2559" w:rsidP="00255501">
      <w:pPr>
        <w:spacing w:after="0" w:line="240" w:lineRule="auto"/>
        <w:ind w:firstLine="851"/>
        <w:jc w:val="both"/>
        <w:rPr>
          <w:rFonts w:ascii="Arial Narrow" w:hAnsi="Arial Narrow" w:cs="Arial"/>
          <w:sz w:val="24"/>
          <w:szCs w:val="24"/>
          <w:lang w:val="es-ES_tradnl"/>
        </w:rPr>
      </w:pPr>
    </w:p>
    <w:p w14:paraId="6503BD99" w14:textId="35770CD4" w:rsidR="00AE46D3" w:rsidRDefault="00AE46D3" w:rsidP="00255501">
      <w:pPr>
        <w:spacing w:after="0" w:line="360" w:lineRule="auto"/>
        <w:ind w:firstLine="851"/>
        <w:jc w:val="both"/>
        <w:rPr>
          <w:rFonts w:ascii="Arial" w:hAnsi="Arial" w:cs="Arial"/>
          <w:sz w:val="28"/>
          <w:szCs w:val="28"/>
          <w:lang w:val="es-ES_tradnl"/>
        </w:rPr>
      </w:pPr>
      <w:r w:rsidRPr="00C04043">
        <w:rPr>
          <w:rFonts w:ascii="Arial" w:hAnsi="Arial" w:cs="Arial"/>
          <w:b/>
          <w:sz w:val="28"/>
          <w:szCs w:val="28"/>
          <w:lang w:val="es-ES_tradnl"/>
        </w:rPr>
        <w:t>VII.</w:t>
      </w:r>
      <w:r>
        <w:rPr>
          <w:rFonts w:ascii="Arial" w:hAnsi="Arial" w:cs="Arial"/>
          <w:sz w:val="28"/>
          <w:szCs w:val="28"/>
          <w:lang w:val="es-ES_tradnl"/>
        </w:rPr>
        <w:t xml:space="preserve"> Por acuerdo </w:t>
      </w:r>
      <w:r w:rsidRPr="00E5189D">
        <w:rPr>
          <w:rFonts w:ascii="Arial" w:hAnsi="Arial" w:cs="Arial"/>
          <w:sz w:val="28"/>
          <w:szCs w:val="28"/>
          <w:lang w:val="es-ES_tradnl"/>
        </w:rPr>
        <w:t xml:space="preserve">de </w:t>
      </w:r>
      <w:r w:rsidR="00232F73" w:rsidRPr="00232F73">
        <w:rPr>
          <w:rFonts w:ascii="Arial" w:hAnsi="Arial" w:cs="Arial"/>
          <w:color w:val="0000FF"/>
          <w:sz w:val="28"/>
          <w:szCs w:val="28"/>
          <w:lang w:val="es-ES_tradnl"/>
        </w:rPr>
        <w:t>treinta</w:t>
      </w:r>
      <w:r w:rsidRPr="00232F73">
        <w:rPr>
          <w:rFonts w:ascii="Arial" w:hAnsi="Arial" w:cs="Arial"/>
          <w:color w:val="0000FF"/>
          <w:sz w:val="28"/>
          <w:szCs w:val="28"/>
          <w:lang w:val="es-ES_tradnl"/>
        </w:rPr>
        <w:t xml:space="preserve"> de abril de dos mil veinti</w:t>
      </w:r>
      <w:r w:rsidR="00232F73" w:rsidRPr="00232F73">
        <w:rPr>
          <w:rFonts w:ascii="Arial" w:hAnsi="Arial" w:cs="Arial"/>
          <w:color w:val="0000FF"/>
          <w:sz w:val="28"/>
          <w:szCs w:val="28"/>
          <w:lang w:val="es-ES_tradnl"/>
        </w:rPr>
        <w:t>cuatro</w:t>
      </w:r>
      <w:r>
        <w:rPr>
          <w:rFonts w:ascii="Arial" w:hAnsi="Arial" w:cs="Arial"/>
          <w:sz w:val="28"/>
          <w:szCs w:val="28"/>
          <w:lang w:val="es-ES_tradnl"/>
        </w:rPr>
        <w:t>, se dio cuenta con el oficio que remitió el Secretario de Acuerdos del Segundo Tribunal Colegiado en Materias Civil y Administrativa del Noveno Circuito, mediante el cual adjuntó la ejecutoria que se cumplimenta dictada en el juicio de amparo directo mencionado</w:t>
      </w:r>
      <w:r w:rsidR="0052753D">
        <w:rPr>
          <w:rFonts w:ascii="Arial" w:hAnsi="Arial" w:cs="Arial"/>
          <w:sz w:val="28"/>
          <w:szCs w:val="28"/>
          <w:lang w:val="es-ES_tradnl"/>
        </w:rPr>
        <w:t xml:space="preserve"> en párrafos que anteceden</w:t>
      </w:r>
      <w:r>
        <w:rPr>
          <w:rFonts w:ascii="Arial" w:hAnsi="Arial" w:cs="Arial"/>
          <w:sz w:val="28"/>
          <w:szCs w:val="28"/>
          <w:lang w:val="es-ES_tradnl"/>
        </w:rPr>
        <w:t xml:space="preserve">, asimismo devolvió los autos originales del toca y del expediente de origen y requirió a esta Alzada para que en el término de </w:t>
      </w:r>
      <w:r w:rsidRPr="0052753D">
        <w:rPr>
          <w:rFonts w:ascii="Arial" w:hAnsi="Arial" w:cs="Arial"/>
          <w:b/>
          <w:sz w:val="28"/>
          <w:szCs w:val="28"/>
          <w:lang w:val="es-ES_tradnl"/>
        </w:rPr>
        <w:t>tres días</w:t>
      </w:r>
      <w:r>
        <w:rPr>
          <w:rFonts w:ascii="Arial" w:hAnsi="Arial" w:cs="Arial"/>
          <w:sz w:val="28"/>
          <w:szCs w:val="28"/>
          <w:lang w:val="es-ES_tradnl"/>
        </w:rPr>
        <w:t xml:space="preserve"> se dé cumplimiento al fallo protector.</w:t>
      </w:r>
    </w:p>
    <w:p w14:paraId="6E72E452" w14:textId="77777777" w:rsidR="00255501" w:rsidRDefault="00255501" w:rsidP="00255501">
      <w:pPr>
        <w:spacing w:after="0" w:line="360" w:lineRule="auto"/>
        <w:ind w:firstLine="851"/>
        <w:jc w:val="both"/>
        <w:rPr>
          <w:rFonts w:ascii="Arial" w:hAnsi="Arial" w:cs="Arial"/>
          <w:sz w:val="28"/>
          <w:szCs w:val="28"/>
          <w:lang w:val="es-ES_tradnl"/>
        </w:rPr>
      </w:pPr>
    </w:p>
    <w:p w14:paraId="60184320" w14:textId="1FF30613" w:rsidR="00AE46D3" w:rsidRDefault="00AE46D3" w:rsidP="00255501">
      <w:pPr>
        <w:spacing w:after="0" w:line="360" w:lineRule="auto"/>
        <w:ind w:firstLine="851"/>
        <w:jc w:val="both"/>
        <w:rPr>
          <w:rFonts w:ascii="Arial" w:hAnsi="Arial" w:cs="Arial"/>
          <w:sz w:val="28"/>
          <w:szCs w:val="28"/>
          <w:lang w:val="es-ES_tradnl"/>
        </w:rPr>
      </w:pPr>
      <w:r>
        <w:rPr>
          <w:rFonts w:ascii="Arial" w:hAnsi="Arial" w:cs="Arial"/>
          <w:sz w:val="28"/>
          <w:szCs w:val="28"/>
          <w:lang w:val="es-ES_tradnl"/>
        </w:rPr>
        <w:t xml:space="preserve">En consecuencia, en ese mismo proveído </w:t>
      </w:r>
      <w:r w:rsidRPr="00A203D7">
        <w:rPr>
          <w:rFonts w:ascii="Arial" w:hAnsi="Arial" w:cs="Arial"/>
          <w:b/>
          <w:bCs/>
          <w:sz w:val="28"/>
          <w:szCs w:val="28"/>
          <w:lang w:val="es-ES_tradnl"/>
        </w:rPr>
        <w:t xml:space="preserve">se dejó insubsistente la sentencia emitida por esta Sala Superior el </w:t>
      </w:r>
      <w:r w:rsidR="0052753D" w:rsidRPr="0052753D">
        <w:rPr>
          <w:rFonts w:ascii="Arial" w:hAnsi="Arial" w:cs="Arial"/>
          <w:b/>
          <w:bCs/>
          <w:color w:val="0000FF"/>
          <w:sz w:val="28"/>
          <w:szCs w:val="28"/>
          <w:lang w:val="es-ES_tradnl"/>
        </w:rPr>
        <w:t>ocho</w:t>
      </w:r>
      <w:r w:rsidRPr="0052753D">
        <w:rPr>
          <w:rFonts w:ascii="Arial" w:hAnsi="Arial" w:cs="Arial"/>
          <w:b/>
          <w:bCs/>
          <w:color w:val="0000FF"/>
          <w:sz w:val="28"/>
          <w:szCs w:val="28"/>
          <w:lang w:val="es-ES_tradnl"/>
        </w:rPr>
        <w:t xml:space="preserve"> de </w:t>
      </w:r>
      <w:r w:rsidR="0052753D" w:rsidRPr="0052753D">
        <w:rPr>
          <w:rFonts w:ascii="Arial" w:hAnsi="Arial" w:cs="Arial"/>
          <w:b/>
          <w:bCs/>
          <w:color w:val="0000FF"/>
          <w:sz w:val="28"/>
          <w:szCs w:val="28"/>
          <w:lang w:val="es-ES_tradnl"/>
        </w:rPr>
        <w:t>marzo</w:t>
      </w:r>
      <w:r w:rsidRPr="0052753D">
        <w:rPr>
          <w:rFonts w:ascii="Arial" w:hAnsi="Arial" w:cs="Arial"/>
          <w:b/>
          <w:bCs/>
          <w:color w:val="0000FF"/>
          <w:sz w:val="28"/>
          <w:szCs w:val="28"/>
          <w:lang w:val="es-ES_tradnl"/>
        </w:rPr>
        <w:t xml:space="preserve"> de dos mil veinti</w:t>
      </w:r>
      <w:r w:rsidR="0052753D" w:rsidRPr="0052753D">
        <w:rPr>
          <w:rFonts w:ascii="Arial" w:hAnsi="Arial" w:cs="Arial"/>
          <w:b/>
          <w:bCs/>
          <w:color w:val="0000FF"/>
          <w:sz w:val="28"/>
          <w:szCs w:val="28"/>
          <w:lang w:val="es-ES_tradnl"/>
        </w:rPr>
        <w:t>dós</w:t>
      </w:r>
      <w:r w:rsidRPr="0052753D">
        <w:rPr>
          <w:rFonts w:ascii="Arial" w:hAnsi="Arial" w:cs="Arial"/>
          <w:b/>
          <w:sz w:val="28"/>
          <w:szCs w:val="28"/>
          <w:lang w:val="es-ES_tradnl"/>
        </w:rPr>
        <w:t>,</w:t>
      </w:r>
      <w:r>
        <w:rPr>
          <w:rFonts w:ascii="Arial" w:hAnsi="Arial" w:cs="Arial"/>
          <w:sz w:val="28"/>
          <w:szCs w:val="28"/>
          <w:lang w:val="es-ES_tradnl"/>
        </w:rPr>
        <w:t xml:space="preserve"> se solicitó la ampliación del término concedido por el lapso de </w:t>
      </w:r>
      <w:r w:rsidRPr="0052753D">
        <w:rPr>
          <w:rFonts w:ascii="Arial" w:hAnsi="Arial" w:cs="Arial"/>
          <w:b/>
          <w:sz w:val="28"/>
          <w:szCs w:val="28"/>
          <w:lang w:val="es-ES_tradnl"/>
        </w:rPr>
        <w:t>diez días,</w:t>
      </w:r>
      <w:r>
        <w:rPr>
          <w:rFonts w:ascii="Arial" w:hAnsi="Arial" w:cs="Arial"/>
          <w:sz w:val="28"/>
          <w:szCs w:val="28"/>
          <w:lang w:val="es-ES_tradnl"/>
        </w:rPr>
        <w:t xml:space="preserve"> y se ordenó emitir una nueva resolución en cumplimiento a la ejecutoria de amparo.</w:t>
      </w:r>
    </w:p>
    <w:p w14:paraId="48AE002B" w14:textId="77777777" w:rsidR="00255501" w:rsidRPr="00E7448F" w:rsidRDefault="00255501" w:rsidP="00255501">
      <w:pPr>
        <w:spacing w:after="0" w:line="360" w:lineRule="auto"/>
        <w:ind w:firstLine="851"/>
        <w:jc w:val="both"/>
        <w:rPr>
          <w:rFonts w:ascii="Arial" w:hAnsi="Arial" w:cs="Arial"/>
          <w:sz w:val="28"/>
          <w:szCs w:val="28"/>
          <w:lang w:val="es-ES_tradnl"/>
        </w:rPr>
      </w:pPr>
    </w:p>
    <w:p w14:paraId="27BD422C" w14:textId="13CA4C0A" w:rsidR="00283888" w:rsidRDefault="00283888" w:rsidP="00255501">
      <w:pPr>
        <w:spacing w:after="0" w:line="360" w:lineRule="auto"/>
        <w:jc w:val="center"/>
        <w:rPr>
          <w:rFonts w:ascii="Arial" w:hAnsi="Arial" w:cs="Arial"/>
          <w:b/>
          <w:sz w:val="28"/>
          <w:szCs w:val="28"/>
        </w:rPr>
      </w:pPr>
      <w:r w:rsidRPr="00677E24">
        <w:rPr>
          <w:rFonts w:ascii="Arial" w:hAnsi="Arial" w:cs="Arial"/>
          <w:b/>
          <w:sz w:val="28"/>
          <w:szCs w:val="28"/>
        </w:rPr>
        <w:t>C O N S I D E R A N D O.</w:t>
      </w:r>
    </w:p>
    <w:p w14:paraId="56495E7E" w14:textId="77777777" w:rsidR="00255501" w:rsidRPr="00677E24" w:rsidRDefault="00255501" w:rsidP="00255501">
      <w:pPr>
        <w:spacing w:after="0" w:line="360" w:lineRule="auto"/>
        <w:jc w:val="center"/>
        <w:rPr>
          <w:rFonts w:ascii="Arial" w:hAnsi="Arial" w:cs="Arial"/>
          <w:b/>
          <w:sz w:val="28"/>
          <w:szCs w:val="28"/>
        </w:rPr>
      </w:pPr>
    </w:p>
    <w:p w14:paraId="22A0538C" w14:textId="1E8C0824" w:rsidR="00283888" w:rsidRDefault="00283888" w:rsidP="00255501">
      <w:pPr>
        <w:spacing w:after="0" w:line="360" w:lineRule="auto"/>
        <w:ind w:firstLine="709"/>
        <w:jc w:val="both"/>
        <w:rPr>
          <w:rFonts w:ascii="Arial" w:hAnsi="Arial" w:cs="Arial"/>
          <w:sz w:val="28"/>
          <w:szCs w:val="28"/>
        </w:rPr>
      </w:pPr>
      <w:r w:rsidRPr="00DD1A70">
        <w:rPr>
          <w:rFonts w:ascii="Arial" w:hAnsi="Arial" w:cs="Arial"/>
          <w:b/>
          <w:sz w:val="28"/>
          <w:szCs w:val="28"/>
        </w:rPr>
        <w:t xml:space="preserve">PRIMERO. Competencia. </w:t>
      </w:r>
      <w:r w:rsidR="008E077D">
        <w:rPr>
          <w:rFonts w:ascii="Arial" w:hAnsi="Arial" w:cs="Arial"/>
          <w:sz w:val="28"/>
          <w:szCs w:val="28"/>
        </w:rPr>
        <w:t>Esta</w:t>
      </w:r>
      <w:r w:rsidRPr="00DD1A70">
        <w:rPr>
          <w:rFonts w:ascii="Arial" w:hAnsi="Arial" w:cs="Arial"/>
          <w:sz w:val="28"/>
          <w:szCs w:val="28"/>
        </w:rPr>
        <w:t xml:space="preserve"> Sala Superior Unitaria del Tribunal Estatal de Justicia Administrativa </w:t>
      </w:r>
      <w:r w:rsidR="008E077D">
        <w:rPr>
          <w:rFonts w:ascii="Arial" w:hAnsi="Arial" w:cs="Arial"/>
          <w:sz w:val="28"/>
          <w:szCs w:val="28"/>
        </w:rPr>
        <w:t xml:space="preserve">es competente para </w:t>
      </w:r>
      <w:r w:rsidRPr="00DD1A70">
        <w:rPr>
          <w:rFonts w:ascii="Arial" w:hAnsi="Arial" w:cs="Arial"/>
          <w:sz w:val="28"/>
          <w:szCs w:val="28"/>
        </w:rPr>
        <w:t xml:space="preserve">conocer </w:t>
      </w:r>
      <w:r w:rsidR="008E077D">
        <w:rPr>
          <w:rFonts w:ascii="Arial" w:hAnsi="Arial" w:cs="Arial"/>
          <w:sz w:val="28"/>
          <w:szCs w:val="28"/>
        </w:rPr>
        <w:t>del presente recurso</w:t>
      </w:r>
      <w:r w:rsidRPr="00DD1A70">
        <w:rPr>
          <w:rFonts w:ascii="Arial" w:hAnsi="Arial" w:cs="Arial"/>
          <w:sz w:val="28"/>
          <w:szCs w:val="28"/>
        </w:rPr>
        <w:t xml:space="preserve"> de apelación, en términos del artículo 123 de la Constitución Política del Estado de San Luis Potosí, 7 </w:t>
      </w:r>
      <w:r w:rsidR="00D9324E" w:rsidRPr="00DD1A70">
        <w:rPr>
          <w:rFonts w:ascii="Arial" w:hAnsi="Arial" w:cs="Arial"/>
          <w:sz w:val="28"/>
          <w:szCs w:val="28"/>
        </w:rPr>
        <w:t xml:space="preserve">fracción </w:t>
      </w:r>
      <w:r w:rsidR="00614036">
        <w:rPr>
          <w:rFonts w:ascii="Arial" w:hAnsi="Arial" w:cs="Arial"/>
          <w:sz w:val="28"/>
          <w:szCs w:val="28"/>
        </w:rPr>
        <w:t>II y VI</w:t>
      </w:r>
      <w:r w:rsidRPr="00DD1A70">
        <w:rPr>
          <w:rFonts w:ascii="Arial" w:hAnsi="Arial" w:cs="Arial"/>
          <w:sz w:val="28"/>
          <w:szCs w:val="28"/>
        </w:rPr>
        <w:t>, 9 fracción II, 23 fracci</w:t>
      </w:r>
      <w:r w:rsidR="0061224D" w:rsidRPr="00DD1A70">
        <w:rPr>
          <w:rFonts w:ascii="Arial" w:hAnsi="Arial" w:cs="Arial"/>
          <w:sz w:val="28"/>
          <w:szCs w:val="28"/>
        </w:rPr>
        <w:t>ón</w:t>
      </w:r>
      <w:r w:rsidRPr="00DD1A70">
        <w:rPr>
          <w:rFonts w:ascii="Arial" w:hAnsi="Arial" w:cs="Arial"/>
          <w:sz w:val="28"/>
          <w:szCs w:val="28"/>
        </w:rPr>
        <w:t xml:space="preserve"> V de la Ley Orgánica del Tribunal Estatal de Justicia Administrativa de San Luis Potosí y 152 del Código Procesal Administrativo para el Estado de San Luis Potosí; en virtud de que se reclama una </w:t>
      </w:r>
      <w:r w:rsidR="008E077D">
        <w:rPr>
          <w:rFonts w:ascii="Arial" w:hAnsi="Arial" w:cs="Arial"/>
          <w:sz w:val="28"/>
          <w:szCs w:val="28"/>
        </w:rPr>
        <w:lastRenderedPageBreak/>
        <w:t>resolución</w:t>
      </w:r>
      <w:r w:rsidRPr="00DD1A70">
        <w:rPr>
          <w:rFonts w:ascii="Arial" w:hAnsi="Arial" w:cs="Arial"/>
          <w:sz w:val="28"/>
          <w:szCs w:val="28"/>
        </w:rPr>
        <w:t xml:space="preserve"> definitiva pronunciada por una Sala Unitaria de este Tribunal.</w:t>
      </w:r>
    </w:p>
    <w:p w14:paraId="57BADEB0" w14:textId="77777777" w:rsidR="00255501" w:rsidRPr="00677E24" w:rsidRDefault="00255501" w:rsidP="00255501">
      <w:pPr>
        <w:spacing w:after="0" w:line="360" w:lineRule="auto"/>
        <w:ind w:firstLine="709"/>
        <w:jc w:val="both"/>
        <w:rPr>
          <w:rFonts w:ascii="Arial" w:hAnsi="Arial" w:cs="Arial"/>
          <w:sz w:val="28"/>
          <w:szCs w:val="28"/>
        </w:rPr>
      </w:pPr>
    </w:p>
    <w:p w14:paraId="7BB1F939" w14:textId="4C434D02" w:rsidR="00283888" w:rsidRDefault="00283888" w:rsidP="00255501">
      <w:pPr>
        <w:spacing w:after="0" w:line="360" w:lineRule="auto"/>
        <w:ind w:firstLine="709"/>
        <w:jc w:val="both"/>
        <w:rPr>
          <w:rFonts w:ascii="Arial" w:hAnsi="Arial" w:cs="Arial"/>
          <w:sz w:val="28"/>
          <w:szCs w:val="28"/>
        </w:rPr>
      </w:pPr>
      <w:r w:rsidRPr="00677E24">
        <w:rPr>
          <w:rFonts w:ascii="Arial" w:hAnsi="Arial" w:cs="Arial"/>
          <w:b/>
          <w:sz w:val="28"/>
          <w:szCs w:val="28"/>
        </w:rPr>
        <w:t xml:space="preserve">SEGUNDO. </w:t>
      </w:r>
      <w:r w:rsidR="00BD0D09">
        <w:rPr>
          <w:rFonts w:ascii="Arial" w:hAnsi="Arial" w:cs="Arial"/>
          <w:b/>
          <w:sz w:val="28"/>
          <w:szCs w:val="28"/>
        </w:rPr>
        <w:t>Objeto</w:t>
      </w:r>
      <w:r w:rsidR="00886217">
        <w:rPr>
          <w:rFonts w:ascii="Arial" w:hAnsi="Arial" w:cs="Arial"/>
          <w:b/>
          <w:sz w:val="28"/>
          <w:szCs w:val="28"/>
        </w:rPr>
        <w:t xml:space="preserve"> y materia de la apelación</w:t>
      </w:r>
      <w:r w:rsidRPr="00677E24">
        <w:rPr>
          <w:rFonts w:ascii="Arial" w:hAnsi="Arial" w:cs="Arial"/>
          <w:b/>
          <w:sz w:val="28"/>
          <w:szCs w:val="28"/>
        </w:rPr>
        <w:t>.</w:t>
      </w:r>
      <w:r w:rsidR="00886217">
        <w:rPr>
          <w:rFonts w:ascii="Arial" w:hAnsi="Arial" w:cs="Arial"/>
          <w:b/>
          <w:sz w:val="28"/>
          <w:szCs w:val="28"/>
        </w:rPr>
        <w:t xml:space="preserve"> </w:t>
      </w:r>
      <w:r w:rsidR="00886217">
        <w:rPr>
          <w:rFonts w:ascii="Arial" w:hAnsi="Arial" w:cs="Arial"/>
          <w:sz w:val="28"/>
          <w:szCs w:val="28"/>
        </w:rPr>
        <w:t xml:space="preserve">La integración de la </w:t>
      </w:r>
      <w:r w:rsidR="00886217" w:rsidRPr="005F61E1">
        <w:rPr>
          <w:rFonts w:ascii="Arial" w:hAnsi="Arial" w:cs="Arial"/>
          <w:i/>
          <w:sz w:val="28"/>
          <w:szCs w:val="28"/>
        </w:rPr>
        <w:t>Litis</w:t>
      </w:r>
      <w:r w:rsidR="00886217">
        <w:rPr>
          <w:rFonts w:ascii="Arial" w:hAnsi="Arial" w:cs="Arial"/>
          <w:sz w:val="28"/>
          <w:szCs w:val="28"/>
        </w:rPr>
        <w:t xml:space="preserve"> en segunda instancia se funda en l</w:t>
      </w:r>
      <w:r w:rsidR="00614036">
        <w:rPr>
          <w:rFonts w:ascii="Arial" w:hAnsi="Arial" w:cs="Arial"/>
          <w:sz w:val="28"/>
          <w:szCs w:val="28"/>
        </w:rPr>
        <w:t>os</w:t>
      </w:r>
      <w:r w:rsidR="00886217">
        <w:rPr>
          <w:rFonts w:ascii="Arial" w:hAnsi="Arial" w:cs="Arial"/>
          <w:sz w:val="28"/>
          <w:szCs w:val="28"/>
        </w:rPr>
        <w:t xml:space="preserve"> artículo</w:t>
      </w:r>
      <w:r w:rsidR="00614036">
        <w:rPr>
          <w:rFonts w:ascii="Arial" w:hAnsi="Arial" w:cs="Arial"/>
          <w:sz w:val="28"/>
          <w:szCs w:val="28"/>
        </w:rPr>
        <w:t>s</w:t>
      </w:r>
      <w:r w:rsidR="00886217">
        <w:rPr>
          <w:rFonts w:ascii="Arial" w:hAnsi="Arial" w:cs="Arial"/>
          <w:sz w:val="28"/>
          <w:szCs w:val="28"/>
        </w:rPr>
        <w:t xml:space="preserve"> </w:t>
      </w:r>
      <w:r w:rsidR="00614036">
        <w:rPr>
          <w:rFonts w:ascii="Arial" w:hAnsi="Arial" w:cs="Arial"/>
          <w:sz w:val="28"/>
          <w:szCs w:val="28"/>
        </w:rPr>
        <w:t xml:space="preserve">152, 153 y </w:t>
      </w:r>
      <w:r w:rsidR="00886217">
        <w:rPr>
          <w:rFonts w:ascii="Arial" w:hAnsi="Arial" w:cs="Arial"/>
          <w:sz w:val="28"/>
          <w:szCs w:val="28"/>
        </w:rPr>
        <w:t>156 del Código Procesal Administrativo para el Estado de San Luis Potosí</w:t>
      </w:r>
      <w:r w:rsidR="00614036">
        <w:rPr>
          <w:rFonts w:ascii="Arial" w:hAnsi="Arial" w:cs="Arial"/>
          <w:sz w:val="28"/>
          <w:szCs w:val="28"/>
        </w:rPr>
        <w:t>, cuyo texto legal a continuación se reproduce:</w:t>
      </w:r>
    </w:p>
    <w:p w14:paraId="36FDFAC0" w14:textId="77777777" w:rsidR="00255501" w:rsidRDefault="00255501" w:rsidP="00255501">
      <w:pPr>
        <w:spacing w:after="0" w:line="360" w:lineRule="auto"/>
        <w:ind w:firstLine="709"/>
        <w:jc w:val="both"/>
        <w:rPr>
          <w:rFonts w:ascii="Arial" w:hAnsi="Arial" w:cs="Arial"/>
          <w:sz w:val="28"/>
          <w:szCs w:val="28"/>
        </w:rPr>
      </w:pPr>
    </w:p>
    <w:p w14:paraId="2B1255A7"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b/>
          <w:i/>
          <w:sz w:val="24"/>
          <w:szCs w:val="24"/>
        </w:rPr>
        <w:t>“ARTÍCULO 152.</w:t>
      </w:r>
      <w:r w:rsidRPr="009655F8">
        <w:rPr>
          <w:rFonts w:ascii="Arial Narrow" w:hAnsi="Arial Narrow" w:cs="Arial"/>
          <w:i/>
          <w:sz w:val="24"/>
          <w:szCs w:val="24"/>
        </w:rPr>
        <w:t xml:space="preserve"> Las resoluciones definitivas emitidas por las Salas Unitarias serán apelables por cualquiera de las partes, siempre que se refiera a cualquiera de los siguientes supuestos:</w:t>
      </w:r>
    </w:p>
    <w:p w14:paraId="796CC1F4" w14:textId="77777777" w:rsidR="00614036" w:rsidRPr="009655F8" w:rsidRDefault="00614036" w:rsidP="009655F8">
      <w:pPr>
        <w:spacing w:after="0" w:line="240" w:lineRule="auto"/>
        <w:ind w:left="567" w:right="567"/>
        <w:jc w:val="both"/>
        <w:rPr>
          <w:rFonts w:ascii="Arial Narrow" w:hAnsi="Arial Narrow" w:cs="Arial"/>
          <w:i/>
          <w:sz w:val="24"/>
          <w:szCs w:val="24"/>
          <w:u w:val="single"/>
        </w:rPr>
      </w:pPr>
      <w:r w:rsidRPr="009655F8">
        <w:rPr>
          <w:rFonts w:ascii="Arial Narrow" w:hAnsi="Arial Narrow" w:cs="Arial"/>
          <w:i/>
          <w:sz w:val="24"/>
          <w:szCs w:val="24"/>
        </w:rPr>
        <w:t>I. Sea de cuantía que exceda de mil quinientas veces el valor diario de la UMA al momento de la emisión de la resolución o sentencia;</w:t>
      </w:r>
    </w:p>
    <w:p w14:paraId="5C59A91F"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II. Sea de importancia y trascendencia cuando la cuantía sea inferior a la señalada en la fracción primera, o de cuantía indeterminada, debiendo el recurrente razonar esa circunstancia para efectos de la admisión del recurso;</w:t>
      </w:r>
    </w:p>
    <w:p w14:paraId="76B9F149"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III. Sea una resolución dictada por la Secretaría de Finanzas o las Tesorerías Municipales, y sus organismos descentralizados en ingresos estatales y municipales, siempre que el asunto se refiera a:</w:t>
      </w:r>
    </w:p>
    <w:p w14:paraId="566A745B"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a) Interpretación de normas generales con motivo de su aplicación.</w:t>
      </w:r>
    </w:p>
    <w:p w14:paraId="4CFEA432"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b) La determinación del alcance de los elementos esenciales de las contribuciones.</w:t>
      </w:r>
    </w:p>
    <w:p w14:paraId="5FEDE389"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c) Competencia de la autoridad que haya dictado u ordenado la resolución impugnada o tramitado el procedimiento del que deriva o al ejercicio de las facultades de comprobación.</w:t>
      </w:r>
    </w:p>
    <w:p w14:paraId="443EE2A6"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 xml:space="preserve">d) Violaciones procesales durante el juicio que afecten las defensas del recurrente y trasciendan al sentido del fallo, y </w:t>
      </w:r>
    </w:p>
    <w:p w14:paraId="3B89D904"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IV. Sea una resolución dictada con motivo de las reclamaciones previstas en la Ley de Responsabilidad Patrimonial del Estado de San Luis Potosí.</w:t>
      </w:r>
    </w:p>
    <w:p w14:paraId="325738B5" w14:textId="77777777" w:rsidR="00614036" w:rsidRPr="009655F8"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Tratándose de resoluciones en materia de responsabilidades administrativas se estará a lo dispuesto en su propia ley.</w:t>
      </w:r>
    </w:p>
    <w:p w14:paraId="572751D1" w14:textId="77777777" w:rsidR="00614036" w:rsidRDefault="00614036"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14:paraId="2A4C5756" w14:textId="77777777" w:rsidR="009655F8" w:rsidRPr="009655F8" w:rsidRDefault="009655F8" w:rsidP="009655F8">
      <w:pPr>
        <w:spacing w:after="0" w:line="240" w:lineRule="auto"/>
        <w:ind w:left="567" w:right="567"/>
        <w:jc w:val="both"/>
        <w:rPr>
          <w:rFonts w:ascii="Arial Narrow" w:hAnsi="Arial Narrow" w:cs="Arial"/>
          <w:i/>
          <w:sz w:val="24"/>
          <w:szCs w:val="24"/>
        </w:rPr>
      </w:pPr>
    </w:p>
    <w:p w14:paraId="020762DF" w14:textId="77777777" w:rsidR="005930E7" w:rsidRPr="009655F8" w:rsidRDefault="005930E7" w:rsidP="009655F8">
      <w:pPr>
        <w:spacing w:after="0" w:line="240" w:lineRule="auto"/>
        <w:ind w:left="567" w:right="567"/>
        <w:jc w:val="both"/>
        <w:rPr>
          <w:rFonts w:ascii="Arial Narrow" w:hAnsi="Arial Narrow" w:cs="Arial"/>
          <w:i/>
          <w:sz w:val="24"/>
          <w:szCs w:val="24"/>
        </w:rPr>
      </w:pPr>
      <w:r w:rsidRPr="009655F8">
        <w:rPr>
          <w:rFonts w:ascii="Arial Narrow" w:hAnsi="Arial Narrow" w:cs="Arial"/>
          <w:b/>
          <w:i/>
          <w:sz w:val="24"/>
          <w:szCs w:val="24"/>
        </w:rPr>
        <w:t>“ARTÍCULO 153.</w:t>
      </w:r>
      <w:r w:rsidRPr="009655F8">
        <w:rPr>
          <w:rFonts w:ascii="Arial Narrow" w:hAnsi="Arial Narrow" w:cs="Arial"/>
          <w:i/>
          <w:sz w:val="24"/>
          <w:szCs w:val="24"/>
        </w:rPr>
        <w:t xml:space="preserve"> El recurso de apelación se promoverá mediante escrito, dentro de los quince días hábiles siguientes a aquél en que surta sus efectos la notificación de la resolución que se recurre.</w:t>
      </w:r>
    </w:p>
    <w:p w14:paraId="0CAC8D84" w14:textId="7068AA19" w:rsidR="005930E7" w:rsidRDefault="005930E7" w:rsidP="009655F8">
      <w:pPr>
        <w:spacing w:after="0" w:line="240" w:lineRule="auto"/>
        <w:ind w:left="567" w:right="567"/>
        <w:jc w:val="both"/>
        <w:rPr>
          <w:rFonts w:ascii="Arial Narrow" w:hAnsi="Arial Narrow" w:cs="Arial"/>
          <w:i/>
          <w:sz w:val="24"/>
          <w:szCs w:val="24"/>
        </w:rPr>
      </w:pPr>
      <w:r w:rsidRPr="009655F8">
        <w:rPr>
          <w:rFonts w:ascii="Arial Narrow" w:hAnsi="Arial Narrow" w:cs="Arial"/>
          <w:i/>
          <w:sz w:val="24"/>
          <w:szCs w:val="24"/>
        </w:rPr>
        <w:t>En el escrito deberán formularse los agravios que consideren las partes se les hayan causado, exhibiéndose una copia del mismo para el expediente y una para cada una de las partes.”</w:t>
      </w:r>
    </w:p>
    <w:p w14:paraId="4DBF474C" w14:textId="77777777" w:rsidR="009655F8" w:rsidRPr="009655F8" w:rsidRDefault="009655F8" w:rsidP="009655F8">
      <w:pPr>
        <w:spacing w:after="0" w:line="240" w:lineRule="auto"/>
        <w:ind w:left="567" w:right="567"/>
        <w:jc w:val="both"/>
        <w:rPr>
          <w:rFonts w:ascii="Arial Narrow" w:hAnsi="Arial Narrow" w:cs="Arial"/>
          <w:i/>
          <w:sz w:val="24"/>
          <w:szCs w:val="24"/>
        </w:rPr>
      </w:pPr>
    </w:p>
    <w:p w14:paraId="75B2F7F7" w14:textId="77777777" w:rsidR="00886217" w:rsidRPr="009655F8" w:rsidRDefault="005F61E1" w:rsidP="009655F8">
      <w:pPr>
        <w:pStyle w:val="Estilo"/>
        <w:ind w:left="567" w:right="567"/>
        <w:rPr>
          <w:rFonts w:ascii="Arial Narrow" w:hAnsi="Arial Narrow"/>
          <w:i/>
          <w:szCs w:val="24"/>
        </w:rPr>
      </w:pPr>
      <w:r w:rsidRPr="009655F8">
        <w:rPr>
          <w:rFonts w:ascii="Arial Narrow" w:hAnsi="Arial Narrow"/>
          <w:b/>
          <w:i/>
          <w:szCs w:val="24"/>
        </w:rPr>
        <w:t>“</w:t>
      </w:r>
      <w:r w:rsidR="00886217" w:rsidRPr="009655F8">
        <w:rPr>
          <w:rFonts w:ascii="Arial Narrow" w:hAnsi="Arial Narrow"/>
          <w:b/>
          <w:i/>
          <w:szCs w:val="24"/>
        </w:rPr>
        <w:t>ARTÍCULO 156.</w:t>
      </w:r>
      <w:r w:rsidR="00886217" w:rsidRPr="009655F8">
        <w:rPr>
          <w:rFonts w:ascii="Arial Narrow" w:hAnsi="Arial Narrow"/>
          <w:i/>
          <w:szCs w:val="24"/>
        </w:rPr>
        <w:t xml:space="preserve"> El recurso de apelación tendrá por objeto revocar, modificar o confirmar la sentencia emitida por la Sala Unitaria de que se trate.</w:t>
      </w:r>
    </w:p>
    <w:p w14:paraId="6DDFAD19" w14:textId="77777777" w:rsidR="00886217" w:rsidRPr="009655F8" w:rsidRDefault="00886217" w:rsidP="009655F8">
      <w:pPr>
        <w:pStyle w:val="Estilo"/>
        <w:ind w:left="567" w:right="567"/>
        <w:rPr>
          <w:rFonts w:ascii="Arial Narrow" w:hAnsi="Arial Narrow"/>
          <w:i/>
          <w:szCs w:val="24"/>
        </w:rPr>
      </w:pPr>
      <w:r w:rsidRPr="009655F8">
        <w:rPr>
          <w:rFonts w:ascii="Arial Narrow" w:hAnsi="Arial Narrow"/>
          <w:i/>
          <w:szCs w:val="24"/>
        </w:rPr>
        <w:t>A la vista de los agravios expresados por el recurrente, la sentencia de apelación revisará si se observó lo establecido en los artículos, 249 y 250 de este Código.</w:t>
      </w:r>
    </w:p>
    <w:p w14:paraId="3900875A" w14:textId="77777777" w:rsidR="00886217" w:rsidRPr="009655F8" w:rsidRDefault="00886217" w:rsidP="009655F8">
      <w:pPr>
        <w:pStyle w:val="Estilo"/>
        <w:ind w:left="567" w:right="567"/>
        <w:rPr>
          <w:rFonts w:ascii="Arial Narrow" w:hAnsi="Arial Narrow"/>
          <w:i/>
          <w:szCs w:val="24"/>
        </w:rPr>
      </w:pPr>
      <w:r w:rsidRPr="009655F8">
        <w:rPr>
          <w:rFonts w:ascii="Arial Narrow" w:hAnsi="Arial Narrow"/>
          <w:i/>
          <w:szCs w:val="24"/>
        </w:rPr>
        <w:t>Si se acreditan violaciones cometidas durante el procedimiento del juicio, que hayan dejado sin defensa al recurrente y trasciendan al sentido de la sentencia, se revocará ésta y se mandará reponer el procedimiento.</w:t>
      </w:r>
    </w:p>
    <w:p w14:paraId="6455577E" w14:textId="77777777" w:rsidR="00886217" w:rsidRPr="009655F8" w:rsidRDefault="00886217" w:rsidP="009655F8">
      <w:pPr>
        <w:pStyle w:val="Estilo"/>
        <w:ind w:left="567" w:right="567"/>
        <w:rPr>
          <w:rFonts w:ascii="Arial Narrow" w:hAnsi="Arial Narrow"/>
          <w:i/>
          <w:szCs w:val="24"/>
        </w:rPr>
      </w:pPr>
      <w:r w:rsidRPr="009655F8">
        <w:rPr>
          <w:rFonts w:ascii="Arial Narrow" w:hAnsi="Arial Narrow"/>
          <w:i/>
          <w:szCs w:val="24"/>
        </w:rPr>
        <w:lastRenderedPageBreak/>
        <w:t>Sólo se tomarán en consideración las pruebas que se hubiesen ofrecido en el juicio respectivo, salvo que no se haya tenido la oportunidad procesal para rendirlas.</w:t>
      </w:r>
    </w:p>
    <w:p w14:paraId="390A67C6" w14:textId="77777777" w:rsidR="00886217" w:rsidRPr="009655F8" w:rsidRDefault="00886217" w:rsidP="009655F8">
      <w:pPr>
        <w:pStyle w:val="Estilo"/>
        <w:ind w:left="567" w:right="567"/>
        <w:rPr>
          <w:rFonts w:ascii="Arial Narrow" w:hAnsi="Arial Narrow"/>
          <w:i/>
          <w:szCs w:val="24"/>
        </w:rPr>
      </w:pPr>
      <w:r w:rsidRPr="009655F8">
        <w:rPr>
          <w:rFonts w:ascii="Arial Narrow" w:hAnsi="Arial Narrow"/>
          <w:i/>
          <w:szCs w:val="24"/>
        </w:rPr>
        <w:t>Se suplirá la deficiencia de los agravios del particular apelante, cuando el caso lo requiera, pero sin cambiar los hechos planteados.</w:t>
      </w:r>
    </w:p>
    <w:p w14:paraId="5F3BD917" w14:textId="77777777" w:rsidR="00886217" w:rsidRPr="009655F8" w:rsidRDefault="00886217" w:rsidP="009655F8">
      <w:pPr>
        <w:pStyle w:val="Estilo"/>
        <w:ind w:left="567" w:right="567"/>
        <w:rPr>
          <w:rFonts w:ascii="Arial Narrow" w:hAnsi="Arial Narrow"/>
          <w:i/>
          <w:szCs w:val="24"/>
        </w:rPr>
      </w:pPr>
      <w:r w:rsidRPr="009655F8">
        <w:rPr>
          <w:rFonts w:ascii="Arial Narrow" w:hAnsi="Arial Narrow"/>
          <w:i/>
          <w:szCs w:val="24"/>
        </w:rPr>
        <w:t>En el caso de ser revocada la sentencia o de que su modificación así lo disponga, cuando el recurrente sea el servidor público, se ordenará se le restituya de inmediato en el goce de sus derechos, sin perjuicio de lo que establecen otras leyes.</w:t>
      </w:r>
    </w:p>
    <w:p w14:paraId="1604301C" w14:textId="77777777" w:rsidR="00886217" w:rsidRPr="009655F8" w:rsidRDefault="00886217" w:rsidP="009655F8">
      <w:pPr>
        <w:pStyle w:val="Estilo"/>
        <w:ind w:left="567" w:right="567"/>
        <w:rPr>
          <w:rFonts w:ascii="Arial Narrow" w:hAnsi="Arial Narrow"/>
          <w:i/>
          <w:szCs w:val="24"/>
        </w:rPr>
      </w:pPr>
      <w:r w:rsidRPr="009655F8">
        <w:rPr>
          <w:rFonts w:ascii="Arial Narrow" w:hAnsi="Arial Narrow"/>
          <w:i/>
          <w:szCs w:val="24"/>
        </w:rPr>
        <w:t>Se exceptúan del párrafo anterior, los casos previstos en el apartado B, fracción XIII, del artículo 123 de la Constitución Política de los Estados Unidos Mexicanos.</w:t>
      </w:r>
      <w:r w:rsidR="005F61E1" w:rsidRPr="009655F8">
        <w:rPr>
          <w:rFonts w:ascii="Arial Narrow" w:hAnsi="Arial Narrow"/>
          <w:i/>
          <w:szCs w:val="24"/>
        </w:rPr>
        <w:t>”</w:t>
      </w:r>
    </w:p>
    <w:p w14:paraId="2A3121CD" w14:textId="77777777" w:rsidR="00667322" w:rsidRPr="009655F8" w:rsidRDefault="00667322" w:rsidP="009655F8">
      <w:pPr>
        <w:spacing w:after="0" w:line="240" w:lineRule="auto"/>
        <w:ind w:firstLine="851"/>
        <w:jc w:val="both"/>
        <w:rPr>
          <w:rFonts w:ascii="Arial" w:hAnsi="Arial" w:cs="Arial"/>
          <w:sz w:val="24"/>
          <w:szCs w:val="24"/>
        </w:rPr>
      </w:pPr>
    </w:p>
    <w:p w14:paraId="229ED760" w14:textId="3A8D0445" w:rsidR="00886217" w:rsidRDefault="005F61E1" w:rsidP="009655F8">
      <w:pPr>
        <w:spacing w:after="0" w:line="360" w:lineRule="auto"/>
        <w:ind w:firstLine="851"/>
        <w:jc w:val="both"/>
        <w:rPr>
          <w:rFonts w:ascii="Arial" w:hAnsi="Arial" w:cs="Arial"/>
          <w:sz w:val="28"/>
          <w:szCs w:val="28"/>
        </w:rPr>
      </w:pPr>
      <w:r w:rsidRPr="009655F8">
        <w:rPr>
          <w:rFonts w:ascii="Arial" w:hAnsi="Arial" w:cs="Arial"/>
          <w:sz w:val="28"/>
          <w:szCs w:val="28"/>
        </w:rPr>
        <w:t>De</w:t>
      </w:r>
      <w:r w:rsidR="00130654" w:rsidRPr="009655F8">
        <w:rPr>
          <w:rFonts w:ascii="Arial" w:hAnsi="Arial" w:cs="Arial"/>
          <w:sz w:val="28"/>
          <w:szCs w:val="28"/>
        </w:rPr>
        <w:t xml:space="preserve"> </w:t>
      </w:r>
      <w:r w:rsidRPr="009655F8">
        <w:rPr>
          <w:rFonts w:ascii="Arial" w:hAnsi="Arial" w:cs="Arial"/>
          <w:sz w:val="28"/>
          <w:szCs w:val="28"/>
        </w:rPr>
        <w:t>l</w:t>
      </w:r>
      <w:r w:rsidR="00130654" w:rsidRPr="009655F8">
        <w:rPr>
          <w:rFonts w:ascii="Arial" w:hAnsi="Arial" w:cs="Arial"/>
          <w:sz w:val="28"/>
          <w:szCs w:val="28"/>
        </w:rPr>
        <w:t xml:space="preserve">os </w:t>
      </w:r>
      <w:r w:rsidRPr="009655F8">
        <w:rPr>
          <w:rFonts w:ascii="Arial" w:hAnsi="Arial" w:cs="Arial"/>
          <w:sz w:val="28"/>
          <w:szCs w:val="28"/>
        </w:rPr>
        <w:t>citado</w:t>
      </w:r>
      <w:r w:rsidR="00130654" w:rsidRPr="009655F8">
        <w:rPr>
          <w:rFonts w:ascii="Arial" w:hAnsi="Arial" w:cs="Arial"/>
          <w:sz w:val="28"/>
          <w:szCs w:val="28"/>
        </w:rPr>
        <w:t>s</w:t>
      </w:r>
      <w:r w:rsidRPr="009655F8">
        <w:rPr>
          <w:rFonts w:ascii="Arial" w:hAnsi="Arial" w:cs="Arial"/>
          <w:sz w:val="28"/>
          <w:szCs w:val="28"/>
        </w:rPr>
        <w:t xml:space="preserve"> artículo</w:t>
      </w:r>
      <w:r w:rsidR="00130654" w:rsidRPr="009655F8">
        <w:rPr>
          <w:rFonts w:ascii="Arial" w:hAnsi="Arial" w:cs="Arial"/>
          <w:sz w:val="28"/>
          <w:szCs w:val="28"/>
        </w:rPr>
        <w:t>s</w:t>
      </w:r>
      <w:r w:rsidRPr="009655F8">
        <w:rPr>
          <w:rFonts w:ascii="Arial" w:hAnsi="Arial" w:cs="Arial"/>
          <w:sz w:val="28"/>
          <w:szCs w:val="28"/>
        </w:rPr>
        <w:t xml:space="preserve"> se obtiene que la Litis en segunda instancia se integra con la sentencia definitiva emitida por el Magistrado de Sala Unitaria de origen y con los agravios de </w:t>
      </w:r>
      <w:r w:rsidR="00BE61F1" w:rsidRPr="009655F8">
        <w:rPr>
          <w:rFonts w:ascii="Arial" w:hAnsi="Arial" w:cs="Arial"/>
          <w:sz w:val="28"/>
          <w:szCs w:val="28"/>
        </w:rPr>
        <w:t xml:space="preserve">la o </w:t>
      </w:r>
      <w:r w:rsidRPr="009655F8">
        <w:rPr>
          <w:rFonts w:ascii="Arial" w:hAnsi="Arial" w:cs="Arial"/>
          <w:sz w:val="28"/>
          <w:szCs w:val="28"/>
        </w:rPr>
        <w:t>las partes recurrentes.</w:t>
      </w:r>
    </w:p>
    <w:p w14:paraId="0099935C" w14:textId="77777777" w:rsidR="009655F8" w:rsidRPr="009655F8" w:rsidRDefault="009655F8" w:rsidP="009655F8">
      <w:pPr>
        <w:spacing w:after="0" w:line="360" w:lineRule="auto"/>
        <w:ind w:firstLine="851"/>
        <w:jc w:val="both"/>
        <w:rPr>
          <w:rFonts w:ascii="Arial" w:hAnsi="Arial" w:cs="Arial"/>
          <w:sz w:val="28"/>
          <w:szCs w:val="28"/>
        </w:rPr>
      </w:pPr>
    </w:p>
    <w:p w14:paraId="42B949ED" w14:textId="515DA152" w:rsidR="00BE61F1" w:rsidRDefault="00BB744D" w:rsidP="009655F8">
      <w:pPr>
        <w:spacing w:after="0" w:line="360" w:lineRule="auto"/>
        <w:ind w:firstLine="851"/>
        <w:jc w:val="both"/>
        <w:rPr>
          <w:rFonts w:ascii="Arial" w:hAnsi="Arial" w:cs="Arial"/>
          <w:sz w:val="28"/>
          <w:szCs w:val="28"/>
        </w:rPr>
      </w:pPr>
      <w:r w:rsidRPr="009655F8">
        <w:rPr>
          <w:rFonts w:ascii="Arial" w:hAnsi="Arial" w:cs="Arial"/>
          <w:sz w:val="28"/>
          <w:szCs w:val="28"/>
        </w:rPr>
        <w:t xml:space="preserve">Por ende, la apelación resulta un recurso ordinario y vertical a través del cual una de las partes, o ambas, someten a la Sala Superior del Tribunal Estatal </w:t>
      </w:r>
      <w:r w:rsidR="00C046F0" w:rsidRPr="009655F8">
        <w:rPr>
          <w:rFonts w:ascii="Arial" w:hAnsi="Arial" w:cs="Arial"/>
          <w:sz w:val="28"/>
          <w:szCs w:val="28"/>
        </w:rPr>
        <w:t>de Justicia Administrativa un n</w:t>
      </w:r>
      <w:r w:rsidRPr="009655F8">
        <w:rPr>
          <w:rFonts w:ascii="Arial" w:hAnsi="Arial" w:cs="Arial"/>
          <w:sz w:val="28"/>
          <w:szCs w:val="28"/>
        </w:rPr>
        <w:t xml:space="preserve">uevo examen sobre la resolución definitiva distada por alguna Sala Unitaria, y el cual </w:t>
      </w:r>
      <w:r w:rsidR="008E077D" w:rsidRPr="009655F8">
        <w:rPr>
          <w:rFonts w:ascii="Arial" w:hAnsi="Arial" w:cs="Arial"/>
          <w:sz w:val="28"/>
          <w:szCs w:val="28"/>
        </w:rPr>
        <w:t xml:space="preserve">tiene </w:t>
      </w:r>
      <w:r w:rsidR="00BE61F1" w:rsidRPr="009655F8">
        <w:rPr>
          <w:rFonts w:ascii="Arial" w:hAnsi="Arial" w:cs="Arial"/>
          <w:sz w:val="28"/>
          <w:szCs w:val="28"/>
        </w:rPr>
        <w:t xml:space="preserve">la finalidad de </w:t>
      </w:r>
      <w:r w:rsidR="00BE61F1" w:rsidRPr="009655F8">
        <w:rPr>
          <w:rFonts w:ascii="Arial" w:hAnsi="Arial" w:cs="Arial"/>
          <w:b/>
          <w:sz w:val="28"/>
          <w:szCs w:val="28"/>
        </w:rPr>
        <w:t>confirmar, modificar o revocar</w:t>
      </w:r>
      <w:r w:rsidR="00BE61F1" w:rsidRPr="009655F8">
        <w:rPr>
          <w:rFonts w:ascii="Arial" w:hAnsi="Arial" w:cs="Arial"/>
          <w:sz w:val="28"/>
          <w:szCs w:val="28"/>
        </w:rPr>
        <w:t xml:space="preserve"> la resolución dictada en primera instancia; es decir, su objeto de estudio se limita a los errores u omisiones que se hubieran cometido al emitirse la sentencia pronunciad</w:t>
      </w:r>
      <w:r w:rsidR="001F5E7D" w:rsidRPr="009655F8">
        <w:rPr>
          <w:rFonts w:ascii="Arial" w:hAnsi="Arial" w:cs="Arial"/>
          <w:sz w:val="28"/>
          <w:szCs w:val="28"/>
        </w:rPr>
        <w:t>a</w:t>
      </w:r>
      <w:r w:rsidR="00BE61F1" w:rsidRPr="009655F8">
        <w:rPr>
          <w:rFonts w:ascii="Arial" w:hAnsi="Arial" w:cs="Arial"/>
          <w:sz w:val="28"/>
          <w:szCs w:val="28"/>
        </w:rPr>
        <w:t xml:space="preserve"> </w:t>
      </w:r>
      <w:r w:rsidR="001F5E7D" w:rsidRPr="009655F8">
        <w:rPr>
          <w:rFonts w:ascii="Arial" w:hAnsi="Arial" w:cs="Arial"/>
          <w:sz w:val="28"/>
          <w:szCs w:val="28"/>
        </w:rPr>
        <w:t>en primer grado</w:t>
      </w:r>
      <w:r w:rsidR="00BE61F1" w:rsidRPr="009655F8">
        <w:rPr>
          <w:rFonts w:ascii="Arial" w:hAnsi="Arial" w:cs="Arial"/>
          <w:sz w:val="28"/>
          <w:szCs w:val="28"/>
        </w:rPr>
        <w:t xml:space="preserve"> en </w:t>
      </w:r>
      <w:r w:rsidR="001F5E7D" w:rsidRPr="009655F8">
        <w:rPr>
          <w:rFonts w:ascii="Arial" w:hAnsi="Arial" w:cs="Arial"/>
          <w:sz w:val="28"/>
          <w:szCs w:val="28"/>
        </w:rPr>
        <w:t>relación con lo</w:t>
      </w:r>
      <w:r w:rsidR="00BE61F1" w:rsidRPr="009655F8">
        <w:rPr>
          <w:rFonts w:ascii="Arial" w:hAnsi="Arial" w:cs="Arial"/>
          <w:sz w:val="28"/>
          <w:szCs w:val="28"/>
        </w:rPr>
        <w:t>s puntos relativos a los agravios expresados por la</w:t>
      </w:r>
      <w:r w:rsidR="001F5E7D" w:rsidRPr="009655F8">
        <w:rPr>
          <w:rFonts w:ascii="Arial" w:hAnsi="Arial" w:cs="Arial"/>
          <w:sz w:val="28"/>
          <w:szCs w:val="28"/>
        </w:rPr>
        <w:t>s</w:t>
      </w:r>
      <w:r w:rsidR="00035F4E" w:rsidRPr="009655F8">
        <w:rPr>
          <w:rFonts w:ascii="Arial" w:hAnsi="Arial" w:cs="Arial"/>
          <w:sz w:val="28"/>
          <w:szCs w:val="28"/>
        </w:rPr>
        <w:t xml:space="preserve"> </w:t>
      </w:r>
      <w:r w:rsidR="001F5E7D" w:rsidRPr="009655F8">
        <w:rPr>
          <w:rFonts w:ascii="Arial" w:hAnsi="Arial" w:cs="Arial"/>
          <w:sz w:val="28"/>
          <w:szCs w:val="28"/>
        </w:rPr>
        <w:t>partes</w:t>
      </w:r>
      <w:r w:rsidR="00BE61F1" w:rsidRPr="009655F8">
        <w:rPr>
          <w:rFonts w:ascii="Arial" w:hAnsi="Arial" w:cs="Arial"/>
          <w:sz w:val="28"/>
          <w:szCs w:val="28"/>
        </w:rPr>
        <w:t>.</w:t>
      </w:r>
    </w:p>
    <w:p w14:paraId="1EB6CEEC" w14:textId="77777777" w:rsidR="009655F8" w:rsidRPr="009655F8" w:rsidRDefault="009655F8" w:rsidP="009655F8">
      <w:pPr>
        <w:spacing w:after="0" w:line="360" w:lineRule="auto"/>
        <w:ind w:firstLine="851"/>
        <w:jc w:val="both"/>
        <w:rPr>
          <w:rFonts w:ascii="Arial" w:hAnsi="Arial" w:cs="Arial"/>
          <w:sz w:val="28"/>
          <w:szCs w:val="28"/>
        </w:rPr>
      </w:pPr>
    </w:p>
    <w:p w14:paraId="5955F0F2" w14:textId="77777777" w:rsidR="00BE61F1" w:rsidRDefault="00BE61F1" w:rsidP="009655F8">
      <w:pPr>
        <w:spacing w:after="0" w:line="360" w:lineRule="auto"/>
        <w:ind w:firstLine="851"/>
        <w:jc w:val="both"/>
        <w:rPr>
          <w:rFonts w:ascii="Arial" w:hAnsi="Arial" w:cs="Arial"/>
          <w:sz w:val="28"/>
          <w:szCs w:val="28"/>
        </w:rPr>
      </w:pPr>
      <w:r w:rsidRPr="009655F8">
        <w:rPr>
          <w:rFonts w:ascii="Arial" w:hAnsi="Arial" w:cs="Arial"/>
          <w:sz w:val="28"/>
          <w:szCs w:val="28"/>
        </w:rPr>
        <w:t>De ahí que resulte esencial que la parte apelante, a través de sus agravios, combata las consideraciones que sustentan la resolución impugnada para demostrar la ilegalidad cuya declaración pretende.</w:t>
      </w:r>
    </w:p>
    <w:p w14:paraId="662CE470" w14:textId="77777777" w:rsidR="009655F8" w:rsidRPr="009655F8" w:rsidRDefault="009655F8" w:rsidP="009655F8">
      <w:pPr>
        <w:spacing w:after="0" w:line="360" w:lineRule="auto"/>
        <w:ind w:firstLine="851"/>
        <w:jc w:val="both"/>
        <w:rPr>
          <w:rFonts w:ascii="Arial" w:hAnsi="Arial" w:cs="Arial"/>
          <w:sz w:val="28"/>
          <w:szCs w:val="28"/>
        </w:rPr>
      </w:pPr>
    </w:p>
    <w:p w14:paraId="51096AAD" w14:textId="1D09AC10" w:rsidR="008C1492" w:rsidRDefault="008C1492" w:rsidP="009655F8">
      <w:pPr>
        <w:spacing w:after="0" w:line="360" w:lineRule="auto"/>
        <w:ind w:firstLine="851"/>
        <w:jc w:val="both"/>
        <w:rPr>
          <w:rFonts w:ascii="Arial" w:hAnsi="Arial" w:cs="Arial"/>
          <w:sz w:val="28"/>
          <w:szCs w:val="28"/>
        </w:rPr>
      </w:pPr>
      <w:r w:rsidRPr="009655F8">
        <w:rPr>
          <w:rFonts w:ascii="Arial" w:hAnsi="Arial" w:cs="Arial"/>
          <w:sz w:val="28"/>
          <w:szCs w:val="28"/>
        </w:rPr>
        <w:t xml:space="preserve">Tal límite, no riñe con el derecho de acceso a la justicia reconocido en el artículo 17 constitucional, toda vez que el </w:t>
      </w:r>
      <w:r w:rsidRPr="009655F8">
        <w:rPr>
          <w:rFonts w:ascii="Arial" w:hAnsi="Arial" w:cs="Arial"/>
          <w:sz w:val="28"/>
          <w:szCs w:val="28"/>
        </w:rPr>
        <w:lastRenderedPageBreak/>
        <w:t>juzgador no puede ir más allá de lo pedido por las partes, esto es, no es dable la actuación oficiosa del juzgador, salvo en los supuestos que la ley así lo dispone (presupuestos procesales</w:t>
      </w:r>
      <w:r w:rsidR="001F5E7D" w:rsidRPr="009655F8">
        <w:rPr>
          <w:rFonts w:ascii="Arial" w:hAnsi="Arial" w:cs="Arial"/>
          <w:sz w:val="28"/>
          <w:szCs w:val="28"/>
        </w:rPr>
        <w:t xml:space="preserve"> de procedencia del juicio contencioso o</w:t>
      </w:r>
      <w:r w:rsidRPr="009655F8">
        <w:rPr>
          <w:rFonts w:ascii="Arial" w:hAnsi="Arial" w:cs="Arial"/>
          <w:sz w:val="28"/>
          <w:szCs w:val="28"/>
        </w:rPr>
        <w:t xml:space="preserve"> suplencia de la deficiencia de agravios</w:t>
      </w:r>
      <w:r w:rsidR="001F5E7D" w:rsidRPr="009655F8">
        <w:rPr>
          <w:rFonts w:ascii="Arial" w:hAnsi="Arial" w:cs="Arial"/>
          <w:sz w:val="28"/>
          <w:szCs w:val="28"/>
        </w:rPr>
        <w:t xml:space="preserve"> ordenados en ley</w:t>
      </w:r>
      <w:r w:rsidR="00A44549" w:rsidRPr="009655F8">
        <w:rPr>
          <w:rFonts w:ascii="Arial" w:hAnsi="Arial" w:cs="Arial"/>
          <w:sz w:val="28"/>
          <w:szCs w:val="28"/>
        </w:rPr>
        <w:t xml:space="preserve"> para violaciones esenciales del procedimiento o aplicación de jurisprudencia emitida por el Pleno de la Suprema Corte de Justicia de la Nación</w:t>
      </w:r>
      <w:r w:rsidRPr="009655F8">
        <w:rPr>
          <w:rFonts w:ascii="Arial" w:hAnsi="Arial" w:cs="Arial"/>
          <w:sz w:val="28"/>
          <w:szCs w:val="28"/>
        </w:rPr>
        <w:t xml:space="preserve">, </w:t>
      </w:r>
      <w:r w:rsidR="00BC6213" w:rsidRPr="009655F8">
        <w:rPr>
          <w:rFonts w:ascii="Arial" w:hAnsi="Arial" w:cs="Arial"/>
          <w:sz w:val="28"/>
          <w:szCs w:val="28"/>
        </w:rPr>
        <w:t xml:space="preserve">constitucionalidad y convencionalidad, </w:t>
      </w:r>
      <w:r w:rsidRPr="009655F8">
        <w:rPr>
          <w:rFonts w:ascii="Arial" w:hAnsi="Arial" w:cs="Arial"/>
          <w:sz w:val="28"/>
          <w:szCs w:val="28"/>
        </w:rPr>
        <w:t>entre otr</w:t>
      </w:r>
      <w:r w:rsidR="001F5E7D" w:rsidRPr="009655F8">
        <w:rPr>
          <w:rFonts w:ascii="Arial" w:hAnsi="Arial" w:cs="Arial"/>
          <w:sz w:val="28"/>
          <w:szCs w:val="28"/>
        </w:rPr>
        <w:t>o</w:t>
      </w:r>
      <w:r w:rsidRPr="009655F8">
        <w:rPr>
          <w:rFonts w:ascii="Arial" w:hAnsi="Arial" w:cs="Arial"/>
          <w:sz w:val="28"/>
          <w:szCs w:val="28"/>
        </w:rPr>
        <w:t>s)</w:t>
      </w:r>
      <w:r w:rsidR="001F5E7D" w:rsidRPr="009655F8">
        <w:rPr>
          <w:rFonts w:ascii="Arial" w:hAnsi="Arial" w:cs="Arial"/>
          <w:sz w:val="28"/>
          <w:szCs w:val="28"/>
        </w:rPr>
        <w:t>. M</w:t>
      </w:r>
      <w:r w:rsidRPr="009655F8">
        <w:rPr>
          <w:rFonts w:ascii="Arial" w:hAnsi="Arial" w:cs="Arial"/>
          <w:sz w:val="28"/>
          <w:szCs w:val="28"/>
        </w:rPr>
        <w:t xml:space="preserve">áxime cuando </w:t>
      </w:r>
      <w:r w:rsidR="001F5E7D" w:rsidRPr="009655F8">
        <w:rPr>
          <w:rFonts w:ascii="Arial" w:hAnsi="Arial" w:cs="Arial"/>
          <w:sz w:val="28"/>
          <w:szCs w:val="28"/>
        </w:rPr>
        <w:t>la</w:t>
      </w:r>
      <w:r w:rsidRPr="009655F8">
        <w:rPr>
          <w:rFonts w:ascii="Arial" w:hAnsi="Arial" w:cs="Arial"/>
          <w:sz w:val="28"/>
          <w:szCs w:val="28"/>
        </w:rPr>
        <w:t xml:space="preserve"> posición</w:t>
      </w:r>
      <w:r w:rsidR="001F5E7D" w:rsidRPr="009655F8">
        <w:rPr>
          <w:rFonts w:ascii="Arial" w:hAnsi="Arial" w:cs="Arial"/>
          <w:sz w:val="28"/>
          <w:szCs w:val="28"/>
        </w:rPr>
        <w:t xml:space="preserve"> comentada </w:t>
      </w:r>
      <w:r w:rsidRPr="009655F8">
        <w:rPr>
          <w:rFonts w:ascii="Arial" w:hAnsi="Arial" w:cs="Arial"/>
          <w:sz w:val="28"/>
          <w:szCs w:val="28"/>
        </w:rPr>
        <w:t xml:space="preserve">no impide a </w:t>
      </w:r>
      <w:r w:rsidR="001F5E7D" w:rsidRPr="009655F8">
        <w:rPr>
          <w:rFonts w:ascii="Arial" w:hAnsi="Arial" w:cs="Arial"/>
          <w:sz w:val="28"/>
          <w:szCs w:val="28"/>
        </w:rPr>
        <w:t>las partes a</w:t>
      </w:r>
      <w:r w:rsidRPr="009655F8">
        <w:rPr>
          <w:rFonts w:ascii="Arial" w:hAnsi="Arial" w:cs="Arial"/>
          <w:sz w:val="28"/>
          <w:szCs w:val="28"/>
        </w:rPr>
        <w:t xml:space="preserve"> acceder a los tribunales, para plantear </w:t>
      </w:r>
      <w:r w:rsidR="000F224F" w:rsidRPr="009655F8">
        <w:rPr>
          <w:rFonts w:ascii="Arial" w:hAnsi="Arial" w:cs="Arial"/>
          <w:sz w:val="28"/>
          <w:szCs w:val="28"/>
        </w:rPr>
        <w:t>una pretensión o defenderse de ella, y para que a través de un proceso en el que se respeten ciertas formalidades, se decida sobre la pretensión o la defensa que se plantea.</w:t>
      </w:r>
    </w:p>
    <w:p w14:paraId="63448493" w14:textId="77777777" w:rsidR="009655F8" w:rsidRPr="009655F8" w:rsidRDefault="009655F8" w:rsidP="009655F8">
      <w:pPr>
        <w:spacing w:after="0" w:line="360" w:lineRule="auto"/>
        <w:ind w:firstLine="851"/>
        <w:jc w:val="both"/>
        <w:rPr>
          <w:rFonts w:ascii="Arial" w:hAnsi="Arial" w:cs="Arial"/>
          <w:sz w:val="28"/>
          <w:szCs w:val="28"/>
        </w:rPr>
      </w:pPr>
    </w:p>
    <w:p w14:paraId="714E44DD" w14:textId="77777777" w:rsidR="000F224F" w:rsidRDefault="000F224F" w:rsidP="009655F8">
      <w:pPr>
        <w:spacing w:after="0" w:line="360" w:lineRule="auto"/>
        <w:ind w:firstLine="851"/>
        <w:jc w:val="both"/>
        <w:rPr>
          <w:rFonts w:ascii="Arial" w:hAnsi="Arial" w:cs="Arial"/>
          <w:sz w:val="28"/>
          <w:szCs w:val="28"/>
        </w:rPr>
      </w:pPr>
      <w:r w:rsidRPr="009655F8">
        <w:rPr>
          <w:rFonts w:ascii="Arial" w:hAnsi="Arial" w:cs="Arial"/>
          <w:sz w:val="28"/>
          <w:szCs w:val="28"/>
        </w:rPr>
        <w:t xml:space="preserve">Además, este límite se traduce en el respeto a la igualdad y el equilibrio procesal que debe haber entre los contendientes, en términos del principio de justicia imparcial </w:t>
      </w:r>
      <w:r w:rsidR="001F5E7D" w:rsidRPr="009655F8">
        <w:rPr>
          <w:rFonts w:ascii="Arial" w:hAnsi="Arial" w:cs="Arial"/>
          <w:sz w:val="28"/>
          <w:szCs w:val="28"/>
        </w:rPr>
        <w:t xml:space="preserve">que deriva </w:t>
      </w:r>
      <w:r w:rsidRPr="009655F8">
        <w:rPr>
          <w:rFonts w:ascii="Arial" w:hAnsi="Arial" w:cs="Arial"/>
          <w:sz w:val="28"/>
          <w:szCs w:val="28"/>
        </w:rPr>
        <w:t>del derecho de acceso a la justicia.</w:t>
      </w:r>
    </w:p>
    <w:p w14:paraId="569EE281" w14:textId="77777777" w:rsidR="009655F8" w:rsidRPr="009655F8" w:rsidRDefault="009655F8" w:rsidP="009655F8">
      <w:pPr>
        <w:spacing w:after="0" w:line="360" w:lineRule="auto"/>
        <w:ind w:firstLine="851"/>
        <w:jc w:val="both"/>
        <w:rPr>
          <w:rFonts w:ascii="Arial" w:hAnsi="Arial" w:cs="Arial"/>
          <w:sz w:val="28"/>
          <w:szCs w:val="28"/>
        </w:rPr>
      </w:pPr>
    </w:p>
    <w:p w14:paraId="62B4C034" w14:textId="77777777" w:rsidR="000F224F" w:rsidRDefault="000F224F" w:rsidP="009655F8">
      <w:pPr>
        <w:spacing w:after="0" w:line="360" w:lineRule="auto"/>
        <w:ind w:firstLine="851"/>
        <w:jc w:val="both"/>
        <w:rPr>
          <w:rFonts w:ascii="Arial" w:hAnsi="Arial" w:cs="Arial"/>
          <w:b/>
          <w:i/>
          <w:sz w:val="28"/>
          <w:szCs w:val="28"/>
        </w:rPr>
      </w:pPr>
      <w:r w:rsidRPr="009655F8">
        <w:rPr>
          <w:rFonts w:ascii="Arial" w:hAnsi="Arial" w:cs="Arial"/>
          <w:sz w:val="28"/>
          <w:szCs w:val="28"/>
        </w:rPr>
        <w:t xml:space="preserve">Orienta lo anterior, por los motivos que se invocan, el contenido de la tesis 1ª. IX/2011 sustentada por la Primera Sala de la Suprema Corte de Justicia de la Nación, visible en el Semanario Judicial de la Federación y su Gaceta, Novena época, Tomo XXXIII, de febrero de dos mil once, </w:t>
      </w:r>
      <w:r w:rsidR="00B11B4F" w:rsidRPr="009655F8">
        <w:rPr>
          <w:rFonts w:ascii="Arial" w:hAnsi="Arial" w:cs="Arial"/>
          <w:sz w:val="28"/>
          <w:szCs w:val="28"/>
        </w:rPr>
        <w:t>materia</w:t>
      </w:r>
      <w:r w:rsidRPr="009655F8">
        <w:rPr>
          <w:rFonts w:ascii="Arial" w:hAnsi="Arial" w:cs="Arial"/>
          <w:sz w:val="28"/>
          <w:szCs w:val="28"/>
        </w:rPr>
        <w:t xml:space="preserve"> civil</w:t>
      </w:r>
      <w:r w:rsidR="00B11B4F" w:rsidRPr="009655F8">
        <w:rPr>
          <w:rFonts w:ascii="Arial" w:hAnsi="Arial" w:cs="Arial"/>
          <w:sz w:val="28"/>
          <w:szCs w:val="28"/>
        </w:rPr>
        <w:t xml:space="preserve">, página seiscientos siete, de rubro siguiente: </w:t>
      </w:r>
      <w:r w:rsidR="00B11B4F" w:rsidRPr="009655F8">
        <w:rPr>
          <w:rFonts w:ascii="Arial" w:hAnsi="Arial" w:cs="Arial"/>
          <w:b/>
          <w:i/>
          <w:sz w:val="28"/>
          <w:szCs w:val="28"/>
        </w:rPr>
        <w:t>“AGRAVIOS EN LA APELACIÓN. EL TRIBUNAL DE ALZADA PUEDE CALIFICARLOS DE INFUNDADOS O INOPERANTES PARA SOSTENER LA RESOLUCIÓN EN LA QUE CONFIRME LA SENTENCIA RECURRIDA.”</w:t>
      </w:r>
    </w:p>
    <w:p w14:paraId="2864464E" w14:textId="77777777" w:rsidR="009655F8" w:rsidRPr="009655F8" w:rsidRDefault="009655F8" w:rsidP="009655F8">
      <w:pPr>
        <w:spacing w:after="0" w:line="360" w:lineRule="auto"/>
        <w:ind w:firstLine="851"/>
        <w:jc w:val="both"/>
        <w:rPr>
          <w:rFonts w:ascii="Arial" w:hAnsi="Arial" w:cs="Arial"/>
          <w:sz w:val="28"/>
          <w:szCs w:val="28"/>
        </w:rPr>
      </w:pPr>
    </w:p>
    <w:p w14:paraId="4B3E76B6" w14:textId="066EA32C" w:rsidR="00283888" w:rsidRDefault="00283888" w:rsidP="009655F8">
      <w:pPr>
        <w:spacing w:after="0" w:line="360" w:lineRule="auto"/>
        <w:ind w:firstLine="851"/>
        <w:jc w:val="both"/>
        <w:rPr>
          <w:rFonts w:ascii="Arial" w:hAnsi="Arial" w:cs="Arial"/>
          <w:sz w:val="28"/>
          <w:szCs w:val="28"/>
        </w:rPr>
      </w:pPr>
      <w:r w:rsidRPr="009655F8">
        <w:rPr>
          <w:rFonts w:ascii="Arial" w:hAnsi="Arial" w:cs="Arial"/>
          <w:b/>
          <w:sz w:val="28"/>
          <w:szCs w:val="28"/>
        </w:rPr>
        <w:t>TERCERO. Legitimación.</w:t>
      </w:r>
      <w:r w:rsidRPr="009655F8">
        <w:rPr>
          <w:rFonts w:ascii="Arial" w:hAnsi="Arial" w:cs="Arial"/>
          <w:sz w:val="28"/>
          <w:szCs w:val="28"/>
        </w:rPr>
        <w:t xml:space="preserve"> El presente recurso de apelación fue interpuesto por parte legítima ya que se trata de</w:t>
      </w:r>
      <w:r w:rsidR="0061224D" w:rsidRPr="009655F8">
        <w:rPr>
          <w:rFonts w:ascii="Arial" w:hAnsi="Arial" w:cs="Arial"/>
          <w:sz w:val="28"/>
          <w:szCs w:val="28"/>
        </w:rPr>
        <w:t xml:space="preserve"> la parte</w:t>
      </w:r>
      <w:r w:rsidR="001E1D9B" w:rsidRPr="009655F8">
        <w:rPr>
          <w:rFonts w:ascii="Arial" w:hAnsi="Arial" w:cs="Arial"/>
          <w:sz w:val="28"/>
          <w:szCs w:val="28"/>
        </w:rPr>
        <w:t xml:space="preserve"> </w:t>
      </w:r>
      <w:r w:rsidR="00B11B4F" w:rsidRPr="009655F8">
        <w:rPr>
          <w:rFonts w:ascii="Arial" w:hAnsi="Arial" w:cs="Arial"/>
          <w:sz w:val="28"/>
          <w:szCs w:val="28"/>
        </w:rPr>
        <w:t xml:space="preserve">actora </w:t>
      </w:r>
      <w:r w:rsidR="00462706" w:rsidRPr="009655F8">
        <w:rPr>
          <w:rFonts w:ascii="Arial" w:hAnsi="Arial" w:cs="Arial"/>
          <w:sz w:val="28"/>
          <w:szCs w:val="28"/>
        </w:rPr>
        <w:t>“</w:t>
      </w:r>
      <w:r w:rsidR="0050127A">
        <w:rPr>
          <w:rFonts w:ascii="Arial" w:hAnsi="Arial" w:cs="Arial"/>
          <w:b/>
          <w:color w:val="FF0000"/>
          <w:sz w:val="28"/>
          <w:szCs w:val="28"/>
        </w:rPr>
        <w:t>**********</w:t>
      </w:r>
      <w:r w:rsidR="00B11B4F" w:rsidRPr="009655F8">
        <w:rPr>
          <w:rFonts w:ascii="Arial" w:hAnsi="Arial" w:cs="Arial"/>
          <w:sz w:val="28"/>
          <w:szCs w:val="28"/>
        </w:rPr>
        <w:t>por conducto de su autorizado en términos amplios</w:t>
      </w:r>
      <w:r w:rsidR="00B11B4F" w:rsidRPr="009655F8">
        <w:rPr>
          <w:rFonts w:ascii="Arial" w:hAnsi="Arial" w:cs="Arial"/>
          <w:b/>
          <w:sz w:val="28"/>
          <w:szCs w:val="28"/>
        </w:rPr>
        <w:t xml:space="preserve"> </w:t>
      </w:r>
      <w:r w:rsidR="0050127A">
        <w:rPr>
          <w:rFonts w:ascii="Arial" w:hAnsi="Arial" w:cs="Arial"/>
          <w:b/>
          <w:color w:val="FF0000"/>
          <w:sz w:val="28"/>
          <w:szCs w:val="28"/>
        </w:rPr>
        <w:t>**********</w:t>
      </w:r>
      <w:r w:rsidR="00B11B4F" w:rsidRPr="009655F8">
        <w:rPr>
          <w:rFonts w:ascii="Arial" w:hAnsi="Arial" w:cs="Arial"/>
          <w:b/>
          <w:sz w:val="28"/>
          <w:szCs w:val="28"/>
        </w:rPr>
        <w:t>,</w:t>
      </w:r>
      <w:r w:rsidR="00B11B4F" w:rsidRPr="009655F8">
        <w:rPr>
          <w:rFonts w:ascii="Arial" w:hAnsi="Arial" w:cs="Arial"/>
          <w:sz w:val="28"/>
          <w:szCs w:val="28"/>
        </w:rPr>
        <w:t xml:space="preserve"> </w:t>
      </w:r>
      <w:r w:rsidRPr="009655F8">
        <w:rPr>
          <w:rFonts w:ascii="Arial" w:hAnsi="Arial" w:cs="Arial"/>
          <w:sz w:val="28"/>
          <w:szCs w:val="28"/>
        </w:rPr>
        <w:t xml:space="preserve">en el juicio contencioso administrativo arriba mencionado, cuya resolución es el acto </w:t>
      </w:r>
      <w:r w:rsidRPr="009655F8">
        <w:rPr>
          <w:rFonts w:ascii="Arial" w:hAnsi="Arial" w:cs="Arial"/>
          <w:sz w:val="28"/>
          <w:szCs w:val="28"/>
        </w:rPr>
        <w:lastRenderedPageBreak/>
        <w:t>impugnado en los términos del artículo 152</w:t>
      </w:r>
      <w:r w:rsidR="00D350D7" w:rsidRPr="009655F8">
        <w:rPr>
          <w:rFonts w:ascii="Arial" w:hAnsi="Arial" w:cs="Arial"/>
          <w:sz w:val="28"/>
          <w:szCs w:val="28"/>
        </w:rPr>
        <w:t>,</w:t>
      </w:r>
      <w:r w:rsidRPr="009655F8">
        <w:rPr>
          <w:rFonts w:ascii="Arial" w:hAnsi="Arial" w:cs="Arial"/>
          <w:sz w:val="28"/>
          <w:szCs w:val="28"/>
        </w:rPr>
        <w:t xml:space="preserve"> primer párrafo</w:t>
      </w:r>
      <w:r w:rsidR="00D350D7" w:rsidRPr="009655F8">
        <w:rPr>
          <w:rFonts w:ascii="Arial" w:hAnsi="Arial" w:cs="Arial"/>
          <w:sz w:val="28"/>
          <w:szCs w:val="28"/>
        </w:rPr>
        <w:t>,</w:t>
      </w:r>
      <w:r w:rsidRPr="009655F8">
        <w:rPr>
          <w:rFonts w:ascii="Arial" w:hAnsi="Arial" w:cs="Arial"/>
          <w:sz w:val="28"/>
          <w:szCs w:val="28"/>
        </w:rPr>
        <w:t xml:space="preserve"> del Código Procesal Administrativo pa</w:t>
      </w:r>
      <w:r w:rsidR="001F02EC" w:rsidRPr="009655F8">
        <w:rPr>
          <w:rFonts w:ascii="Arial" w:hAnsi="Arial" w:cs="Arial"/>
          <w:sz w:val="28"/>
          <w:szCs w:val="28"/>
        </w:rPr>
        <w:t>ra el Estado de San Luis Potosí.</w:t>
      </w:r>
    </w:p>
    <w:p w14:paraId="29E9F734" w14:textId="77777777" w:rsidR="009655F8" w:rsidRPr="009655F8" w:rsidRDefault="009655F8" w:rsidP="009655F8">
      <w:pPr>
        <w:spacing w:after="0" w:line="360" w:lineRule="auto"/>
        <w:ind w:firstLine="851"/>
        <w:jc w:val="both"/>
        <w:rPr>
          <w:rFonts w:ascii="Arial" w:hAnsi="Arial" w:cs="Arial"/>
          <w:sz w:val="28"/>
          <w:szCs w:val="28"/>
        </w:rPr>
      </w:pPr>
    </w:p>
    <w:p w14:paraId="365D0C91" w14:textId="77777777" w:rsidR="007A4DA0" w:rsidRDefault="007A4DA0" w:rsidP="009655F8">
      <w:pPr>
        <w:spacing w:after="0" w:line="360" w:lineRule="auto"/>
        <w:ind w:firstLine="851"/>
        <w:jc w:val="both"/>
        <w:rPr>
          <w:rFonts w:ascii="Arial" w:hAnsi="Arial" w:cs="Arial"/>
          <w:sz w:val="28"/>
          <w:szCs w:val="28"/>
        </w:rPr>
      </w:pPr>
      <w:r w:rsidRPr="009655F8">
        <w:rPr>
          <w:rFonts w:ascii="Arial" w:hAnsi="Arial" w:cs="Arial"/>
          <w:sz w:val="28"/>
          <w:szCs w:val="28"/>
        </w:rPr>
        <w:t xml:space="preserve">Su personalidad como autorizada en términos del artículo 28 del Código Procesal Administrativo para el Estado de </w:t>
      </w:r>
      <w:r w:rsidR="001F02EC" w:rsidRPr="009655F8">
        <w:rPr>
          <w:rFonts w:ascii="Arial" w:hAnsi="Arial" w:cs="Arial"/>
          <w:sz w:val="28"/>
          <w:szCs w:val="28"/>
        </w:rPr>
        <w:t xml:space="preserve">San Luis Potosí </w:t>
      </w:r>
      <w:r w:rsidRPr="009655F8">
        <w:rPr>
          <w:rFonts w:ascii="Arial" w:hAnsi="Arial" w:cs="Arial"/>
          <w:sz w:val="28"/>
          <w:szCs w:val="28"/>
        </w:rPr>
        <w:t>fue reconocida en los autos</w:t>
      </w:r>
      <w:r w:rsidR="003A7186" w:rsidRPr="009655F8">
        <w:rPr>
          <w:rFonts w:ascii="Arial" w:hAnsi="Arial" w:cs="Arial"/>
          <w:sz w:val="28"/>
          <w:szCs w:val="28"/>
        </w:rPr>
        <w:t xml:space="preserve"> de origen mediante acuerdo de once de septiembre de dos mil veinte</w:t>
      </w:r>
      <w:r w:rsidRPr="009655F8">
        <w:rPr>
          <w:rFonts w:ascii="Arial" w:hAnsi="Arial" w:cs="Arial"/>
          <w:sz w:val="28"/>
          <w:szCs w:val="28"/>
        </w:rPr>
        <w:t xml:space="preserve"> (fojas </w:t>
      </w:r>
      <w:r w:rsidR="003A7186" w:rsidRPr="009655F8">
        <w:rPr>
          <w:rFonts w:ascii="Arial" w:hAnsi="Arial" w:cs="Arial"/>
          <w:sz w:val="28"/>
          <w:szCs w:val="28"/>
        </w:rPr>
        <w:t>103 a 105</w:t>
      </w:r>
      <w:r w:rsidR="006F533F" w:rsidRPr="009655F8">
        <w:rPr>
          <w:rFonts w:ascii="Arial" w:hAnsi="Arial" w:cs="Arial"/>
          <w:sz w:val="28"/>
          <w:szCs w:val="28"/>
        </w:rPr>
        <w:t xml:space="preserve"> del expediente de origen</w:t>
      </w:r>
      <w:r w:rsidRPr="009655F8">
        <w:rPr>
          <w:rFonts w:ascii="Arial" w:hAnsi="Arial" w:cs="Arial"/>
          <w:sz w:val="28"/>
          <w:szCs w:val="28"/>
        </w:rPr>
        <w:t>)</w:t>
      </w:r>
      <w:r w:rsidR="001F02EC" w:rsidRPr="009655F8">
        <w:rPr>
          <w:rFonts w:ascii="Arial" w:hAnsi="Arial" w:cs="Arial"/>
          <w:sz w:val="28"/>
          <w:szCs w:val="28"/>
        </w:rPr>
        <w:t>.</w:t>
      </w:r>
    </w:p>
    <w:p w14:paraId="0FBD49B4" w14:textId="77777777" w:rsidR="009655F8" w:rsidRPr="009655F8" w:rsidRDefault="009655F8" w:rsidP="009655F8">
      <w:pPr>
        <w:spacing w:after="0" w:line="360" w:lineRule="auto"/>
        <w:ind w:firstLine="851"/>
        <w:jc w:val="both"/>
        <w:rPr>
          <w:rFonts w:ascii="Arial" w:hAnsi="Arial" w:cs="Arial"/>
          <w:sz w:val="28"/>
          <w:szCs w:val="28"/>
        </w:rPr>
      </w:pPr>
    </w:p>
    <w:p w14:paraId="2AB7F875" w14:textId="10B1DF71" w:rsidR="00D0308A" w:rsidRDefault="00283888" w:rsidP="009655F8">
      <w:pPr>
        <w:spacing w:after="0" w:line="360" w:lineRule="auto"/>
        <w:ind w:firstLine="851"/>
        <w:jc w:val="both"/>
        <w:rPr>
          <w:rFonts w:ascii="Arial" w:hAnsi="Arial" w:cs="Arial"/>
          <w:sz w:val="28"/>
          <w:szCs w:val="28"/>
        </w:rPr>
      </w:pPr>
      <w:r w:rsidRPr="009655F8">
        <w:rPr>
          <w:rFonts w:ascii="Arial" w:hAnsi="Arial" w:cs="Arial"/>
          <w:b/>
          <w:sz w:val="28"/>
          <w:szCs w:val="28"/>
        </w:rPr>
        <w:t>CUARTO. Oportunidad.</w:t>
      </w:r>
      <w:r w:rsidRPr="009655F8">
        <w:rPr>
          <w:rFonts w:ascii="Arial" w:hAnsi="Arial" w:cs="Arial"/>
          <w:sz w:val="28"/>
          <w:szCs w:val="28"/>
        </w:rPr>
        <w:t xml:space="preserve"> </w:t>
      </w:r>
      <w:r w:rsidR="00222442" w:rsidRPr="009655F8">
        <w:rPr>
          <w:rFonts w:ascii="Arial" w:hAnsi="Arial" w:cs="Arial"/>
          <w:sz w:val="28"/>
          <w:szCs w:val="28"/>
        </w:rPr>
        <w:t xml:space="preserve">El recurso de apelación fue presentado dentro del plazo de quince días que para tal efecto señala el artículo 153 del </w:t>
      </w:r>
      <w:r w:rsidR="00222442" w:rsidRPr="009655F8">
        <w:rPr>
          <w:rFonts w:ascii="Arial" w:hAnsi="Arial" w:cs="Arial"/>
          <w:bCs/>
          <w:color w:val="000000"/>
          <w:sz w:val="28"/>
          <w:szCs w:val="28"/>
        </w:rPr>
        <w:t>Código Procesal Administrativo para el Estado de San Luis Potosí</w:t>
      </w:r>
      <w:r w:rsidR="00222442" w:rsidRPr="009655F8">
        <w:rPr>
          <w:rFonts w:ascii="Arial" w:hAnsi="Arial" w:cs="Arial"/>
          <w:sz w:val="28"/>
          <w:szCs w:val="28"/>
        </w:rPr>
        <w:t>, toda vez que la sentencia recurrida fue notificada a</w:t>
      </w:r>
      <w:r w:rsidR="00385722" w:rsidRPr="009655F8">
        <w:rPr>
          <w:rFonts w:ascii="Arial" w:hAnsi="Arial" w:cs="Arial"/>
          <w:sz w:val="28"/>
          <w:szCs w:val="28"/>
        </w:rPr>
        <w:t xml:space="preserve"> </w:t>
      </w:r>
      <w:r w:rsidR="00AF5037" w:rsidRPr="009655F8">
        <w:rPr>
          <w:rFonts w:ascii="Arial" w:hAnsi="Arial" w:cs="Arial"/>
          <w:sz w:val="28"/>
          <w:szCs w:val="28"/>
        </w:rPr>
        <w:t>la</w:t>
      </w:r>
      <w:r w:rsidR="006F533F" w:rsidRPr="009655F8">
        <w:rPr>
          <w:rFonts w:ascii="Arial" w:hAnsi="Arial" w:cs="Arial"/>
          <w:sz w:val="28"/>
          <w:szCs w:val="28"/>
        </w:rPr>
        <w:t xml:space="preserve"> </w:t>
      </w:r>
      <w:r w:rsidR="00462706" w:rsidRPr="009655F8">
        <w:rPr>
          <w:rFonts w:ascii="Arial" w:hAnsi="Arial" w:cs="Arial"/>
          <w:sz w:val="28"/>
          <w:szCs w:val="28"/>
        </w:rPr>
        <w:t xml:space="preserve">parte </w:t>
      </w:r>
      <w:r w:rsidR="006F533F" w:rsidRPr="009655F8">
        <w:rPr>
          <w:rFonts w:ascii="Arial" w:hAnsi="Arial" w:cs="Arial"/>
          <w:sz w:val="28"/>
          <w:szCs w:val="28"/>
        </w:rPr>
        <w:t>actora</w:t>
      </w:r>
      <w:r w:rsidR="005B340F" w:rsidRPr="009655F8">
        <w:rPr>
          <w:rFonts w:ascii="Arial" w:hAnsi="Arial" w:cs="Arial"/>
          <w:sz w:val="28"/>
          <w:szCs w:val="28"/>
        </w:rPr>
        <w:t xml:space="preserve"> </w:t>
      </w:r>
      <w:r w:rsidR="00222442" w:rsidRPr="009655F8">
        <w:rPr>
          <w:rFonts w:ascii="Arial" w:hAnsi="Arial" w:cs="Arial"/>
          <w:sz w:val="28"/>
          <w:szCs w:val="28"/>
        </w:rPr>
        <w:t>el</w:t>
      </w:r>
      <w:r w:rsidR="00462706" w:rsidRPr="009655F8">
        <w:rPr>
          <w:rFonts w:ascii="Arial" w:hAnsi="Arial" w:cs="Arial"/>
          <w:sz w:val="28"/>
          <w:szCs w:val="28"/>
        </w:rPr>
        <w:t xml:space="preserve"> </w:t>
      </w:r>
      <w:r w:rsidR="001F02EC" w:rsidRPr="009655F8">
        <w:rPr>
          <w:rFonts w:ascii="Arial" w:hAnsi="Arial" w:cs="Arial"/>
          <w:b/>
          <w:color w:val="0000FF"/>
          <w:sz w:val="28"/>
          <w:szCs w:val="28"/>
        </w:rPr>
        <w:t xml:space="preserve">quince de </w:t>
      </w:r>
      <w:r w:rsidR="006F533F" w:rsidRPr="009655F8">
        <w:rPr>
          <w:rFonts w:ascii="Arial" w:hAnsi="Arial" w:cs="Arial"/>
          <w:b/>
          <w:color w:val="0000FF"/>
          <w:sz w:val="28"/>
          <w:szCs w:val="28"/>
        </w:rPr>
        <w:t>octubre</w:t>
      </w:r>
      <w:r w:rsidR="001F02EC" w:rsidRPr="009655F8">
        <w:rPr>
          <w:rFonts w:ascii="Arial" w:hAnsi="Arial" w:cs="Arial"/>
          <w:b/>
          <w:color w:val="0000FF"/>
          <w:sz w:val="28"/>
          <w:szCs w:val="28"/>
        </w:rPr>
        <w:t xml:space="preserve"> </w:t>
      </w:r>
      <w:r w:rsidR="00222442" w:rsidRPr="009655F8">
        <w:rPr>
          <w:rFonts w:ascii="Arial" w:hAnsi="Arial" w:cs="Arial"/>
          <w:b/>
          <w:color w:val="0000FF"/>
          <w:sz w:val="28"/>
          <w:szCs w:val="28"/>
        </w:rPr>
        <w:t xml:space="preserve">de dos </w:t>
      </w:r>
      <w:r w:rsidR="00F55863" w:rsidRPr="009655F8">
        <w:rPr>
          <w:rFonts w:ascii="Arial" w:hAnsi="Arial" w:cs="Arial"/>
          <w:b/>
          <w:color w:val="0000FF"/>
          <w:sz w:val="28"/>
          <w:szCs w:val="28"/>
        </w:rPr>
        <w:t xml:space="preserve">mil </w:t>
      </w:r>
      <w:r w:rsidR="00AF5037" w:rsidRPr="009655F8">
        <w:rPr>
          <w:rFonts w:ascii="Arial" w:hAnsi="Arial" w:cs="Arial"/>
          <w:b/>
          <w:color w:val="0000FF"/>
          <w:sz w:val="28"/>
          <w:szCs w:val="28"/>
        </w:rPr>
        <w:t>veint</w:t>
      </w:r>
      <w:r w:rsidR="001F02EC" w:rsidRPr="009655F8">
        <w:rPr>
          <w:rFonts w:ascii="Arial" w:hAnsi="Arial" w:cs="Arial"/>
          <w:b/>
          <w:color w:val="0000FF"/>
          <w:sz w:val="28"/>
          <w:szCs w:val="28"/>
        </w:rPr>
        <w:t>iuno</w:t>
      </w:r>
      <w:r w:rsidR="00222442" w:rsidRPr="009655F8">
        <w:rPr>
          <w:rFonts w:ascii="Arial" w:hAnsi="Arial" w:cs="Arial"/>
          <w:sz w:val="28"/>
          <w:szCs w:val="28"/>
        </w:rPr>
        <w:t xml:space="preserve"> (según se advierte en la foja </w:t>
      </w:r>
      <w:r w:rsidR="006F533F" w:rsidRPr="009655F8">
        <w:rPr>
          <w:rFonts w:ascii="Arial" w:hAnsi="Arial" w:cs="Arial"/>
          <w:sz w:val="28"/>
          <w:szCs w:val="28"/>
        </w:rPr>
        <w:t>433</w:t>
      </w:r>
      <w:r w:rsidR="00222442" w:rsidRPr="009655F8">
        <w:rPr>
          <w:rFonts w:ascii="Arial" w:hAnsi="Arial" w:cs="Arial"/>
          <w:sz w:val="28"/>
          <w:szCs w:val="28"/>
        </w:rPr>
        <w:t xml:space="preserve">), por lo que en términos del artículo 40 del mismo </w:t>
      </w:r>
      <w:r w:rsidR="00462706" w:rsidRPr="009655F8">
        <w:rPr>
          <w:rFonts w:ascii="Arial" w:hAnsi="Arial" w:cs="Arial"/>
          <w:sz w:val="28"/>
          <w:szCs w:val="28"/>
        </w:rPr>
        <w:t xml:space="preserve">Código Procesal </w:t>
      </w:r>
      <w:r w:rsidR="00222442" w:rsidRPr="009655F8">
        <w:rPr>
          <w:rFonts w:ascii="Arial" w:hAnsi="Arial" w:cs="Arial"/>
          <w:sz w:val="28"/>
          <w:szCs w:val="28"/>
        </w:rPr>
        <w:t>dicha n</w:t>
      </w:r>
      <w:r w:rsidR="00D0308A" w:rsidRPr="009655F8">
        <w:rPr>
          <w:rFonts w:ascii="Arial" w:hAnsi="Arial" w:cs="Arial"/>
          <w:sz w:val="28"/>
          <w:szCs w:val="28"/>
        </w:rPr>
        <w:t xml:space="preserve">otificación surtió efectos el </w:t>
      </w:r>
      <w:r w:rsidR="001F02EC" w:rsidRPr="009655F8">
        <w:rPr>
          <w:rFonts w:ascii="Arial" w:hAnsi="Arial" w:cs="Arial"/>
          <w:color w:val="0000FF"/>
          <w:sz w:val="28"/>
          <w:szCs w:val="28"/>
        </w:rPr>
        <w:t>dieci</w:t>
      </w:r>
      <w:r w:rsidR="006F533F" w:rsidRPr="009655F8">
        <w:rPr>
          <w:rFonts w:ascii="Arial" w:hAnsi="Arial" w:cs="Arial"/>
          <w:color w:val="0000FF"/>
          <w:sz w:val="28"/>
          <w:szCs w:val="28"/>
        </w:rPr>
        <w:t>ocho</w:t>
      </w:r>
      <w:r w:rsidR="00197449" w:rsidRPr="009655F8">
        <w:rPr>
          <w:rFonts w:ascii="Arial" w:hAnsi="Arial" w:cs="Arial"/>
          <w:color w:val="0000FF"/>
          <w:sz w:val="28"/>
          <w:szCs w:val="28"/>
        </w:rPr>
        <w:t xml:space="preserve"> </w:t>
      </w:r>
      <w:r w:rsidR="005B340F" w:rsidRPr="009655F8">
        <w:rPr>
          <w:rFonts w:ascii="Arial" w:hAnsi="Arial" w:cs="Arial"/>
          <w:color w:val="0000FF"/>
          <w:sz w:val="28"/>
          <w:szCs w:val="28"/>
        </w:rPr>
        <w:t>del mismo mes y año</w:t>
      </w:r>
      <w:r w:rsidR="00F55863" w:rsidRPr="009655F8">
        <w:rPr>
          <w:rFonts w:ascii="Arial" w:hAnsi="Arial" w:cs="Arial"/>
          <w:sz w:val="28"/>
          <w:szCs w:val="28"/>
        </w:rPr>
        <w:t>,</w:t>
      </w:r>
      <w:r w:rsidR="00222442" w:rsidRPr="009655F8">
        <w:rPr>
          <w:rFonts w:ascii="Arial" w:hAnsi="Arial" w:cs="Arial"/>
          <w:sz w:val="28"/>
          <w:szCs w:val="28"/>
        </w:rPr>
        <w:t xml:space="preserve"> de manera que el plazo de interposición transcurrió del</w:t>
      </w:r>
      <w:r w:rsidR="00462706" w:rsidRPr="009655F8">
        <w:rPr>
          <w:rFonts w:ascii="Arial" w:hAnsi="Arial" w:cs="Arial"/>
          <w:sz w:val="28"/>
          <w:szCs w:val="28"/>
        </w:rPr>
        <w:t xml:space="preserve"> </w:t>
      </w:r>
      <w:r w:rsidR="001F02EC" w:rsidRPr="009655F8">
        <w:rPr>
          <w:rFonts w:ascii="Arial" w:hAnsi="Arial" w:cs="Arial"/>
          <w:b/>
          <w:color w:val="0000FF"/>
          <w:sz w:val="28"/>
          <w:szCs w:val="28"/>
        </w:rPr>
        <w:t>diecinueve</w:t>
      </w:r>
      <w:r w:rsidR="00197449" w:rsidRPr="009655F8">
        <w:rPr>
          <w:rFonts w:ascii="Arial" w:hAnsi="Arial" w:cs="Arial"/>
          <w:b/>
          <w:color w:val="0000FF"/>
          <w:sz w:val="28"/>
          <w:szCs w:val="28"/>
        </w:rPr>
        <w:t xml:space="preserve"> de </w:t>
      </w:r>
      <w:r w:rsidR="006F533F" w:rsidRPr="009655F8">
        <w:rPr>
          <w:rFonts w:ascii="Arial" w:hAnsi="Arial" w:cs="Arial"/>
          <w:b/>
          <w:color w:val="0000FF"/>
          <w:sz w:val="28"/>
          <w:szCs w:val="28"/>
        </w:rPr>
        <w:t>octubre</w:t>
      </w:r>
      <w:r w:rsidR="00B5293F" w:rsidRPr="009655F8">
        <w:rPr>
          <w:rFonts w:ascii="Arial" w:hAnsi="Arial" w:cs="Arial"/>
          <w:b/>
          <w:color w:val="0000FF"/>
          <w:sz w:val="28"/>
          <w:szCs w:val="28"/>
        </w:rPr>
        <w:t xml:space="preserve"> al </w:t>
      </w:r>
      <w:r w:rsidR="001F02EC" w:rsidRPr="009655F8">
        <w:rPr>
          <w:rFonts w:ascii="Arial" w:hAnsi="Arial" w:cs="Arial"/>
          <w:b/>
          <w:color w:val="0000FF"/>
          <w:sz w:val="28"/>
          <w:szCs w:val="28"/>
        </w:rPr>
        <w:t xml:space="preserve">once de </w:t>
      </w:r>
      <w:r w:rsidR="006F533F" w:rsidRPr="009655F8">
        <w:rPr>
          <w:rFonts w:ascii="Arial" w:hAnsi="Arial" w:cs="Arial"/>
          <w:b/>
          <w:color w:val="0000FF"/>
          <w:sz w:val="28"/>
          <w:szCs w:val="28"/>
        </w:rPr>
        <w:t>noviembre</w:t>
      </w:r>
      <w:r w:rsidR="001F02EC" w:rsidRPr="009655F8">
        <w:rPr>
          <w:rFonts w:ascii="Arial" w:hAnsi="Arial" w:cs="Arial"/>
          <w:b/>
          <w:color w:val="0000FF"/>
          <w:sz w:val="28"/>
          <w:szCs w:val="28"/>
        </w:rPr>
        <w:t xml:space="preserve"> </w:t>
      </w:r>
      <w:r w:rsidR="00222442" w:rsidRPr="009655F8">
        <w:rPr>
          <w:rFonts w:ascii="Arial" w:hAnsi="Arial" w:cs="Arial"/>
          <w:b/>
          <w:color w:val="0000FF"/>
          <w:sz w:val="28"/>
          <w:szCs w:val="28"/>
        </w:rPr>
        <w:t>de</w:t>
      </w:r>
      <w:r w:rsidR="00462706" w:rsidRPr="009655F8">
        <w:rPr>
          <w:rFonts w:ascii="Arial" w:hAnsi="Arial" w:cs="Arial"/>
          <w:b/>
          <w:color w:val="0000FF"/>
          <w:sz w:val="28"/>
          <w:szCs w:val="28"/>
        </w:rPr>
        <w:t>l citado año</w:t>
      </w:r>
      <w:r w:rsidR="00222442" w:rsidRPr="009655F8">
        <w:rPr>
          <w:rFonts w:ascii="Arial" w:hAnsi="Arial" w:cs="Arial"/>
          <w:b/>
          <w:sz w:val="28"/>
          <w:szCs w:val="28"/>
        </w:rPr>
        <w:t>;</w:t>
      </w:r>
      <w:r w:rsidR="00D0308A" w:rsidRPr="009655F8">
        <w:rPr>
          <w:rFonts w:ascii="Arial" w:hAnsi="Arial" w:cs="Arial"/>
          <w:sz w:val="28"/>
          <w:szCs w:val="28"/>
        </w:rPr>
        <w:t xml:space="preserve"> ya que en ese lapso no </w:t>
      </w:r>
      <w:r w:rsidR="00BA12D8" w:rsidRPr="009655F8">
        <w:rPr>
          <w:rFonts w:ascii="Arial" w:hAnsi="Arial" w:cs="Arial"/>
          <w:sz w:val="28"/>
          <w:szCs w:val="28"/>
        </w:rPr>
        <w:t xml:space="preserve">se </w:t>
      </w:r>
      <w:r w:rsidR="00D0308A" w:rsidRPr="009655F8">
        <w:rPr>
          <w:rFonts w:ascii="Arial" w:hAnsi="Arial" w:cs="Arial"/>
          <w:sz w:val="28"/>
          <w:szCs w:val="28"/>
        </w:rPr>
        <w:t xml:space="preserve">deben contar los días </w:t>
      </w:r>
      <w:r w:rsidR="001F02EC" w:rsidRPr="009655F8">
        <w:rPr>
          <w:rFonts w:ascii="Arial" w:hAnsi="Arial" w:cs="Arial"/>
          <w:color w:val="0000FF"/>
          <w:sz w:val="28"/>
          <w:szCs w:val="28"/>
        </w:rPr>
        <w:t>veinti</w:t>
      </w:r>
      <w:r w:rsidR="006F533F" w:rsidRPr="009655F8">
        <w:rPr>
          <w:rFonts w:ascii="Arial" w:hAnsi="Arial" w:cs="Arial"/>
          <w:color w:val="0000FF"/>
          <w:sz w:val="28"/>
          <w:szCs w:val="28"/>
        </w:rPr>
        <w:t>trés</w:t>
      </w:r>
      <w:r w:rsidR="006F533F" w:rsidRPr="009655F8">
        <w:rPr>
          <w:rFonts w:ascii="Arial" w:hAnsi="Arial" w:cs="Arial"/>
          <w:sz w:val="28"/>
          <w:szCs w:val="28"/>
        </w:rPr>
        <w:t>,</w:t>
      </w:r>
      <w:r w:rsidR="00D0308A" w:rsidRPr="009655F8">
        <w:rPr>
          <w:rFonts w:ascii="Arial" w:hAnsi="Arial" w:cs="Arial"/>
          <w:sz w:val="28"/>
          <w:szCs w:val="28"/>
        </w:rPr>
        <w:t xml:space="preserve"> </w:t>
      </w:r>
      <w:r w:rsidR="001F02EC" w:rsidRPr="009655F8">
        <w:rPr>
          <w:rFonts w:ascii="Arial" w:hAnsi="Arial" w:cs="Arial"/>
          <w:color w:val="0000FF"/>
          <w:sz w:val="28"/>
          <w:szCs w:val="28"/>
        </w:rPr>
        <w:t>veintic</w:t>
      </w:r>
      <w:r w:rsidR="006F533F" w:rsidRPr="009655F8">
        <w:rPr>
          <w:rFonts w:ascii="Arial" w:hAnsi="Arial" w:cs="Arial"/>
          <w:color w:val="0000FF"/>
          <w:sz w:val="28"/>
          <w:szCs w:val="28"/>
        </w:rPr>
        <w:t>uatro</w:t>
      </w:r>
      <w:r w:rsidR="006F533F" w:rsidRPr="009655F8">
        <w:rPr>
          <w:rFonts w:ascii="Arial" w:hAnsi="Arial" w:cs="Arial"/>
          <w:sz w:val="28"/>
          <w:szCs w:val="28"/>
        </w:rPr>
        <w:t xml:space="preserve">, </w:t>
      </w:r>
      <w:r w:rsidR="006F533F" w:rsidRPr="009655F8">
        <w:rPr>
          <w:rFonts w:ascii="Arial" w:hAnsi="Arial" w:cs="Arial"/>
          <w:color w:val="0000FF"/>
          <w:sz w:val="28"/>
          <w:szCs w:val="28"/>
        </w:rPr>
        <w:t>veintinueve</w:t>
      </w:r>
      <w:r w:rsidR="00462706" w:rsidRPr="009655F8">
        <w:rPr>
          <w:rFonts w:ascii="Arial" w:hAnsi="Arial" w:cs="Arial"/>
          <w:sz w:val="28"/>
          <w:szCs w:val="28"/>
        </w:rPr>
        <w:t>,</w:t>
      </w:r>
      <w:r w:rsidR="00BD29CB" w:rsidRPr="009655F8">
        <w:rPr>
          <w:rStyle w:val="Refdenotaalpie"/>
          <w:rFonts w:ascii="Arial" w:hAnsi="Arial" w:cs="Arial"/>
          <w:sz w:val="28"/>
          <w:szCs w:val="28"/>
        </w:rPr>
        <w:footnoteReference w:id="7"/>
      </w:r>
      <w:r w:rsidR="006F533F" w:rsidRPr="009655F8">
        <w:rPr>
          <w:rFonts w:ascii="Arial" w:hAnsi="Arial" w:cs="Arial"/>
          <w:sz w:val="28"/>
          <w:szCs w:val="28"/>
        </w:rPr>
        <w:t xml:space="preserve"> </w:t>
      </w:r>
      <w:r w:rsidR="006F533F" w:rsidRPr="009655F8">
        <w:rPr>
          <w:rFonts w:ascii="Arial" w:hAnsi="Arial" w:cs="Arial"/>
          <w:color w:val="0000FF"/>
          <w:sz w:val="28"/>
          <w:szCs w:val="28"/>
        </w:rPr>
        <w:t>treinta</w:t>
      </w:r>
      <w:r w:rsidR="006F533F" w:rsidRPr="009655F8">
        <w:rPr>
          <w:rFonts w:ascii="Arial" w:hAnsi="Arial" w:cs="Arial"/>
          <w:sz w:val="28"/>
          <w:szCs w:val="28"/>
        </w:rPr>
        <w:t xml:space="preserve"> y </w:t>
      </w:r>
      <w:r w:rsidR="006F533F" w:rsidRPr="009655F8">
        <w:rPr>
          <w:rFonts w:ascii="Arial" w:hAnsi="Arial" w:cs="Arial"/>
          <w:color w:val="0000FF"/>
          <w:sz w:val="28"/>
          <w:szCs w:val="28"/>
        </w:rPr>
        <w:t>treinta y uno de octubre</w:t>
      </w:r>
      <w:r w:rsidR="001F02EC" w:rsidRPr="009655F8">
        <w:rPr>
          <w:rFonts w:ascii="Arial" w:hAnsi="Arial" w:cs="Arial"/>
          <w:sz w:val="28"/>
          <w:szCs w:val="28"/>
        </w:rPr>
        <w:t xml:space="preserve">, así como </w:t>
      </w:r>
      <w:r w:rsidR="00462706" w:rsidRPr="009655F8">
        <w:rPr>
          <w:rFonts w:ascii="Arial" w:hAnsi="Arial" w:cs="Arial"/>
          <w:sz w:val="28"/>
          <w:szCs w:val="28"/>
        </w:rPr>
        <w:t xml:space="preserve">el </w:t>
      </w:r>
      <w:r w:rsidR="001F02EC" w:rsidRPr="009655F8">
        <w:rPr>
          <w:rFonts w:ascii="Arial" w:hAnsi="Arial" w:cs="Arial"/>
          <w:color w:val="0000FF"/>
          <w:sz w:val="28"/>
          <w:szCs w:val="28"/>
        </w:rPr>
        <w:t>uno</w:t>
      </w:r>
      <w:r w:rsidR="00D0308A" w:rsidRPr="009655F8">
        <w:rPr>
          <w:rFonts w:ascii="Arial" w:hAnsi="Arial" w:cs="Arial"/>
          <w:sz w:val="28"/>
          <w:szCs w:val="28"/>
        </w:rPr>
        <w:t xml:space="preserve">, </w:t>
      </w:r>
      <w:r w:rsidR="001F02EC" w:rsidRPr="009655F8">
        <w:rPr>
          <w:rFonts w:ascii="Arial" w:hAnsi="Arial" w:cs="Arial"/>
          <w:color w:val="0000FF"/>
          <w:sz w:val="28"/>
          <w:szCs w:val="28"/>
        </w:rPr>
        <w:t>dos</w:t>
      </w:r>
      <w:r w:rsidR="00462706" w:rsidRPr="009655F8">
        <w:rPr>
          <w:rFonts w:ascii="Arial" w:hAnsi="Arial" w:cs="Arial"/>
          <w:sz w:val="28"/>
          <w:szCs w:val="28"/>
        </w:rPr>
        <w:t>,</w:t>
      </w:r>
      <w:r w:rsidR="00BD29CB" w:rsidRPr="009655F8">
        <w:rPr>
          <w:rStyle w:val="Refdenotaalpie"/>
          <w:rFonts w:ascii="Arial" w:hAnsi="Arial" w:cs="Arial"/>
          <w:sz w:val="28"/>
          <w:szCs w:val="28"/>
        </w:rPr>
        <w:footnoteReference w:id="8"/>
      </w:r>
      <w:r w:rsidR="00015A30" w:rsidRPr="009655F8">
        <w:rPr>
          <w:rFonts w:ascii="Arial" w:hAnsi="Arial" w:cs="Arial"/>
          <w:sz w:val="28"/>
          <w:szCs w:val="28"/>
        </w:rPr>
        <w:t xml:space="preserve"> </w:t>
      </w:r>
      <w:r w:rsidR="006F533F" w:rsidRPr="009655F8">
        <w:rPr>
          <w:rFonts w:ascii="Arial" w:hAnsi="Arial" w:cs="Arial"/>
          <w:color w:val="0000FF"/>
          <w:sz w:val="28"/>
          <w:szCs w:val="28"/>
        </w:rPr>
        <w:t>seis</w:t>
      </w:r>
      <w:r w:rsidR="006F533F" w:rsidRPr="009655F8">
        <w:rPr>
          <w:rFonts w:ascii="Arial" w:hAnsi="Arial" w:cs="Arial"/>
          <w:sz w:val="28"/>
          <w:szCs w:val="28"/>
        </w:rPr>
        <w:t xml:space="preserve"> y</w:t>
      </w:r>
      <w:r w:rsidR="00385722" w:rsidRPr="009655F8">
        <w:rPr>
          <w:rFonts w:ascii="Arial" w:hAnsi="Arial" w:cs="Arial"/>
          <w:sz w:val="28"/>
          <w:szCs w:val="28"/>
        </w:rPr>
        <w:t xml:space="preserve"> </w:t>
      </w:r>
      <w:r w:rsidR="006F533F" w:rsidRPr="009655F8">
        <w:rPr>
          <w:rFonts w:ascii="Arial" w:hAnsi="Arial" w:cs="Arial"/>
          <w:color w:val="0000FF"/>
          <w:sz w:val="28"/>
          <w:szCs w:val="28"/>
        </w:rPr>
        <w:t xml:space="preserve">siete </w:t>
      </w:r>
      <w:r w:rsidR="001F02EC" w:rsidRPr="009655F8">
        <w:rPr>
          <w:rFonts w:ascii="Arial" w:hAnsi="Arial" w:cs="Arial"/>
          <w:color w:val="0000FF"/>
          <w:sz w:val="28"/>
          <w:szCs w:val="28"/>
        </w:rPr>
        <w:t xml:space="preserve">de </w:t>
      </w:r>
      <w:r w:rsidR="006F533F" w:rsidRPr="009655F8">
        <w:rPr>
          <w:rFonts w:ascii="Arial" w:hAnsi="Arial" w:cs="Arial"/>
          <w:color w:val="0000FF"/>
          <w:sz w:val="28"/>
          <w:szCs w:val="28"/>
        </w:rPr>
        <w:t>noviembre</w:t>
      </w:r>
      <w:r w:rsidR="00462706" w:rsidRPr="009655F8">
        <w:rPr>
          <w:rFonts w:ascii="Arial" w:hAnsi="Arial" w:cs="Arial"/>
          <w:sz w:val="28"/>
          <w:szCs w:val="28"/>
        </w:rPr>
        <w:t>, todos</w:t>
      </w:r>
      <w:r w:rsidR="006F533F" w:rsidRPr="009655F8">
        <w:rPr>
          <w:rFonts w:ascii="Arial" w:hAnsi="Arial" w:cs="Arial"/>
          <w:sz w:val="28"/>
          <w:szCs w:val="28"/>
        </w:rPr>
        <w:t xml:space="preserve"> </w:t>
      </w:r>
      <w:r w:rsidR="00462706" w:rsidRPr="009655F8">
        <w:rPr>
          <w:rFonts w:ascii="Arial" w:hAnsi="Arial" w:cs="Arial"/>
          <w:sz w:val="28"/>
          <w:szCs w:val="28"/>
        </w:rPr>
        <w:t>del referido año,</w:t>
      </w:r>
      <w:r w:rsidR="00BA12D8" w:rsidRPr="009655F8">
        <w:rPr>
          <w:rFonts w:ascii="Arial" w:hAnsi="Arial" w:cs="Arial"/>
          <w:sz w:val="28"/>
          <w:szCs w:val="28"/>
        </w:rPr>
        <w:t xml:space="preserve"> por ser sábados y domingos, salvo los indicados como no laborables a pie de página</w:t>
      </w:r>
      <w:r w:rsidR="00D0308A" w:rsidRPr="009655F8">
        <w:rPr>
          <w:rFonts w:ascii="Arial" w:hAnsi="Arial" w:cs="Arial"/>
          <w:sz w:val="28"/>
          <w:szCs w:val="28"/>
        </w:rPr>
        <w:t xml:space="preserve">; por lo que si </w:t>
      </w:r>
      <w:r w:rsidR="00B5293F" w:rsidRPr="009655F8">
        <w:rPr>
          <w:rFonts w:ascii="Arial" w:hAnsi="Arial" w:cs="Arial"/>
          <w:sz w:val="28"/>
          <w:szCs w:val="28"/>
        </w:rPr>
        <w:t>el</w:t>
      </w:r>
      <w:r w:rsidR="00D0308A" w:rsidRPr="009655F8">
        <w:rPr>
          <w:rFonts w:ascii="Arial" w:hAnsi="Arial" w:cs="Arial"/>
          <w:sz w:val="28"/>
          <w:szCs w:val="28"/>
        </w:rPr>
        <w:t xml:space="preserve"> recurso de apelación se present</w:t>
      </w:r>
      <w:r w:rsidR="00B5293F" w:rsidRPr="009655F8">
        <w:rPr>
          <w:rFonts w:ascii="Arial" w:hAnsi="Arial" w:cs="Arial"/>
          <w:sz w:val="28"/>
          <w:szCs w:val="28"/>
        </w:rPr>
        <w:t>ó</w:t>
      </w:r>
      <w:r w:rsidR="00D0308A" w:rsidRPr="009655F8">
        <w:rPr>
          <w:rFonts w:ascii="Arial" w:hAnsi="Arial" w:cs="Arial"/>
          <w:sz w:val="28"/>
          <w:szCs w:val="28"/>
        </w:rPr>
        <w:t xml:space="preserve"> el </w:t>
      </w:r>
      <w:r w:rsidR="006F533F" w:rsidRPr="009655F8">
        <w:rPr>
          <w:rFonts w:ascii="Arial" w:hAnsi="Arial" w:cs="Arial"/>
          <w:b/>
          <w:color w:val="0000FF"/>
          <w:sz w:val="28"/>
          <w:szCs w:val="28"/>
        </w:rPr>
        <w:t>diez de noviembre d</w:t>
      </w:r>
      <w:r w:rsidR="001F02EC" w:rsidRPr="009655F8">
        <w:rPr>
          <w:rFonts w:ascii="Arial" w:hAnsi="Arial" w:cs="Arial"/>
          <w:b/>
          <w:color w:val="0000FF"/>
          <w:sz w:val="28"/>
          <w:szCs w:val="28"/>
        </w:rPr>
        <w:t>e</w:t>
      </w:r>
      <w:r w:rsidR="00462706" w:rsidRPr="009655F8">
        <w:rPr>
          <w:rFonts w:ascii="Arial" w:hAnsi="Arial" w:cs="Arial"/>
          <w:b/>
          <w:color w:val="0000FF"/>
          <w:sz w:val="28"/>
          <w:szCs w:val="28"/>
        </w:rPr>
        <w:t xml:space="preserve"> multicitada anualidad</w:t>
      </w:r>
      <w:r w:rsidR="00D0308A" w:rsidRPr="009655F8">
        <w:rPr>
          <w:rFonts w:ascii="Arial" w:hAnsi="Arial" w:cs="Arial"/>
          <w:b/>
          <w:sz w:val="28"/>
          <w:szCs w:val="28"/>
        </w:rPr>
        <w:t>,</w:t>
      </w:r>
      <w:r w:rsidR="00D0308A" w:rsidRPr="009655F8">
        <w:rPr>
          <w:rFonts w:ascii="Arial" w:hAnsi="Arial" w:cs="Arial"/>
          <w:sz w:val="28"/>
          <w:szCs w:val="28"/>
        </w:rPr>
        <w:t xml:space="preserve"> se interpuso con la debida oportunidad.</w:t>
      </w:r>
    </w:p>
    <w:p w14:paraId="6BC140A0" w14:textId="77777777" w:rsidR="009655F8" w:rsidRPr="009655F8" w:rsidRDefault="009655F8" w:rsidP="009655F8">
      <w:pPr>
        <w:spacing w:after="0" w:line="360" w:lineRule="auto"/>
        <w:ind w:firstLine="851"/>
        <w:jc w:val="both"/>
        <w:rPr>
          <w:rFonts w:ascii="Arial" w:hAnsi="Arial" w:cs="Arial"/>
          <w:sz w:val="28"/>
          <w:szCs w:val="28"/>
        </w:rPr>
      </w:pPr>
    </w:p>
    <w:p w14:paraId="6EC37BEA" w14:textId="757EBC04" w:rsidR="00093EF0" w:rsidRDefault="00465049" w:rsidP="009655F8">
      <w:pPr>
        <w:spacing w:after="0" w:line="360" w:lineRule="auto"/>
        <w:ind w:firstLine="851"/>
        <w:jc w:val="both"/>
        <w:rPr>
          <w:rFonts w:ascii="Arial" w:hAnsi="Arial" w:cs="Arial"/>
          <w:sz w:val="28"/>
          <w:szCs w:val="28"/>
        </w:rPr>
      </w:pPr>
      <w:r w:rsidRPr="009655F8">
        <w:rPr>
          <w:rFonts w:ascii="Arial" w:hAnsi="Arial" w:cs="Arial"/>
          <w:b/>
          <w:sz w:val="28"/>
          <w:szCs w:val="28"/>
        </w:rPr>
        <w:lastRenderedPageBreak/>
        <w:t>QUINTO.</w:t>
      </w:r>
      <w:r w:rsidR="0061224D" w:rsidRPr="009655F8">
        <w:rPr>
          <w:rFonts w:ascii="Arial" w:hAnsi="Arial" w:cs="Arial"/>
          <w:b/>
          <w:sz w:val="28"/>
          <w:szCs w:val="28"/>
        </w:rPr>
        <w:t xml:space="preserve"> Procedencia</w:t>
      </w:r>
      <w:r w:rsidR="00C3307D" w:rsidRPr="009655F8">
        <w:rPr>
          <w:rFonts w:ascii="Arial" w:hAnsi="Arial" w:cs="Arial"/>
          <w:b/>
          <w:sz w:val="28"/>
          <w:szCs w:val="28"/>
        </w:rPr>
        <w:t>.</w:t>
      </w:r>
      <w:r w:rsidR="00E508A2" w:rsidRPr="009655F8">
        <w:rPr>
          <w:rFonts w:ascii="Arial" w:hAnsi="Arial" w:cs="Arial"/>
          <w:sz w:val="28"/>
          <w:szCs w:val="28"/>
        </w:rPr>
        <w:t xml:space="preserve"> El recurso intentad</w:t>
      </w:r>
      <w:r w:rsidR="009B33A9" w:rsidRPr="009655F8">
        <w:rPr>
          <w:rFonts w:ascii="Arial" w:hAnsi="Arial" w:cs="Arial"/>
          <w:sz w:val="28"/>
          <w:szCs w:val="28"/>
        </w:rPr>
        <w:t>o</w:t>
      </w:r>
      <w:r w:rsidR="00E508A2" w:rsidRPr="009655F8">
        <w:rPr>
          <w:rFonts w:ascii="Arial" w:hAnsi="Arial" w:cs="Arial"/>
          <w:sz w:val="28"/>
          <w:szCs w:val="28"/>
        </w:rPr>
        <w:t xml:space="preserve"> resulta procedente en atención a que el monto de la Litis rebasa el que establece el art</w:t>
      </w:r>
      <w:r w:rsidR="003E0191" w:rsidRPr="009655F8">
        <w:rPr>
          <w:rFonts w:ascii="Arial" w:hAnsi="Arial" w:cs="Arial"/>
          <w:sz w:val="28"/>
          <w:szCs w:val="28"/>
        </w:rPr>
        <w:t>ículo 152</w:t>
      </w:r>
      <w:r w:rsidR="00BC6213" w:rsidRPr="009655F8">
        <w:rPr>
          <w:rFonts w:ascii="Arial" w:hAnsi="Arial" w:cs="Arial"/>
          <w:sz w:val="28"/>
          <w:szCs w:val="28"/>
        </w:rPr>
        <w:t>, fracción I</w:t>
      </w:r>
      <w:r w:rsidR="003E0191" w:rsidRPr="009655F8">
        <w:rPr>
          <w:rFonts w:ascii="Arial" w:hAnsi="Arial" w:cs="Arial"/>
          <w:sz w:val="28"/>
          <w:szCs w:val="28"/>
        </w:rPr>
        <w:t xml:space="preserve"> del Código Procesal Administrativo para el Estado de San Luis Potosí, que a la letra </w:t>
      </w:r>
      <w:r w:rsidR="009C25E8" w:rsidRPr="009655F8">
        <w:rPr>
          <w:rFonts w:ascii="Arial" w:hAnsi="Arial" w:cs="Arial"/>
          <w:sz w:val="28"/>
          <w:szCs w:val="28"/>
        </w:rPr>
        <w:t>dispone</w:t>
      </w:r>
      <w:r w:rsidR="003E0191" w:rsidRPr="009655F8">
        <w:rPr>
          <w:rFonts w:ascii="Arial" w:hAnsi="Arial" w:cs="Arial"/>
          <w:sz w:val="28"/>
          <w:szCs w:val="28"/>
        </w:rPr>
        <w:t>:</w:t>
      </w:r>
    </w:p>
    <w:p w14:paraId="6FD929D7" w14:textId="77777777" w:rsidR="009655F8" w:rsidRPr="009655F8" w:rsidRDefault="009655F8" w:rsidP="009655F8">
      <w:pPr>
        <w:spacing w:after="0" w:line="360" w:lineRule="auto"/>
        <w:ind w:firstLine="851"/>
        <w:jc w:val="both"/>
        <w:rPr>
          <w:rFonts w:ascii="Arial" w:hAnsi="Arial" w:cs="Arial"/>
          <w:sz w:val="28"/>
          <w:szCs w:val="28"/>
        </w:rPr>
      </w:pPr>
    </w:p>
    <w:p w14:paraId="7D22579D"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b/>
          <w:i/>
          <w:sz w:val="24"/>
          <w:szCs w:val="24"/>
        </w:rPr>
        <w:t>“Artículo 152.</w:t>
      </w:r>
      <w:r w:rsidRPr="009655F8">
        <w:rPr>
          <w:rFonts w:ascii="Arial Narrow" w:hAnsi="Arial Narrow" w:cs="Arial"/>
          <w:i/>
          <w:sz w:val="24"/>
          <w:szCs w:val="24"/>
        </w:rPr>
        <w:t xml:space="preserve"> Las resoluciones definitivas emitidas por las Salas Unitarias serán apelables por cualquiera de las partes, siempre que se refiera a cualquiera de los siguientes supuestos:</w:t>
      </w:r>
    </w:p>
    <w:p w14:paraId="298827C9" w14:textId="77777777" w:rsidR="00764921" w:rsidRPr="009655F8" w:rsidRDefault="00764921" w:rsidP="009655F8">
      <w:pPr>
        <w:spacing w:after="0" w:line="240" w:lineRule="auto"/>
        <w:ind w:left="567" w:right="618"/>
        <w:jc w:val="both"/>
        <w:rPr>
          <w:rFonts w:ascii="Arial Narrow" w:hAnsi="Arial Narrow" w:cs="Arial"/>
          <w:i/>
          <w:sz w:val="24"/>
          <w:szCs w:val="24"/>
          <w:u w:val="single"/>
        </w:rPr>
      </w:pPr>
      <w:r w:rsidRPr="009655F8">
        <w:rPr>
          <w:rFonts w:ascii="Arial Narrow" w:hAnsi="Arial Narrow" w:cs="Arial"/>
          <w:i/>
          <w:sz w:val="24"/>
          <w:szCs w:val="24"/>
          <w:u w:val="single"/>
        </w:rPr>
        <w:t>I. Sea de cuantía que exceda de mil quinientas veces el valor diario de la UMA al momento de la emisión de la resolución o sentencia;</w:t>
      </w:r>
    </w:p>
    <w:p w14:paraId="676B0656"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II. Sea de importancia y trascendencia cuando la cuantía sea inferior a la señalada en la fracción primera, o de cuantía indeterminada, debiendo el recurrente razonar esa circunstancia para efectos de la admisión del recurso;</w:t>
      </w:r>
    </w:p>
    <w:p w14:paraId="0FDEF38D"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III. Sea una resolución dictada por la Secretaría de Finanzas o las Tesorerías Municipales, y sus organismos descentralizados en ingresos estatales y municipales, siempre que el asunto se refiera a:</w:t>
      </w:r>
    </w:p>
    <w:p w14:paraId="773227AF"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a) Interpretación de normas generales con motivo de su aplicación.</w:t>
      </w:r>
    </w:p>
    <w:p w14:paraId="5A295F01"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b) La determinación del alcance de los elementos esenciales de las contribuciones.</w:t>
      </w:r>
    </w:p>
    <w:p w14:paraId="002EA214"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c) Competencia de la autoridad que haya dictado u ordenado la resolución impugnada o tramitado el procedimiento del que deriva o al ejercicio de las facultades de comprobación.</w:t>
      </w:r>
    </w:p>
    <w:p w14:paraId="180C7E48"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 xml:space="preserve">d) Violaciones procesales durante el juicio que afecten las defensas del recurrente y trasciendan al sentido del fallo, y </w:t>
      </w:r>
    </w:p>
    <w:p w14:paraId="32555FA8"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IV. Sea una resolución dictada con motivo de las reclamaciones previstas en la Ley de Responsabilidad Patrimonial del Estado de San Luis Potosí.</w:t>
      </w:r>
    </w:p>
    <w:p w14:paraId="10438D87"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Tratándose de resoluciones en materia de responsabilidades administrativas se estará a lo dispuesto en su propia ley.</w:t>
      </w:r>
    </w:p>
    <w:p w14:paraId="0A992367" w14:textId="77777777" w:rsidR="00764921" w:rsidRPr="009655F8" w:rsidRDefault="00764921" w:rsidP="009655F8">
      <w:pPr>
        <w:spacing w:after="0" w:line="240" w:lineRule="auto"/>
        <w:ind w:left="567" w:right="618"/>
        <w:jc w:val="both"/>
        <w:rPr>
          <w:rFonts w:ascii="Arial Narrow" w:hAnsi="Arial Narrow" w:cs="Arial"/>
          <w:i/>
          <w:sz w:val="24"/>
          <w:szCs w:val="24"/>
        </w:rPr>
      </w:pPr>
      <w:r w:rsidRPr="009655F8">
        <w:rPr>
          <w:rFonts w:ascii="Arial Narrow" w:hAnsi="Arial Narrow" w:cs="Arial"/>
          <w:i/>
          <w:sz w:val="24"/>
          <w:szCs w:val="24"/>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14:paraId="2FEFD21A" w14:textId="77777777" w:rsidR="00764921" w:rsidRPr="00384281" w:rsidRDefault="00764921" w:rsidP="009655F8">
      <w:pPr>
        <w:spacing w:after="0" w:line="360" w:lineRule="auto"/>
        <w:ind w:firstLine="851"/>
        <w:jc w:val="both"/>
        <w:rPr>
          <w:rFonts w:ascii="Arial" w:hAnsi="Arial" w:cs="Arial"/>
          <w:sz w:val="28"/>
          <w:szCs w:val="28"/>
        </w:rPr>
      </w:pPr>
    </w:p>
    <w:p w14:paraId="58FF7670" w14:textId="34F47DC5" w:rsidR="00E508A2" w:rsidRDefault="00E508A2" w:rsidP="009655F8">
      <w:pPr>
        <w:spacing w:after="0" w:line="360" w:lineRule="auto"/>
        <w:ind w:firstLine="851"/>
        <w:jc w:val="both"/>
        <w:rPr>
          <w:rFonts w:ascii="Arial" w:hAnsi="Arial" w:cs="Arial"/>
          <w:sz w:val="28"/>
          <w:szCs w:val="28"/>
        </w:rPr>
      </w:pPr>
      <w:r w:rsidRPr="00677E24">
        <w:rPr>
          <w:rFonts w:ascii="Arial" w:hAnsi="Arial" w:cs="Arial"/>
          <w:sz w:val="28"/>
          <w:szCs w:val="28"/>
        </w:rPr>
        <w:t>De</w:t>
      </w:r>
      <w:r w:rsidR="003D3A8D">
        <w:rPr>
          <w:rFonts w:ascii="Arial" w:hAnsi="Arial" w:cs="Arial"/>
          <w:sz w:val="28"/>
          <w:szCs w:val="28"/>
        </w:rPr>
        <w:t xml:space="preserve">l escrito </w:t>
      </w:r>
      <w:r w:rsidR="00DB5C18">
        <w:rPr>
          <w:rFonts w:ascii="Arial" w:hAnsi="Arial" w:cs="Arial"/>
          <w:sz w:val="28"/>
          <w:szCs w:val="28"/>
        </w:rPr>
        <w:t xml:space="preserve">de demanda </w:t>
      </w:r>
      <w:r w:rsidR="003D3A8D">
        <w:rPr>
          <w:rFonts w:ascii="Arial" w:hAnsi="Arial" w:cs="Arial"/>
          <w:sz w:val="28"/>
          <w:szCs w:val="28"/>
        </w:rPr>
        <w:t xml:space="preserve">presentado por la actora </w:t>
      </w:r>
      <w:r w:rsidR="00DB5C18">
        <w:rPr>
          <w:rFonts w:ascii="Arial" w:hAnsi="Arial" w:cs="Arial"/>
          <w:sz w:val="28"/>
          <w:szCs w:val="28"/>
        </w:rPr>
        <w:t xml:space="preserve">se advierte que entre los actos y resoluciones impugnadas señaló el convenio de reconocimiento de obligación de pago celebrado por ésta y el Ayuntamiento de Soledad de Graciano Sánchez, San Luis Potosí representado en ese acto por su Tesorero el </w:t>
      </w:r>
      <w:r w:rsidR="00DB5C18" w:rsidRPr="00764921">
        <w:rPr>
          <w:rFonts w:ascii="Arial" w:hAnsi="Arial" w:cs="Arial"/>
          <w:color w:val="0000FF"/>
          <w:sz w:val="28"/>
          <w:szCs w:val="28"/>
        </w:rPr>
        <w:t>dieciséis de junio de dos mil veinte</w:t>
      </w:r>
      <w:r w:rsidR="003D3A8D">
        <w:rPr>
          <w:rFonts w:ascii="Arial" w:hAnsi="Arial" w:cs="Arial"/>
          <w:sz w:val="28"/>
          <w:szCs w:val="28"/>
        </w:rPr>
        <w:t xml:space="preserve">, </w:t>
      </w:r>
      <w:r w:rsidR="00DB5C18">
        <w:rPr>
          <w:rFonts w:ascii="Arial" w:hAnsi="Arial" w:cs="Arial"/>
          <w:sz w:val="28"/>
          <w:szCs w:val="28"/>
        </w:rPr>
        <w:t>que ascendió a</w:t>
      </w:r>
      <w:r w:rsidR="00BC6213">
        <w:rPr>
          <w:rFonts w:ascii="Arial" w:hAnsi="Arial" w:cs="Arial"/>
          <w:sz w:val="28"/>
          <w:szCs w:val="28"/>
        </w:rPr>
        <w:t xml:space="preserve">l monto </w:t>
      </w:r>
      <w:r w:rsidR="003D3A8D">
        <w:rPr>
          <w:rFonts w:ascii="Arial" w:hAnsi="Arial" w:cs="Arial"/>
          <w:sz w:val="28"/>
          <w:szCs w:val="28"/>
        </w:rPr>
        <w:t xml:space="preserve">de </w:t>
      </w:r>
      <w:r w:rsidRPr="00677E24">
        <w:rPr>
          <w:rFonts w:ascii="Arial" w:hAnsi="Arial" w:cs="Arial"/>
          <w:sz w:val="28"/>
          <w:szCs w:val="28"/>
        </w:rPr>
        <w:t>$</w:t>
      </w:r>
      <w:r w:rsidR="00DB5C18" w:rsidRPr="00764921">
        <w:rPr>
          <w:rFonts w:ascii="Arial" w:hAnsi="Arial" w:cs="Arial"/>
          <w:color w:val="0000FF"/>
          <w:sz w:val="28"/>
          <w:szCs w:val="28"/>
        </w:rPr>
        <w:t>1’424,512</w:t>
      </w:r>
      <w:r w:rsidR="0008720B" w:rsidRPr="00764921">
        <w:rPr>
          <w:rFonts w:ascii="Arial" w:hAnsi="Arial" w:cs="Arial"/>
          <w:color w:val="0000FF"/>
          <w:sz w:val="28"/>
          <w:szCs w:val="28"/>
        </w:rPr>
        <w:t>.</w:t>
      </w:r>
      <w:r w:rsidR="003D3A8D" w:rsidRPr="00764921">
        <w:rPr>
          <w:rFonts w:ascii="Arial" w:hAnsi="Arial" w:cs="Arial"/>
          <w:color w:val="0000FF"/>
          <w:sz w:val="28"/>
          <w:szCs w:val="28"/>
        </w:rPr>
        <w:t>00</w:t>
      </w:r>
      <w:r w:rsidR="001B737C" w:rsidRPr="00764921">
        <w:rPr>
          <w:rFonts w:ascii="Arial" w:hAnsi="Arial" w:cs="Arial"/>
          <w:color w:val="0000FF"/>
          <w:sz w:val="28"/>
          <w:szCs w:val="28"/>
        </w:rPr>
        <w:t xml:space="preserve"> (</w:t>
      </w:r>
      <w:r w:rsidR="00DB5C18" w:rsidRPr="00764921">
        <w:rPr>
          <w:rFonts w:ascii="Arial" w:hAnsi="Arial" w:cs="Arial"/>
          <w:color w:val="0000FF"/>
          <w:sz w:val="28"/>
          <w:szCs w:val="28"/>
        </w:rPr>
        <w:t xml:space="preserve">un millón cuatrocientos veinticuatro mil quinientos doce pesos </w:t>
      </w:r>
      <w:r w:rsidR="003D3A8D" w:rsidRPr="00764921">
        <w:rPr>
          <w:rFonts w:ascii="Arial" w:hAnsi="Arial" w:cs="Arial"/>
          <w:color w:val="0000FF"/>
          <w:sz w:val="28"/>
          <w:szCs w:val="28"/>
        </w:rPr>
        <w:t>00</w:t>
      </w:r>
      <w:r w:rsidRPr="00764921">
        <w:rPr>
          <w:rFonts w:ascii="Arial" w:hAnsi="Arial" w:cs="Arial"/>
          <w:color w:val="0000FF"/>
          <w:sz w:val="28"/>
          <w:szCs w:val="28"/>
        </w:rPr>
        <w:t xml:space="preserve">/100 </w:t>
      </w:r>
      <w:r w:rsidR="00764921" w:rsidRPr="00764921">
        <w:rPr>
          <w:rFonts w:ascii="Arial" w:hAnsi="Arial" w:cs="Arial"/>
          <w:color w:val="0000FF"/>
          <w:sz w:val="28"/>
          <w:szCs w:val="28"/>
        </w:rPr>
        <w:t>moneda nacional</w:t>
      </w:r>
      <w:r w:rsidRPr="00764921">
        <w:rPr>
          <w:rFonts w:ascii="Arial" w:hAnsi="Arial" w:cs="Arial"/>
          <w:color w:val="0000FF"/>
          <w:sz w:val="28"/>
          <w:szCs w:val="28"/>
        </w:rPr>
        <w:t>)</w:t>
      </w:r>
      <w:r w:rsidR="00764921" w:rsidRPr="00764921">
        <w:rPr>
          <w:rFonts w:ascii="Arial" w:hAnsi="Arial" w:cs="Arial"/>
          <w:sz w:val="28"/>
          <w:szCs w:val="28"/>
        </w:rPr>
        <w:t>,</w:t>
      </w:r>
      <w:r w:rsidR="00A97C05" w:rsidRPr="00764921">
        <w:rPr>
          <w:rStyle w:val="Refdenotaalpie"/>
          <w:rFonts w:ascii="Arial" w:hAnsi="Arial" w:cs="Arial"/>
          <w:sz w:val="28"/>
          <w:szCs w:val="28"/>
        </w:rPr>
        <w:footnoteReference w:id="9"/>
      </w:r>
      <w:r w:rsidRPr="00764921">
        <w:rPr>
          <w:rFonts w:ascii="Arial" w:hAnsi="Arial" w:cs="Arial"/>
          <w:sz w:val="28"/>
          <w:szCs w:val="28"/>
        </w:rPr>
        <w:t xml:space="preserve"> </w:t>
      </w:r>
      <w:r w:rsidR="00BC6213" w:rsidRPr="00764921">
        <w:rPr>
          <w:rFonts w:ascii="Arial" w:hAnsi="Arial" w:cs="Arial"/>
          <w:sz w:val="28"/>
          <w:szCs w:val="28"/>
        </w:rPr>
        <w:t xml:space="preserve">y </w:t>
      </w:r>
      <w:r w:rsidR="00BC6213">
        <w:rPr>
          <w:rFonts w:ascii="Arial" w:hAnsi="Arial" w:cs="Arial"/>
          <w:sz w:val="28"/>
          <w:szCs w:val="28"/>
        </w:rPr>
        <w:t xml:space="preserve">que derivó en su pago, lo </w:t>
      </w:r>
      <w:r w:rsidRPr="00677E24">
        <w:rPr>
          <w:rFonts w:ascii="Arial" w:hAnsi="Arial" w:cs="Arial"/>
          <w:sz w:val="28"/>
          <w:szCs w:val="28"/>
        </w:rPr>
        <w:t xml:space="preserve">que excede a la cantidad de </w:t>
      </w:r>
      <w:r w:rsidR="00FC5572" w:rsidRPr="00677E24">
        <w:rPr>
          <w:rFonts w:ascii="Arial" w:hAnsi="Arial" w:cs="Arial"/>
          <w:sz w:val="28"/>
          <w:szCs w:val="28"/>
        </w:rPr>
        <w:t>mil quinientas UMA</w:t>
      </w:r>
      <w:r w:rsidR="00C1417C" w:rsidRPr="00677E24">
        <w:rPr>
          <w:rStyle w:val="Refdenotaalpie"/>
          <w:rFonts w:ascii="Arial" w:hAnsi="Arial" w:cs="Arial"/>
          <w:sz w:val="28"/>
          <w:szCs w:val="28"/>
        </w:rPr>
        <w:footnoteReference w:id="10"/>
      </w:r>
      <w:r w:rsidR="009C0A59" w:rsidRPr="00677E24">
        <w:rPr>
          <w:rFonts w:ascii="Arial" w:hAnsi="Arial" w:cs="Arial"/>
          <w:sz w:val="28"/>
          <w:szCs w:val="28"/>
        </w:rPr>
        <w:t xml:space="preserve"> al momento de la emisión de la sentencia recurrida, ya que si el valor de la UMA al </w:t>
      </w:r>
      <w:r w:rsidR="00DB5C18" w:rsidRPr="00764921">
        <w:rPr>
          <w:rFonts w:ascii="Arial" w:hAnsi="Arial" w:cs="Arial"/>
          <w:color w:val="0000FF"/>
          <w:sz w:val="28"/>
          <w:szCs w:val="28"/>
        </w:rPr>
        <w:t xml:space="preserve">treinta de septiembre </w:t>
      </w:r>
      <w:r w:rsidR="003D3A8D" w:rsidRPr="00764921">
        <w:rPr>
          <w:rFonts w:ascii="Arial" w:hAnsi="Arial" w:cs="Arial"/>
          <w:color w:val="0000FF"/>
          <w:sz w:val="28"/>
          <w:szCs w:val="28"/>
        </w:rPr>
        <w:t xml:space="preserve">de dos mil </w:t>
      </w:r>
      <w:r w:rsidR="003D3A8D" w:rsidRPr="00764921">
        <w:rPr>
          <w:rFonts w:ascii="Arial" w:hAnsi="Arial" w:cs="Arial"/>
          <w:color w:val="0000FF"/>
          <w:sz w:val="28"/>
          <w:szCs w:val="28"/>
        </w:rPr>
        <w:lastRenderedPageBreak/>
        <w:t>veintiuno</w:t>
      </w:r>
      <w:r w:rsidR="009C0A59" w:rsidRPr="00677E24">
        <w:rPr>
          <w:rFonts w:ascii="Arial" w:hAnsi="Arial" w:cs="Arial"/>
          <w:sz w:val="28"/>
          <w:szCs w:val="28"/>
        </w:rPr>
        <w:t xml:space="preserve"> e</w:t>
      </w:r>
      <w:r w:rsidR="00764921">
        <w:rPr>
          <w:rFonts w:ascii="Arial" w:hAnsi="Arial" w:cs="Arial"/>
          <w:sz w:val="28"/>
          <w:szCs w:val="28"/>
        </w:rPr>
        <w:t>ra</w:t>
      </w:r>
      <w:r w:rsidR="009C0A59" w:rsidRPr="00677E24">
        <w:rPr>
          <w:rFonts w:ascii="Arial" w:hAnsi="Arial" w:cs="Arial"/>
          <w:sz w:val="28"/>
          <w:szCs w:val="28"/>
        </w:rPr>
        <w:t xml:space="preserve"> de </w:t>
      </w:r>
      <w:r w:rsidR="003D3A8D">
        <w:rPr>
          <w:rFonts w:ascii="Arial" w:hAnsi="Arial" w:cs="Arial"/>
          <w:sz w:val="28"/>
          <w:szCs w:val="28"/>
        </w:rPr>
        <w:t>$</w:t>
      </w:r>
      <w:r w:rsidR="003D3A8D" w:rsidRPr="00764921">
        <w:rPr>
          <w:rFonts w:ascii="Arial" w:hAnsi="Arial" w:cs="Arial"/>
          <w:color w:val="0000FF"/>
          <w:sz w:val="28"/>
          <w:szCs w:val="28"/>
        </w:rPr>
        <w:t>89</w:t>
      </w:r>
      <w:r w:rsidR="001B737C" w:rsidRPr="00764921">
        <w:rPr>
          <w:rFonts w:ascii="Arial" w:hAnsi="Arial" w:cs="Arial"/>
          <w:color w:val="0000FF"/>
          <w:sz w:val="28"/>
          <w:szCs w:val="28"/>
        </w:rPr>
        <w:t>.</w:t>
      </w:r>
      <w:r w:rsidR="003D3A8D" w:rsidRPr="00764921">
        <w:rPr>
          <w:rFonts w:ascii="Arial" w:hAnsi="Arial" w:cs="Arial"/>
          <w:color w:val="0000FF"/>
          <w:sz w:val="28"/>
          <w:szCs w:val="28"/>
        </w:rPr>
        <w:t>62</w:t>
      </w:r>
      <w:r w:rsidR="009C0A59" w:rsidRPr="00677E24">
        <w:rPr>
          <w:rFonts w:ascii="Arial" w:hAnsi="Arial" w:cs="Arial"/>
          <w:sz w:val="28"/>
          <w:szCs w:val="28"/>
        </w:rPr>
        <w:t xml:space="preserve"> el cual elevado mil quinientas veces resulta en $</w:t>
      </w:r>
      <w:r w:rsidR="003D3A8D" w:rsidRPr="00764921">
        <w:rPr>
          <w:rFonts w:ascii="Arial" w:hAnsi="Arial" w:cs="Arial"/>
          <w:color w:val="0000FF"/>
          <w:sz w:val="28"/>
          <w:szCs w:val="28"/>
        </w:rPr>
        <w:t>134</w:t>
      </w:r>
      <w:r w:rsidR="001B737C" w:rsidRPr="00764921">
        <w:rPr>
          <w:rFonts w:ascii="Arial" w:hAnsi="Arial" w:cs="Arial"/>
          <w:color w:val="0000FF"/>
          <w:sz w:val="28"/>
          <w:szCs w:val="28"/>
        </w:rPr>
        <w:t>,</w:t>
      </w:r>
      <w:r w:rsidR="003D3A8D" w:rsidRPr="00764921">
        <w:rPr>
          <w:rFonts w:ascii="Arial" w:hAnsi="Arial" w:cs="Arial"/>
          <w:color w:val="0000FF"/>
          <w:sz w:val="28"/>
          <w:szCs w:val="28"/>
        </w:rPr>
        <w:t>430</w:t>
      </w:r>
      <w:r w:rsidR="001B737C" w:rsidRPr="00764921">
        <w:rPr>
          <w:rFonts w:ascii="Arial" w:hAnsi="Arial" w:cs="Arial"/>
          <w:color w:val="0000FF"/>
          <w:sz w:val="28"/>
          <w:szCs w:val="28"/>
        </w:rPr>
        <w:t>.</w:t>
      </w:r>
      <w:r w:rsidR="005F7BB7" w:rsidRPr="00764921">
        <w:rPr>
          <w:rFonts w:ascii="Arial" w:hAnsi="Arial" w:cs="Arial"/>
          <w:color w:val="0000FF"/>
          <w:sz w:val="28"/>
          <w:szCs w:val="28"/>
        </w:rPr>
        <w:t>00</w:t>
      </w:r>
      <w:r w:rsidR="005F7BB7" w:rsidRPr="00677E24">
        <w:rPr>
          <w:rFonts w:ascii="Arial" w:hAnsi="Arial" w:cs="Arial"/>
          <w:sz w:val="28"/>
          <w:szCs w:val="28"/>
        </w:rPr>
        <w:t>, p</w:t>
      </w:r>
      <w:r w:rsidR="00C1417C" w:rsidRPr="00677E24">
        <w:rPr>
          <w:rFonts w:ascii="Arial" w:hAnsi="Arial" w:cs="Arial"/>
          <w:sz w:val="28"/>
          <w:szCs w:val="28"/>
        </w:rPr>
        <w:t xml:space="preserve">or lo tanto </w:t>
      </w:r>
      <w:r w:rsidR="005F7BB7" w:rsidRPr="00677E24">
        <w:rPr>
          <w:rFonts w:ascii="Arial" w:hAnsi="Arial" w:cs="Arial"/>
          <w:sz w:val="28"/>
          <w:szCs w:val="28"/>
        </w:rPr>
        <w:t>el monto de la apelación encuadra en el supuesto de procedencia indicado.</w:t>
      </w:r>
    </w:p>
    <w:p w14:paraId="39961C0B" w14:textId="77777777" w:rsidR="009655F8" w:rsidRPr="00677E24" w:rsidRDefault="009655F8" w:rsidP="009655F8">
      <w:pPr>
        <w:spacing w:after="0" w:line="360" w:lineRule="auto"/>
        <w:ind w:firstLine="851"/>
        <w:jc w:val="both"/>
        <w:rPr>
          <w:rFonts w:ascii="Arial" w:hAnsi="Arial" w:cs="Arial"/>
          <w:sz w:val="28"/>
          <w:szCs w:val="28"/>
        </w:rPr>
      </w:pPr>
    </w:p>
    <w:p w14:paraId="6CE7AF59" w14:textId="4D89F851" w:rsidR="00764921" w:rsidRPr="00677E24" w:rsidRDefault="005F7BB7" w:rsidP="009655F8">
      <w:pPr>
        <w:spacing w:after="0" w:line="360" w:lineRule="auto"/>
        <w:ind w:firstLine="851"/>
        <w:jc w:val="both"/>
        <w:rPr>
          <w:rFonts w:ascii="Arial" w:hAnsi="Arial" w:cs="Arial"/>
          <w:sz w:val="28"/>
          <w:szCs w:val="28"/>
        </w:rPr>
      </w:pPr>
      <w:r w:rsidRPr="00677E24">
        <w:rPr>
          <w:rFonts w:ascii="Arial" w:hAnsi="Arial" w:cs="Arial"/>
          <w:b/>
          <w:sz w:val="28"/>
          <w:szCs w:val="28"/>
        </w:rPr>
        <w:t>SEXTO.</w:t>
      </w:r>
      <w:r w:rsidRPr="00764921">
        <w:rPr>
          <w:rFonts w:ascii="Arial" w:hAnsi="Arial" w:cs="Arial"/>
          <w:sz w:val="28"/>
          <w:szCs w:val="28"/>
        </w:rPr>
        <w:t xml:space="preserve"> </w:t>
      </w:r>
      <w:r w:rsidR="00764921" w:rsidRPr="00677E24">
        <w:rPr>
          <w:rFonts w:ascii="Arial" w:hAnsi="Arial" w:cs="Arial"/>
          <w:b/>
          <w:sz w:val="28"/>
          <w:szCs w:val="28"/>
        </w:rPr>
        <w:t>Principio de economía procesal</w:t>
      </w:r>
      <w:r w:rsidR="00764921" w:rsidRPr="00677E24">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14:paraId="431FE4B7" w14:textId="77777777" w:rsidR="009655F8" w:rsidRDefault="009655F8" w:rsidP="009655F8">
      <w:pPr>
        <w:spacing w:after="0" w:line="360" w:lineRule="auto"/>
        <w:ind w:firstLine="851"/>
        <w:jc w:val="both"/>
        <w:rPr>
          <w:rFonts w:ascii="Arial" w:hAnsi="Arial" w:cs="Arial"/>
          <w:sz w:val="28"/>
          <w:szCs w:val="28"/>
        </w:rPr>
      </w:pPr>
    </w:p>
    <w:p w14:paraId="0F3EE8B7" w14:textId="77777777" w:rsidR="00764921" w:rsidRDefault="00764921" w:rsidP="009655F8">
      <w:pPr>
        <w:spacing w:after="0" w:line="360" w:lineRule="auto"/>
        <w:ind w:firstLine="851"/>
        <w:jc w:val="both"/>
        <w:rPr>
          <w:rFonts w:ascii="Arial" w:hAnsi="Arial" w:cs="Arial"/>
          <w:sz w:val="28"/>
          <w:szCs w:val="28"/>
        </w:rPr>
      </w:pPr>
      <w:r w:rsidRPr="00677E24">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14:paraId="1B1D039A" w14:textId="77777777" w:rsidR="009655F8" w:rsidRPr="00677E24" w:rsidRDefault="009655F8" w:rsidP="009655F8">
      <w:pPr>
        <w:spacing w:after="0" w:line="360" w:lineRule="auto"/>
        <w:ind w:firstLine="851"/>
        <w:jc w:val="both"/>
        <w:rPr>
          <w:rFonts w:ascii="Arial" w:hAnsi="Arial" w:cs="Arial"/>
          <w:sz w:val="28"/>
          <w:szCs w:val="28"/>
        </w:rPr>
      </w:pPr>
    </w:p>
    <w:p w14:paraId="7B725FDC" w14:textId="77777777" w:rsidR="00764921" w:rsidRPr="009655F8" w:rsidRDefault="00764921" w:rsidP="009655F8">
      <w:pPr>
        <w:spacing w:after="0" w:line="240" w:lineRule="auto"/>
        <w:ind w:left="567" w:right="624"/>
        <w:jc w:val="both"/>
        <w:rPr>
          <w:rFonts w:ascii="Arial Narrow" w:hAnsi="Arial Narrow" w:cs="Arial"/>
          <w:i/>
          <w:sz w:val="24"/>
          <w:szCs w:val="24"/>
        </w:rPr>
      </w:pPr>
      <w:r w:rsidRPr="009655F8">
        <w:rPr>
          <w:rFonts w:ascii="Arial Narrow" w:hAnsi="Arial Narrow" w:cs="Arial"/>
          <w:i/>
          <w:sz w:val="24"/>
          <w:szCs w:val="24"/>
        </w:rPr>
        <w:t>“</w:t>
      </w:r>
      <w:r w:rsidRPr="009655F8">
        <w:rPr>
          <w:rFonts w:ascii="Arial Narrow" w:hAnsi="Arial Narrow" w:cs="Arial"/>
          <w:b/>
          <w:i/>
          <w:sz w:val="24"/>
          <w:szCs w:val="24"/>
        </w:rPr>
        <w:t>CONCEPTOS DE VIOLACIÓN. EL JUEZ NO ESTÁ OBLIGADO A</w:t>
      </w:r>
      <w:r w:rsidRPr="009655F8">
        <w:rPr>
          <w:rFonts w:ascii="Arial Narrow" w:hAnsi="Arial Narrow" w:cs="Arial"/>
          <w:i/>
          <w:sz w:val="24"/>
          <w:szCs w:val="24"/>
        </w:rPr>
        <w:t xml:space="preserve"> </w:t>
      </w:r>
      <w:r w:rsidRPr="009655F8">
        <w:rPr>
          <w:rFonts w:ascii="Arial Narrow" w:hAnsi="Arial Narrow" w:cs="Arial"/>
          <w:b/>
          <w:i/>
          <w:sz w:val="24"/>
          <w:szCs w:val="24"/>
        </w:rPr>
        <w:t>TRANSCRIBIRLOS</w:t>
      </w:r>
      <w:r w:rsidRPr="009655F8">
        <w:rPr>
          <w:rFonts w:ascii="Arial Narrow" w:hAnsi="Arial Narrow" w:cs="Arial"/>
          <w:i/>
          <w:sz w:val="24"/>
          <w:szCs w:val="24"/>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p>
    <w:p w14:paraId="6DD481A4" w14:textId="77777777" w:rsidR="00764921" w:rsidRPr="009655F8" w:rsidRDefault="00764921" w:rsidP="009655F8">
      <w:pPr>
        <w:spacing w:after="0" w:line="240" w:lineRule="auto"/>
        <w:ind w:firstLine="851"/>
        <w:jc w:val="both"/>
        <w:rPr>
          <w:rFonts w:ascii="Arial" w:hAnsi="Arial" w:cs="Arial"/>
          <w:sz w:val="24"/>
          <w:szCs w:val="24"/>
        </w:rPr>
      </w:pPr>
    </w:p>
    <w:p w14:paraId="0C7E6133" w14:textId="77777777" w:rsidR="00764921" w:rsidRPr="00677E24" w:rsidRDefault="00764921" w:rsidP="00764921">
      <w:pPr>
        <w:spacing w:after="120" w:line="360" w:lineRule="auto"/>
        <w:ind w:firstLine="851"/>
        <w:jc w:val="both"/>
        <w:rPr>
          <w:rFonts w:ascii="Arial" w:hAnsi="Arial" w:cs="Arial"/>
          <w:i/>
          <w:sz w:val="20"/>
          <w:szCs w:val="20"/>
        </w:rPr>
      </w:pPr>
      <w:r w:rsidRPr="00677E24">
        <w:rPr>
          <w:rFonts w:ascii="Arial" w:hAnsi="Arial" w:cs="Arial"/>
          <w:sz w:val="28"/>
          <w:szCs w:val="28"/>
        </w:rPr>
        <w:t>También cobra aplicación la tesis del Primer Tribunal Colegiado en Materia Civil y del Trabajo del Décimo Séptimo Circuito, consultable en la página dos mil ciento quince, del Semanario Judicial de la Federación y su Gaceta Tomo XXIII, marzo de dos mil seis, Novena Época, de rubro y contenido siguientes</w:t>
      </w:r>
      <w:r w:rsidRPr="00677E24">
        <w:rPr>
          <w:rFonts w:ascii="Arial" w:hAnsi="Arial" w:cs="Arial"/>
          <w:i/>
          <w:sz w:val="20"/>
          <w:szCs w:val="20"/>
        </w:rPr>
        <w:t>:</w:t>
      </w:r>
    </w:p>
    <w:p w14:paraId="6763954D" w14:textId="77777777" w:rsidR="00764921" w:rsidRPr="00EE56FA" w:rsidRDefault="00764921" w:rsidP="00EE56FA">
      <w:pPr>
        <w:spacing w:after="0" w:line="240" w:lineRule="auto"/>
        <w:ind w:left="567" w:right="618"/>
        <w:jc w:val="both"/>
        <w:rPr>
          <w:rFonts w:ascii="Arial Narrow" w:hAnsi="Arial Narrow" w:cs="Arial"/>
          <w:i/>
          <w:sz w:val="24"/>
          <w:szCs w:val="24"/>
        </w:rPr>
      </w:pPr>
      <w:r w:rsidRPr="00EE56FA">
        <w:rPr>
          <w:rFonts w:ascii="Arial Narrow" w:hAnsi="Arial Narrow" w:cs="Arial"/>
          <w:b/>
          <w:i/>
          <w:sz w:val="24"/>
          <w:szCs w:val="24"/>
        </w:rPr>
        <w:t>“SENTENCIA DE LOS TRIBUNALES COLEGIADOS DE CIRCUITO, AL EMITIRLAS NO SE ENCUENTRAN OBLIGADOS A TRASCRIBIR</w:t>
      </w:r>
      <w:r w:rsidRPr="00EE56FA">
        <w:rPr>
          <w:rFonts w:ascii="Arial Narrow" w:hAnsi="Arial Narrow" w:cs="Arial"/>
          <w:i/>
          <w:sz w:val="24"/>
          <w:szCs w:val="24"/>
        </w:rPr>
        <w:t xml:space="preserve"> </w:t>
      </w:r>
      <w:r w:rsidRPr="00EE56FA">
        <w:rPr>
          <w:rFonts w:ascii="Arial Narrow" w:hAnsi="Arial Narrow" w:cs="Arial"/>
          <w:b/>
          <w:i/>
          <w:sz w:val="24"/>
          <w:szCs w:val="24"/>
        </w:rPr>
        <w:t>LA RESOLUCÍÓN RECURRIDA</w:t>
      </w:r>
      <w:r w:rsidRPr="00EE56FA">
        <w:rPr>
          <w:rFonts w:ascii="Arial Narrow" w:hAnsi="Arial Narrow" w:cs="Arial"/>
          <w:i/>
          <w:sz w:val="24"/>
          <w:szCs w:val="24"/>
        </w:rPr>
        <w:t xml:space="preserve">. El hecho de que en las sentencias que emitan los Tribunales Colegiados de Circuito, no se transcriba la resolución recurrida, no infringe las disposiciones de la Ley de Amparo, a la cual quedan </w:t>
      </w:r>
      <w:r w:rsidRPr="00EE56FA">
        <w:rPr>
          <w:rFonts w:ascii="Arial Narrow" w:hAnsi="Arial Narrow" w:cs="Arial"/>
          <w:i/>
          <w:sz w:val="24"/>
          <w:szCs w:val="24"/>
        </w:rPr>
        <w:lastRenderedPageBreak/>
        <w:t xml:space="preserve">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14:paraId="72639884" w14:textId="77777777" w:rsidR="00764921" w:rsidRPr="00384281" w:rsidRDefault="00764921" w:rsidP="00EE56FA">
      <w:pPr>
        <w:spacing w:after="0" w:line="360" w:lineRule="auto"/>
        <w:ind w:firstLine="851"/>
        <w:jc w:val="both"/>
        <w:rPr>
          <w:rFonts w:ascii="Arial" w:hAnsi="Arial" w:cs="Arial"/>
          <w:bCs/>
          <w:iCs/>
          <w:sz w:val="28"/>
          <w:szCs w:val="28"/>
        </w:rPr>
      </w:pPr>
    </w:p>
    <w:p w14:paraId="542956AC" w14:textId="435D09FC" w:rsidR="00764921" w:rsidRDefault="00764921" w:rsidP="00EE56FA">
      <w:pPr>
        <w:spacing w:after="0" w:line="360" w:lineRule="auto"/>
        <w:ind w:firstLine="851"/>
        <w:jc w:val="both"/>
        <w:rPr>
          <w:rFonts w:ascii="Arial" w:hAnsi="Arial" w:cs="Arial"/>
          <w:sz w:val="28"/>
          <w:szCs w:val="28"/>
        </w:rPr>
      </w:pPr>
      <w:r>
        <w:rPr>
          <w:rFonts w:ascii="Arial" w:hAnsi="Arial" w:cs="Arial"/>
          <w:b/>
          <w:bCs/>
          <w:iCs/>
          <w:sz w:val="28"/>
          <w:szCs w:val="28"/>
        </w:rPr>
        <w:t>SÉPTIMO</w:t>
      </w:r>
      <w:r w:rsidRPr="00677E24">
        <w:rPr>
          <w:rFonts w:ascii="Arial" w:hAnsi="Arial" w:cs="Arial"/>
          <w:b/>
          <w:bCs/>
          <w:iCs/>
          <w:sz w:val="28"/>
          <w:szCs w:val="28"/>
        </w:rPr>
        <w:t>.</w:t>
      </w:r>
      <w:r w:rsidRPr="00465049">
        <w:rPr>
          <w:rFonts w:ascii="Arial" w:hAnsi="Arial" w:cs="Arial"/>
          <w:sz w:val="28"/>
          <w:szCs w:val="28"/>
        </w:rPr>
        <w:t xml:space="preserve"> </w:t>
      </w:r>
      <w:r w:rsidRPr="00F732C4">
        <w:rPr>
          <w:rFonts w:ascii="Arial" w:hAnsi="Arial" w:cs="Arial"/>
          <w:b/>
          <w:sz w:val="28"/>
          <w:szCs w:val="28"/>
        </w:rPr>
        <w:t>Ejecutoria de amparo.</w:t>
      </w:r>
      <w:r>
        <w:rPr>
          <w:rFonts w:ascii="Arial" w:hAnsi="Arial" w:cs="Arial"/>
          <w:sz w:val="28"/>
          <w:szCs w:val="28"/>
        </w:rPr>
        <w:t xml:space="preserve"> La ejecutoria de amparo se hace consistir en los siguientes términos:</w:t>
      </w:r>
    </w:p>
    <w:p w14:paraId="6A077DCB" w14:textId="77777777" w:rsidR="00EE56FA" w:rsidRDefault="00EE56FA" w:rsidP="00EE56FA">
      <w:pPr>
        <w:spacing w:after="0" w:line="360" w:lineRule="auto"/>
        <w:ind w:firstLine="851"/>
        <w:jc w:val="both"/>
        <w:rPr>
          <w:rFonts w:ascii="Arial" w:hAnsi="Arial" w:cs="Arial"/>
          <w:sz w:val="28"/>
          <w:szCs w:val="28"/>
        </w:rPr>
      </w:pPr>
    </w:p>
    <w:p w14:paraId="178FBCF6" w14:textId="7C8E32CE" w:rsidR="0045254A" w:rsidRDefault="00807FBE" w:rsidP="00EE56FA">
      <w:pPr>
        <w:pStyle w:val="Estilo"/>
        <w:ind w:left="567" w:right="567"/>
        <w:rPr>
          <w:rFonts w:ascii="Arial Narrow" w:hAnsi="Arial Narrow" w:cs="Arial"/>
          <w:i/>
          <w:color w:val="000000"/>
          <w:spacing w:val="-2"/>
          <w:szCs w:val="24"/>
          <w:lang w:val="es-ES_tradnl"/>
        </w:rPr>
      </w:pPr>
      <w:r w:rsidRPr="00EE56FA">
        <w:rPr>
          <w:rFonts w:ascii="Arial Narrow" w:hAnsi="Arial Narrow" w:cs="Arial"/>
          <w:b/>
          <w:bCs/>
          <w:i/>
          <w:color w:val="000000"/>
          <w:spacing w:val="-2"/>
          <w:szCs w:val="24"/>
          <w:lang w:val="es-ES_tradnl"/>
        </w:rPr>
        <w:t xml:space="preserve">“[…] </w:t>
      </w:r>
      <w:r w:rsidR="0045254A" w:rsidRPr="00EE56FA">
        <w:rPr>
          <w:rFonts w:ascii="Arial Narrow" w:hAnsi="Arial Narrow" w:cs="Arial"/>
          <w:b/>
          <w:bCs/>
          <w:i/>
          <w:color w:val="000000"/>
          <w:spacing w:val="-2"/>
          <w:szCs w:val="24"/>
          <w:lang w:val="es-ES_tradnl"/>
        </w:rPr>
        <w:t>SEXTO</w:t>
      </w:r>
      <w:r w:rsidR="0045254A" w:rsidRPr="00EE56FA">
        <w:rPr>
          <w:rFonts w:ascii="Arial Narrow" w:hAnsi="Arial Narrow" w:cs="Arial"/>
          <w:i/>
          <w:color w:val="000000"/>
          <w:spacing w:val="-2"/>
          <w:szCs w:val="24"/>
          <w:lang w:val="es-ES_tradnl"/>
        </w:rPr>
        <w:t xml:space="preserve">. </w:t>
      </w:r>
      <w:r w:rsidR="0045254A" w:rsidRPr="00EE56FA">
        <w:rPr>
          <w:rFonts w:ascii="Arial Narrow" w:hAnsi="Arial Narrow" w:cs="Arial"/>
          <w:b/>
          <w:bCs/>
          <w:i/>
          <w:color w:val="000000"/>
          <w:spacing w:val="-2"/>
          <w:szCs w:val="24"/>
          <w:lang w:val="es-ES_tradnl"/>
        </w:rPr>
        <w:t>Estudio</w:t>
      </w:r>
      <w:r w:rsidR="0045254A" w:rsidRPr="00EE56FA">
        <w:rPr>
          <w:rFonts w:ascii="Arial Narrow" w:hAnsi="Arial Narrow" w:cs="Arial"/>
          <w:i/>
          <w:color w:val="000000"/>
          <w:spacing w:val="-2"/>
          <w:szCs w:val="24"/>
          <w:lang w:val="es-ES_tradnl"/>
        </w:rPr>
        <w:t>. Los conceptos de violación son fundados y suficientes para conceder el amparo a la parte quejosa, en la medida que enseguida se precisará.</w:t>
      </w:r>
    </w:p>
    <w:p w14:paraId="74B589F9" w14:textId="77777777" w:rsidR="00EE56FA" w:rsidRPr="00EE56FA" w:rsidRDefault="00EE56FA" w:rsidP="00EE56FA">
      <w:pPr>
        <w:pStyle w:val="Estilo"/>
        <w:ind w:left="567" w:right="567"/>
        <w:rPr>
          <w:rFonts w:ascii="Arial Narrow" w:hAnsi="Arial Narrow" w:cs="Arial"/>
          <w:i/>
          <w:color w:val="000000"/>
          <w:spacing w:val="-2"/>
          <w:szCs w:val="24"/>
          <w:lang w:val="es-ES_tradnl"/>
        </w:rPr>
      </w:pPr>
    </w:p>
    <w:p w14:paraId="42F1709D" w14:textId="323A8927" w:rsidR="0045254A" w:rsidRDefault="0045254A" w:rsidP="00EE56FA">
      <w:pPr>
        <w:pStyle w:val="Estilo"/>
        <w:ind w:left="567" w:right="567"/>
        <w:rPr>
          <w:rFonts w:ascii="Arial Narrow" w:hAnsi="Arial Narrow" w:cs="Arial"/>
          <w:i/>
          <w:color w:val="000000"/>
          <w:spacing w:val="-2"/>
          <w:szCs w:val="24"/>
          <w:lang w:val="es-ES_tradnl"/>
        </w:rPr>
      </w:pPr>
      <w:r w:rsidRPr="00EE56FA">
        <w:rPr>
          <w:rFonts w:ascii="Arial Narrow" w:hAnsi="Arial Narrow" w:cs="Arial"/>
          <w:i/>
          <w:color w:val="000000"/>
          <w:spacing w:val="-2"/>
          <w:szCs w:val="24"/>
          <w:lang w:val="es-ES_tradnl"/>
        </w:rPr>
        <w:t>En primer término se estima necesario precisar algunos antecedentes del acto reclamado.</w:t>
      </w:r>
    </w:p>
    <w:p w14:paraId="737B107D" w14:textId="77777777" w:rsidR="00EE56FA" w:rsidRPr="00EE56FA" w:rsidRDefault="00EE56FA" w:rsidP="00EE56FA">
      <w:pPr>
        <w:pStyle w:val="Estilo"/>
        <w:ind w:left="567" w:right="567"/>
        <w:rPr>
          <w:rFonts w:ascii="Arial Narrow" w:hAnsi="Arial Narrow" w:cs="Arial"/>
          <w:i/>
          <w:color w:val="000000"/>
          <w:spacing w:val="-2"/>
          <w:szCs w:val="24"/>
          <w:lang w:val="es-ES_tradnl"/>
        </w:rPr>
      </w:pPr>
    </w:p>
    <w:p w14:paraId="7101D43F" w14:textId="77777777" w:rsidR="00FB5310" w:rsidRPr="00EE56FA" w:rsidRDefault="0045254A" w:rsidP="00EE56FA">
      <w:pPr>
        <w:pStyle w:val="Estilo"/>
        <w:ind w:left="567" w:right="567"/>
        <w:rPr>
          <w:rFonts w:ascii="Arial Narrow" w:hAnsi="Arial Narrow" w:cs="Arial"/>
          <w:i/>
          <w:color w:val="000000"/>
          <w:spacing w:val="-4"/>
          <w:szCs w:val="24"/>
          <w:lang w:val="es-ES_tradnl"/>
        </w:rPr>
      </w:pPr>
      <w:r w:rsidRPr="00EE56FA">
        <w:rPr>
          <w:rFonts w:ascii="Arial Narrow" w:hAnsi="Arial Narrow" w:cs="Arial"/>
          <w:b/>
          <w:bCs/>
          <w:i/>
          <w:color w:val="000000"/>
          <w:spacing w:val="-4"/>
          <w:szCs w:val="24"/>
          <w:lang w:val="es-ES_tradnl"/>
        </w:rPr>
        <w:t>A)</w:t>
      </w:r>
      <w:r w:rsidRPr="00EE56FA">
        <w:rPr>
          <w:rFonts w:ascii="Arial Narrow" w:hAnsi="Arial Narrow" w:cs="Arial"/>
          <w:i/>
          <w:color w:val="000000"/>
          <w:spacing w:val="-4"/>
          <w:szCs w:val="24"/>
          <w:lang w:val="es-ES_tradnl"/>
        </w:rPr>
        <w:t xml:space="preserve">. Mediante escrito presentado el once de agosto de dos mil veinte, compareció ante el Tribunal Estatal de Justicia Administrativa del Estado, la representante </w:t>
      </w:r>
      <w:r w:rsidR="00FB5310" w:rsidRPr="00EE56FA">
        <w:rPr>
          <w:rFonts w:ascii="Arial Narrow" w:hAnsi="Arial Narrow" w:cs="Arial"/>
          <w:i/>
          <w:color w:val="000000"/>
          <w:spacing w:val="-4"/>
          <w:szCs w:val="24"/>
          <w:lang w:val="es-ES_tradnl"/>
        </w:rPr>
        <w:t xml:space="preserve">legal de BACHOCO, SOCIEDAD ANÓNIMA DE CAPITAL VARIABLE para determinar la nulidad de los siguientes actos: </w:t>
      </w:r>
    </w:p>
    <w:p w14:paraId="3B3C3BEC" w14:textId="28CABFC5" w:rsidR="0045254A" w:rsidRPr="00EE56FA" w:rsidRDefault="00FB5310" w:rsidP="00EE56FA">
      <w:pPr>
        <w:pStyle w:val="Estilo"/>
        <w:ind w:left="567" w:right="567"/>
        <w:rPr>
          <w:rFonts w:ascii="Arial Narrow" w:hAnsi="Arial Narrow" w:cs="Arial"/>
          <w:i/>
          <w:color w:val="000000"/>
          <w:spacing w:val="-2"/>
          <w:szCs w:val="24"/>
          <w:lang w:val="es-ES_tradnl"/>
        </w:rPr>
      </w:pPr>
      <w:r w:rsidRPr="00EE56FA">
        <w:rPr>
          <w:rFonts w:ascii="Arial Narrow" w:hAnsi="Arial Narrow" w:cs="Arial"/>
          <w:b/>
          <w:bCs/>
          <w:i/>
          <w:color w:val="000000"/>
          <w:spacing w:val="-2"/>
          <w:szCs w:val="24"/>
          <w:lang w:val="es-ES_tradnl"/>
        </w:rPr>
        <w:t>a)</w:t>
      </w:r>
      <w:r w:rsidRPr="00EE56FA">
        <w:rPr>
          <w:rFonts w:ascii="Arial Narrow" w:hAnsi="Arial Narrow" w:cs="Arial"/>
          <w:i/>
          <w:color w:val="000000"/>
          <w:spacing w:val="-2"/>
          <w:szCs w:val="24"/>
          <w:lang w:val="es-ES_tradnl"/>
        </w:rPr>
        <w:t xml:space="preserve">. La resolución contenida en el oficio número </w:t>
      </w:r>
      <w:r w:rsidR="0050127A">
        <w:rPr>
          <w:rFonts w:ascii="Arial Narrow" w:hAnsi="Arial Narrow" w:cs="Arial"/>
          <w:i/>
          <w:color w:val="FF0000"/>
          <w:spacing w:val="-2"/>
          <w:szCs w:val="24"/>
          <w:lang w:val="es-ES_tradnl"/>
        </w:rPr>
        <w:t>**********</w:t>
      </w:r>
      <w:r w:rsidRPr="00EE56FA">
        <w:rPr>
          <w:rFonts w:ascii="Arial Narrow" w:hAnsi="Arial Narrow" w:cs="Arial"/>
          <w:i/>
          <w:color w:val="202020"/>
          <w:spacing w:val="-2"/>
          <w:szCs w:val="24"/>
          <w:lang w:val="es-ES_tradnl"/>
        </w:rPr>
        <w:t xml:space="preserve">/2020 de once de marzo de dos mil veinte emitida por el Director de Desarrollo Urbano y Catastro Municipal de Soledad de Graciano Sánchez, San </w:t>
      </w:r>
      <w:r w:rsidRPr="00EE56FA">
        <w:rPr>
          <w:rFonts w:ascii="Arial Narrow" w:hAnsi="Arial Narrow" w:cs="Arial"/>
          <w:i/>
          <w:color w:val="000000"/>
          <w:spacing w:val="-2"/>
          <w:szCs w:val="24"/>
          <w:lang w:val="es-ES_tradnl"/>
        </w:rPr>
        <w:t>Luis Potosí, a través de la cual resolvió no autorizar la licencia de uso de suelo a la parte actora.</w:t>
      </w:r>
    </w:p>
    <w:p w14:paraId="10D39498" w14:textId="7A3B983B" w:rsidR="0045254A" w:rsidRPr="00EE56FA" w:rsidRDefault="00FB5310" w:rsidP="00EE56FA">
      <w:pPr>
        <w:pStyle w:val="Estilo"/>
        <w:ind w:left="567" w:right="567"/>
        <w:rPr>
          <w:rFonts w:ascii="Arial Narrow" w:hAnsi="Arial Narrow" w:cs="Arial"/>
          <w:i/>
          <w:color w:val="000000"/>
          <w:spacing w:val="-2"/>
          <w:szCs w:val="24"/>
          <w:lang w:val="es-ES_tradnl"/>
        </w:rPr>
      </w:pPr>
      <w:r w:rsidRPr="00EE56FA">
        <w:rPr>
          <w:rFonts w:ascii="Arial Narrow" w:hAnsi="Arial Narrow" w:cs="Arial"/>
          <w:b/>
          <w:bCs/>
          <w:i/>
          <w:color w:val="000000"/>
          <w:spacing w:val="-2"/>
          <w:szCs w:val="24"/>
          <w:lang w:val="es-ES_tradnl"/>
        </w:rPr>
        <w:t>b)</w:t>
      </w:r>
      <w:r w:rsidRPr="00EE56FA">
        <w:rPr>
          <w:rFonts w:ascii="Arial Narrow" w:hAnsi="Arial Narrow" w:cs="Arial"/>
          <w:i/>
          <w:color w:val="000000"/>
          <w:spacing w:val="-2"/>
          <w:szCs w:val="24"/>
          <w:lang w:val="es-ES_tradnl"/>
        </w:rPr>
        <w:t>. Plan Estratégico de Población, San Luis Potosí, Soledad de Graciano Sánchez, publicado en el Periódico Oficial del Estado, el veintiuno de agosto de dos mil tres, como primer acto de aplicación.</w:t>
      </w:r>
    </w:p>
    <w:p w14:paraId="1FF8461D" w14:textId="7960D1E0" w:rsidR="0045254A" w:rsidRPr="00EE56FA" w:rsidRDefault="00FB5310" w:rsidP="00EE56FA">
      <w:pPr>
        <w:pStyle w:val="Estilo"/>
        <w:ind w:left="567" w:right="567"/>
        <w:rPr>
          <w:rFonts w:ascii="Arial Narrow" w:hAnsi="Arial Narrow" w:cs="Arial"/>
          <w:i/>
          <w:color w:val="000000"/>
          <w:spacing w:val="-2"/>
          <w:szCs w:val="24"/>
          <w:lang w:val="es-ES_tradnl"/>
        </w:rPr>
      </w:pPr>
      <w:r w:rsidRPr="00EE56FA">
        <w:rPr>
          <w:rFonts w:ascii="Arial Narrow" w:hAnsi="Arial Narrow" w:cs="Arial"/>
          <w:b/>
          <w:i/>
          <w:color w:val="000000"/>
          <w:spacing w:val="-2"/>
          <w:szCs w:val="24"/>
          <w:lang w:val="es-ES_tradnl"/>
        </w:rPr>
        <w:t>c).</w:t>
      </w:r>
      <w:r w:rsidRPr="00EE56FA">
        <w:rPr>
          <w:rFonts w:ascii="Arial Narrow" w:hAnsi="Arial Narrow" w:cs="Arial"/>
          <w:i/>
          <w:color w:val="000000"/>
          <w:spacing w:val="-2"/>
          <w:szCs w:val="24"/>
          <w:lang w:val="es-ES_tradnl"/>
        </w:rPr>
        <w:t xml:space="preserve"> Licencia de uso de suelo con número de folio </w:t>
      </w:r>
      <w:r w:rsidR="0050127A">
        <w:rPr>
          <w:rFonts w:ascii="Arial Narrow" w:hAnsi="Arial Narrow" w:cs="Arial"/>
          <w:i/>
          <w:color w:val="FF0000"/>
          <w:spacing w:val="-2"/>
          <w:szCs w:val="24"/>
          <w:lang w:val="es-ES_tradnl"/>
        </w:rPr>
        <w:t>**********</w:t>
      </w:r>
      <w:r w:rsidRPr="00EE56FA">
        <w:rPr>
          <w:rFonts w:ascii="Arial Narrow" w:hAnsi="Arial Narrow" w:cs="Arial"/>
          <w:i/>
          <w:color w:val="000000"/>
          <w:spacing w:val="-2"/>
          <w:szCs w:val="24"/>
          <w:lang w:val="es-ES_tradnl"/>
        </w:rPr>
        <w:t xml:space="preserve">/2020, de dieciséis de julio de dos mil veinte, emitida por el director de Desarrollo Urbano y Catastro Municipal de Soledad de Graciano Sánchez, San Luis Potosí; y </w:t>
      </w:r>
    </w:p>
    <w:p w14:paraId="437A0A0E" w14:textId="1C5ECBCA" w:rsidR="0045254A" w:rsidRPr="00EE56FA" w:rsidRDefault="00FB5310" w:rsidP="00EE56FA">
      <w:pPr>
        <w:pStyle w:val="Estilo"/>
        <w:ind w:left="567" w:right="567"/>
        <w:rPr>
          <w:rFonts w:ascii="Arial Narrow" w:hAnsi="Arial Narrow" w:cs="Arial"/>
          <w:i/>
          <w:color w:val="000000"/>
          <w:spacing w:val="-2"/>
          <w:szCs w:val="24"/>
          <w:lang w:val="es-ES_tradnl"/>
        </w:rPr>
      </w:pPr>
      <w:r w:rsidRPr="00EE56FA">
        <w:rPr>
          <w:rFonts w:ascii="Arial Narrow" w:hAnsi="Arial Narrow" w:cs="Arial"/>
          <w:b/>
          <w:i/>
          <w:color w:val="000000"/>
          <w:spacing w:val="-2"/>
          <w:szCs w:val="24"/>
          <w:lang w:val="es-ES_tradnl"/>
        </w:rPr>
        <w:t>d).</w:t>
      </w:r>
      <w:r w:rsidRPr="00EE56FA">
        <w:rPr>
          <w:rFonts w:ascii="Arial Narrow" w:hAnsi="Arial Narrow" w:cs="Arial"/>
          <w:i/>
          <w:color w:val="000000"/>
          <w:spacing w:val="-2"/>
          <w:szCs w:val="24"/>
          <w:lang w:val="es-ES_tradnl"/>
        </w:rPr>
        <w:t xml:space="preserve"> Convenio de reconocimiento de obligación de pago celebrado por el Ayuntamiento de Soledad de Graciano Sánchez, San Luis Potosí, representado por el Tesorero Municipal y la persona moral actora el dieciséis de junio de dos mil veinte. </w:t>
      </w:r>
    </w:p>
    <w:p w14:paraId="3BE09ED1" w14:textId="5B5D9DEF" w:rsidR="0045254A" w:rsidRPr="00EE56FA" w:rsidRDefault="00FB5310" w:rsidP="00EE56FA">
      <w:pPr>
        <w:pStyle w:val="Estilo"/>
        <w:ind w:left="567" w:right="567"/>
        <w:rPr>
          <w:rFonts w:ascii="Arial Narrow" w:hAnsi="Arial Narrow" w:cs="Arial"/>
          <w:i/>
          <w:color w:val="000000"/>
          <w:spacing w:val="-4"/>
          <w:szCs w:val="24"/>
          <w:lang w:val="es-ES_tradnl"/>
        </w:rPr>
      </w:pPr>
      <w:r w:rsidRPr="00EE56FA">
        <w:rPr>
          <w:rFonts w:ascii="Arial Narrow" w:hAnsi="Arial Narrow" w:cs="Arial"/>
          <w:b/>
          <w:bCs/>
          <w:i/>
          <w:color w:val="000000"/>
          <w:spacing w:val="-4"/>
          <w:szCs w:val="24"/>
          <w:lang w:val="es-ES_tradnl"/>
        </w:rPr>
        <w:t>B)</w:t>
      </w:r>
      <w:r w:rsidRPr="00EE56FA">
        <w:rPr>
          <w:rFonts w:ascii="Arial Narrow" w:hAnsi="Arial Narrow" w:cs="Arial"/>
          <w:i/>
          <w:color w:val="000000"/>
          <w:spacing w:val="-4"/>
          <w:szCs w:val="24"/>
          <w:lang w:val="es-ES_tradnl"/>
        </w:rPr>
        <w:t xml:space="preserve">. El once de septiembre de dos mil veinte, se admitió a trámite la demanda únicamente por lo que respecta a los actos identificados con los incisos </w:t>
      </w:r>
      <w:r w:rsidRPr="00EE56FA">
        <w:rPr>
          <w:rFonts w:ascii="Arial Narrow" w:hAnsi="Arial Narrow" w:cs="Arial"/>
          <w:b/>
          <w:i/>
          <w:color w:val="000000"/>
          <w:spacing w:val="-4"/>
          <w:szCs w:val="24"/>
          <w:lang w:val="es-ES_tradnl"/>
        </w:rPr>
        <w:t>a),</w:t>
      </w:r>
      <w:r w:rsidRPr="00EE56FA">
        <w:rPr>
          <w:rFonts w:ascii="Arial Narrow" w:hAnsi="Arial Narrow" w:cs="Arial"/>
          <w:i/>
          <w:color w:val="000000"/>
          <w:spacing w:val="-4"/>
          <w:szCs w:val="24"/>
          <w:lang w:val="es-ES_tradnl"/>
        </w:rPr>
        <w:t xml:space="preserve"> </w:t>
      </w:r>
      <w:r w:rsidRPr="00EE56FA">
        <w:rPr>
          <w:rFonts w:ascii="Arial Narrow" w:hAnsi="Arial Narrow" w:cs="Arial"/>
          <w:b/>
          <w:i/>
          <w:color w:val="000000"/>
          <w:spacing w:val="-4"/>
          <w:szCs w:val="24"/>
          <w:lang w:val="es-ES_tradnl"/>
        </w:rPr>
        <w:t>b)</w:t>
      </w:r>
      <w:r w:rsidRPr="00EE56FA">
        <w:rPr>
          <w:rFonts w:ascii="Arial Narrow" w:hAnsi="Arial Narrow" w:cs="Arial"/>
          <w:i/>
          <w:color w:val="000000"/>
          <w:spacing w:val="-4"/>
          <w:szCs w:val="24"/>
          <w:lang w:val="es-ES_tradnl"/>
        </w:rPr>
        <w:t xml:space="preserve"> y </w:t>
      </w:r>
      <w:r w:rsidRPr="00EE56FA">
        <w:rPr>
          <w:rFonts w:ascii="Arial Narrow" w:hAnsi="Arial Narrow" w:cs="Arial"/>
          <w:b/>
          <w:i/>
          <w:color w:val="000000"/>
          <w:spacing w:val="-4"/>
          <w:szCs w:val="24"/>
          <w:lang w:val="es-ES_tradnl"/>
        </w:rPr>
        <w:t>c)</w:t>
      </w:r>
      <w:r w:rsidRPr="00EE56FA">
        <w:rPr>
          <w:rFonts w:ascii="Arial Narrow" w:hAnsi="Arial Narrow" w:cs="Arial"/>
          <w:i/>
          <w:color w:val="000000"/>
          <w:spacing w:val="-4"/>
          <w:szCs w:val="24"/>
          <w:lang w:val="es-ES_tradnl"/>
        </w:rPr>
        <w:t xml:space="preserve"> antes precisados, y una vez substanciado el procedimiento, se llevó a cabo la audiencia a que </w:t>
      </w:r>
      <w:r w:rsidR="0078236A" w:rsidRPr="00EE56FA">
        <w:rPr>
          <w:rFonts w:ascii="Arial Narrow" w:hAnsi="Arial Narrow" w:cs="Arial"/>
          <w:i/>
          <w:color w:val="000000"/>
          <w:spacing w:val="-4"/>
          <w:szCs w:val="24"/>
          <w:lang w:val="es-ES_tradnl"/>
        </w:rPr>
        <w:t>se refiere el artículo 246 del Código Administrativo para el Estado de San Luis Potosí.</w:t>
      </w:r>
    </w:p>
    <w:p w14:paraId="3180B1B7" w14:textId="18C57E08" w:rsidR="0078236A" w:rsidRPr="00EE56FA" w:rsidRDefault="0078236A" w:rsidP="00EE56FA">
      <w:pPr>
        <w:pStyle w:val="Estilo"/>
        <w:ind w:left="567" w:right="567"/>
        <w:rPr>
          <w:rFonts w:ascii="Arial Narrow" w:hAnsi="Arial Narrow" w:cs="Arial"/>
          <w:i/>
          <w:color w:val="000000"/>
          <w:spacing w:val="-4"/>
          <w:szCs w:val="24"/>
          <w:lang w:val="es-ES_tradnl"/>
        </w:rPr>
      </w:pPr>
      <w:r w:rsidRPr="00EE56FA">
        <w:rPr>
          <w:rFonts w:ascii="Arial Narrow" w:hAnsi="Arial Narrow" w:cs="Arial"/>
          <w:b/>
          <w:bCs/>
          <w:i/>
          <w:color w:val="000000"/>
          <w:spacing w:val="-4"/>
          <w:szCs w:val="24"/>
          <w:lang w:val="es-ES_tradnl"/>
        </w:rPr>
        <w:t>C)</w:t>
      </w:r>
      <w:r w:rsidRPr="00EE56FA">
        <w:rPr>
          <w:rFonts w:ascii="Arial Narrow" w:hAnsi="Arial Narrow" w:cs="Arial"/>
          <w:i/>
          <w:color w:val="000000"/>
          <w:spacing w:val="-4"/>
          <w:szCs w:val="24"/>
          <w:lang w:val="es-ES_tradnl"/>
        </w:rPr>
        <w:t xml:space="preserve">. Seguido el juicio en sus etapas procesales, el </w:t>
      </w:r>
      <w:r w:rsidRPr="00EE56FA">
        <w:rPr>
          <w:rFonts w:ascii="Arial Narrow" w:hAnsi="Arial Narrow" w:cs="Arial"/>
          <w:b/>
          <w:i/>
          <w:color w:val="000000"/>
          <w:spacing w:val="-4"/>
          <w:szCs w:val="24"/>
          <w:lang w:val="es-ES_tradnl"/>
        </w:rPr>
        <w:t>treinta de septiembre de dos mil veintiuno,</w:t>
      </w:r>
      <w:r w:rsidRPr="00EE56FA">
        <w:rPr>
          <w:rFonts w:ascii="Arial Narrow" w:hAnsi="Arial Narrow" w:cs="Arial"/>
          <w:i/>
          <w:color w:val="000000"/>
          <w:spacing w:val="-4"/>
          <w:szCs w:val="24"/>
          <w:lang w:val="es-ES_tradnl"/>
        </w:rPr>
        <w:t xml:space="preserve"> la magistrada de la Primera Sala Unitaria del Tribunal Estatal de Justicia Administrativa, dictó resolución en la que decretó el sobreseimiento en el juicio, respecto de los actos impugnados identificados en los incisos </w:t>
      </w:r>
      <w:r w:rsidRPr="00EE56FA">
        <w:rPr>
          <w:rFonts w:ascii="Arial Narrow" w:hAnsi="Arial Narrow" w:cs="Arial"/>
          <w:b/>
          <w:i/>
          <w:color w:val="000000"/>
          <w:spacing w:val="-4"/>
          <w:szCs w:val="24"/>
          <w:lang w:val="es-ES_tradnl"/>
        </w:rPr>
        <w:t>a)</w:t>
      </w:r>
      <w:r w:rsidRPr="00EE56FA">
        <w:rPr>
          <w:rFonts w:ascii="Arial Narrow" w:hAnsi="Arial Narrow" w:cs="Arial"/>
          <w:i/>
          <w:color w:val="000000"/>
          <w:spacing w:val="-4"/>
          <w:szCs w:val="24"/>
          <w:lang w:val="es-ES_tradnl"/>
        </w:rPr>
        <w:t xml:space="preserve"> y </w:t>
      </w:r>
      <w:r w:rsidRPr="00EE56FA">
        <w:rPr>
          <w:rFonts w:ascii="Arial Narrow" w:hAnsi="Arial Narrow" w:cs="Arial"/>
          <w:b/>
          <w:i/>
          <w:color w:val="000000"/>
          <w:spacing w:val="-4"/>
          <w:szCs w:val="24"/>
          <w:lang w:val="es-ES_tradnl"/>
        </w:rPr>
        <w:t>b);</w:t>
      </w:r>
      <w:r w:rsidRPr="00EE56FA">
        <w:rPr>
          <w:rFonts w:ascii="Arial Narrow" w:hAnsi="Arial Narrow" w:cs="Arial"/>
          <w:i/>
          <w:color w:val="000000"/>
          <w:spacing w:val="-4"/>
          <w:szCs w:val="24"/>
          <w:lang w:val="es-ES_tradnl"/>
        </w:rPr>
        <w:t xml:space="preserve"> asimismo, se reconoció la validez del acto impugnado consistente en la licencia de uso de suelo de funcionamiento con número de folio </w:t>
      </w:r>
      <w:r w:rsidR="0050127A">
        <w:rPr>
          <w:rFonts w:ascii="Arial Narrow" w:hAnsi="Arial Narrow" w:cs="Arial"/>
          <w:i/>
          <w:color w:val="FF0000"/>
          <w:spacing w:val="-4"/>
          <w:szCs w:val="24"/>
          <w:lang w:val="es-ES_tradnl"/>
        </w:rPr>
        <w:t>**********</w:t>
      </w:r>
      <w:r w:rsidRPr="00EE56FA">
        <w:rPr>
          <w:rFonts w:ascii="Arial Narrow" w:hAnsi="Arial Narrow" w:cs="Arial"/>
          <w:i/>
          <w:color w:val="000000"/>
          <w:spacing w:val="-4"/>
          <w:szCs w:val="24"/>
          <w:lang w:val="es-ES_tradnl"/>
        </w:rPr>
        <w:t xml:space="preserve">/2020, de dieciséis de julio de dos mil veinte, precisada en el inciso </w:t>
      </w:r>
      <w:r w:rsidRPr="00EE56FA">
        <w:rPr>
          <w:rFonts w:ascii="Arial Narrow" w:hAnsi="Arial Narrow" w:cs="Arial"/>
          <w:b/>
          <w:i/>
          <w:color w:val="000000"/>
          <w:spacing w:val="-4"/>
          <w:szCs w:val="24"/>
          <w:lang w:val="es-ES_tradnl"/>
        </w:rPr>
        <w:t>c)</w:t>
      </w:r>
      <w:r w:rsidRPr="00EE56FA">
        <w:rPr>
          <w:rFonts w:ascii="Arial Narrow" w:hAnsi="Arial Narrow" w:cs="Arial"/>
          <w:i/>
          <w:color w:val="000000"/>
          <w:spacing w:val="-4"/>
          <w:szCs w:val="24"/>
          <w:lang w:val="es-ES_tradnl"/>
        </w:rPr>
        <w:t xml:space="preserve"> antes señalado.</w:t>
      </w:r>
    </w:p>
    <w:p w14:paraId="49F3851F" w14:textId="7402FD4F" w:rsidR="00807FBE" w:rsidRDefault="00A3114A"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eastAsiaTheme="minorHAnsi" w:hAnsi="Arial Narrow" w:cs="Arial"/>
          <w:b/>
          <w:bCs/>
          <w:i/>
          <w:sz w:val="24"/>
          <w:szCs w:val="24"/>
        </w:rPr>
        <w:t xml:space="preserve">D). </w:t>
      </w:r>
      <w:r w:rsidRPr="00EE56FA">
        <w:rPr>
          <w:rFonts w:ascii="Arial Narrow" w:eastAsiaTheme="minorHAnsi" w:hAnsi="Arial Narrow" w:cs="Arial"/>
          <w:i/>
          <w:sz w:val="24"/>
          <w:szCs w:val="24"/>
        </w:rPr>
        <w:t xml:space="preserve">En contra de dicha resolución, la parte actora interpuso recurso de apelación que conoció la Sala Superior del Tribunal Estatal de Justicia Administrativa, registrado el expediente con el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/2021/SS, y mediante ejecutoria de </w:t>
      </w:r>
      <w:r w:rsidRPr="00EE56FA">
        <w:rPr>
          <w:rFonts w:ascii="Arial Narrow" w:eastAsiaTheme="minorHAnsi" w:hAnsi="Arial Narrow" w:cs="Arial"/>
          <w:b/>
          <w:bCs/>
          <w:i/>
          <w:sz w:val="24"/>
          <w:szCs w:val="24"/>
        </w:rPr>
        <w:t>ocho de marzo de dos mil veintidós,</w:t>
      </w:r>
      <w:r w:rsidRPr="00EE56FA">
        <w:rPr>
          <w:rFonts w:ascii="Arial Narrow" w:eastAsiaTheme="minorHAnsi" w:hAnsi="Arial Narrow" w:cs="Arial"/>
          <w:bCs/>
          <w:i/>
          <w:sz w:val="24"/>
          <w:szCs w:val="24"/>
        </w:rPr>
        <w:t xml:space="preserve"> </w:t>
      </w:r>
      <w:r w:rsidRPr="00EE56FA">
        <w:rPr>
          <w:rFonts w:ascii="Arial Narrow" w:eastAsiaTheme="minorHAnsi" w:hAnsi="Arial Narrow" w:cs="Arial"/>
          <w:i/>
          <w:sz w:val="24"/>
          <w:szCs w:val="24"/>
        </w:rPr>
        <w:t xml:space="preserve">dicho tribunal modifico la sentencia impugnada y por tanto, sobreseyó en el juicio respecto de los actos impugnados consistentes en el oficio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/2020 de once de marzo de dos mli veinte, </w:t>
      </w:r>
      <w:r w:rsidR="00807FBE" w:rsidRPr="00EE56FA">
        <w:rPr>
          <w:rFonts w:ascii="Arial Narrow" w:eastAsiaTheme="minorHAnsi" w:hAnsi="Arial Narrow" w:cs="Arial"/>
          <w:i/>
          <w:sz w:val="24"/>
          <w:szCs w:val="24"/>
        </w:rPr>
        <w:t xml:space="preserve">emitida por el </w:t>
      </w:r>
      <w:r w:rsidR="00807FBE" w:rsidRPr="00EE56FA">
        <w:rPr>
          <w:rFonts w:ascii="Arial Narrow" w:hAnsi="Arial Narrow" w:cs="Arial"/>
          <w:i/>
          <w:color w:val="000000"/>
          <w:spacing w:val="-2"/>
          <w:sz w:val="24"/>
          <w:szCs w:val="24"/>
          <w:lang w:val="es-ES_tradnl"/>
        </w:rPr>
        <w:t xml:space="preserve">Director de Desarrollo Urbano y Catastro Municipal de Soledad de Graciano Sánchez, San Luis Potosí, y el Plan del Centro de Población Estratégico San Luis potosí – Soledad de Graciano Sánchez publicado en el Periódico Oficial el veintiuno de agosto de dos mil tres. </w:t>
      </w:r>
    </w:p>
    <w:p w14:paraId="53346F24" w14:textId="77777777" w:rsidR="00EE56FA" w:rsidRPr="00EE56FA" w:rsidRDefault="00EE56FA"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28873A71" w14:textId="2FCD61AB" w:rsidR="00807FBE" w:rsidRDefault="00807FBE" w:rsidP="00EE56FA">
      <w:pPr>
        <w:autoSpaceDE w:val="0"/>
        <w:autoSpaceDN w:val="0"/>
        <w:adjustRightInd w:val="0"/>
        <w:spacing w:after="0" w:line="240" w:lineRule="auto"/>
        <w:ind w:left="567" w:right="567"/>
        <w:jc w:val="both"/>
        <w:rPr>
          <w:rFonts w:ascii="Arial Narrow" w:eastAsiaTheme="minorHAnsi" w:hAnsi="Arial Narrow" w:cstheme="minorHAnsi"/>
          <w:i/>
          <w:sz w:val="24"/>
          <w:szCs w:val="24"/>
        </w:rPr>
      </w:pPr>
      <w:r w:rsidRPr="00EE56FA">
        <w:rPr>
          <w:rFonts w:ascii="Arial Narrow" w:eastAsiaTheme="minorHAnsi" w:hAnsi="Arial Narrow" w:cstheme="minorHAnsi"/>
          <w:i/>
          <w:sz w:val="24"/>
          <w:szCs w:val="24"/>
        </w:rPr>
        <w:lastRenderedPageBreak/>
        <w:t xml:space="preserve">Asimismo, se declaró </w:t>
      </w:r>
      <w:r w:rsidRPr="00EE56FA">
        <w:rPr>
          <w:rFonts w:ascii="Arial Narrow" w:eastAsiaTheme="minorHAnsi" w:hAnsi="Arial Narrow" w:cstheme="minorHAnsi"/>
          <w:b/>
          <w:bCs/>
          <w:i/>
          <w:sz w:val="24"/>
          <w:szCs w:val="24"/>
        </w:rPr>
        <w:t xml:space="preserve">la validez </w:t>
      </w:r>
      <w:r w:rsidRPr="00EE56FA">
        <w:rPr>
          <w:rFonts w:ascii="Arial Narrow" w:eastAsiaTheme="minorHAnsi" w:hAnsi="Arial Narrow" w:cstheme="minorHAnsi"/>
          <w:i/>
          <w:sz w:val="24"/>
          <w:szCs w:val="24"/>
        </w:rPr>
        <w:t xml:space="preserve">del acto impugnado consistente en la licencia de uso de suelo de funcionamiento con número de folio </w:t>
      </w:r>
      <w:r w:rsidR="0050127A">
        <w:rPr>
          <w:rFonts w:ascii="Arial Narrow" w:eastAsiaTheme="minorHAnsi" w:hAnsi="Arial Narrow" w:cstheme="minorHAnsi"/>
          <w:i/>
          <w:color w:val="FF0000"/>
          <w:sz w:val="24"/>
          <w:szCs w:val="24"/>
        </w:rPr>
        <w:t>**********</w:t>
      </w:r>
      <w:r w:rsidRPr="00EE56FA">
        <w:rPr>
          <w:rFonts w:ascii="Arial Narrow" w:eastAsiaTheme="minorHAnsi" w:hAnsi="Arial Narrow" w:cstheme="minorHAnsi"/>
          <w:i/>
          <w:sz w:val="24"/>
          <w:szCs w:val="24"/>
        </w:rPr>
        <w:t>/2020, de dieciséis de julio de dos mil veinte.</w:t>
      </w:r>
    </w:p>
    <w:p w14:paraId="1D9888EE"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theme="minorHAnsi"/>
          <w:i/>
          <w:sz w:val="24"/>
          <w:szCs w:val="24"/>
        </w:rPr>
      </w:pPr>
    </w:p>
    <w:p w14:paraId="0C82DE85" w14:textId="33E0857C" w:rsidR="00104208" w:rsidRDefault="00807FBE"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Ahora bien, la parte quejosa aduce en los conceptos de violación, que la sentencia resulta violatoria de sus derechos contenidos en los artículos 14 y 16 constitucionales, en relación con el artículo 249 del Código Procesal Administrativo para el Estado de San Luis Potosí, en virtud de que la sentencia es producto de un indebido análisis de los hechos e interpretación de las disposiciones legales, lo que trajo como consecuencia que la autoridad sobreseyera en el juicio de nulidad en relación con la resolución contenida en el oficio numero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y el Plan del Centro de Población Estratégico San Luis Potosí – Soledad de Graciano Sánchez.</w:t>
      </w:r>
    </w:p>
    <w:p w14:paraId="7FC9C58F"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29BC8434" w14:textId="1B6AE9A3" w:rsidR="00104208" w:rsidRDefault="00807FBE"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Para demostrar lo anterior, la parte quejosa explica el contenido de dichos preceptos constitucionales, y además, aduce que conforme el artículo </w:t>
      </w:r>
      <w:r w:rsidRPr="00EE56FA">
        <w:rPr>
          <w:rFonts w:ascii="Arial Narrow" w:eastAsiaTheme="minorHAnsi" w:hAnsi="Arial Narrow" w:cs="Arial"/>
          <w:i/>
          <w:iCs/>
          <w:sz w:val="24"/>
          <w:szCs w:val="24"/>
        </w:rPr>
        <w:t xml:space="preserve">1° </w:t>
      </w:r>
      <w:r w:rsidRPr="00EE56FA">
        <w:rPr>
          <w:rFonts w:ascii="Arial Narrow" w:eastAsiaTheme="minorHAnsi" w:hAnsi="Arial Narrow" w:cs="Arial"/>
          <w:i/>
          <w:sz w:val="24"/>
          <w:szCs w:val="24"/>
        </w:rPr>
        <w:t>Constitucional y los criterios emitidos por nuestros tribunales jurisdiccionales, debemos de atender en</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todo momento al principio "pro homine" o "pro personae" que</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exige a las autoridades aplicar o interpretar las normas vigentes</w:t>
      </w:r>
      <w:r w:rsidR="00104208" w:rsidRPr="00EE56FA">
        <w:rPr>
          <w:rFonts w:ascii="Arial Narrow" w:eastAsiaTheme="minorHAnsi" w:hAnsi="Arial Narrow" w:cs="Arial"/>
          <w:i/>
          <w:sz w:val="24"/>
          <w:szCs w:val="24"/>
        </w:rPr>
        <w:t xml:space="preserve"> de </w:t>
      </w:r>
      <w:r w:rsidRPr="00EE56FA">
        <w:rPr>
          <w:rFonts w:ascii="Arial Narrow" w:eastAsiaTheme="minorHAnsi" w:hAnsi="Arial Narrow" w:cs="Arial"/>
          <w:i/>
          <w:sz w:val="24"/>
          <w:szCs w:val="24"/>
        </w:rPr>
        <w:t>la forma arm</w:t>
      </w:r>
      <w:r w:rsidR="00104208" w:rsidRPr="00EE56FA">
        <w:rPr>
          <w:rFonts w:ascii="Arial Narrow" w:eastAsiaTheme="minorHAnsi" w:hAnsi="Arial Narrow" w:cs="Arial"/>
          <w:i/>
          <w:sz w:val="24"/>
          <w:szCs w:val="24"/>
        </w:rPr>
        <w:t>ó</w:t>
      </w:r>
      <w:r w:rsidRPr="00EE56FA">
        <w:rPr>
          <w:rFonts w:ascii="Arial Narrow" w:eastAsiaTheme="minorHAnsi" w:hAnsi="Arial Narrow" w:cs="Arial"/>
          <w:i/>
          <w:sz w:val="24"/>
          <w:szCs w:val="24"/>
        </w:rPr>
        <w:t>nica y sistem</w:t>
      </w:r>
      <w:r w:rsidR="00104208" w:rsidRPr="00EE56FA">
        <w:rPr>
          <w:rFonts w:ascii="Arial Narrow" w:eastAsiaTheme="minorHAnsi" w:hAnsi="Arial Narrow" w:cs="Arial"/>
          <w:i/>
          <w:sz w:val="24"/>
          <w:szCs w:val="24"/>
        </w:rPr>
        <w:t>á</w:t>
      </w:r>
      <w:r w:rsidRPr="00EE56FA">
        <w:rPr>
          <w:rFonts w:ascii="Arial Narrow" w:eastAsiaTheme="minorHAnsi" w:hAnsi="Arial Narrow" w:cs="Arial"/>
          <w:i/>
          <w:sz w:val="24"/>
          <w:szCs w:val="24"/>
        </w:rPr>
        <w:t>tica que favorezca en mayor grado</w:t>
      </w:r>
      <w:r w:rsidR="00104208" w:rsidRPr="00EE56FA">
        <w:rPr>
          <w:rFonts w:ascii="Arial Narrow" w:eastAsiaTheme="minorHAnsi" w:hAnsi="Arial Narrow" w:cs="Arial"/>
          <w:i/>
          <w:sz w:val="24"/>
          <w:szCs w:val="24"/>
        </w:rPr>
        <w:t xml:space="preserve"> al </w:t>
      </w:r>
      <w:r w:rsidRPr="00EE56FA">
        <w:rPr>
          <w:rFonts w:ascii="Arial Narrow" w:eastAsiaTheme="minorHAnsi" w:hAnsi="Arial Narrow" w:cs="Arial"/>
          <w:i/>
          <w:sz w:val="24"/>
          <w:szCs w:val="24"/>
        </w:rPr>
        <w:t>gobernado; luego, explica dichos principios, y refiere que</w:t>
      </w:r>
      <w:r w:rsidR="00104208" w:rsidRPr="00EE56FA">
        <w:rPr>
          <w:rFonts w:ascii="Arial Narrow" w:eastAsiaTheme="minorHAnsi" w:hAnsi="Arial Narrow" w:cs="Arial"/>
          <w:i/>
          <w:iCs/>
          <w:sz w:val="24"/>
          <w:szCs w:val="24"/>
        </w:rPr>
        <w:t xml:space="preserve"> </w:t>
      </w:r>
      <w:r w:rsidRPr="00EE56FA">
        <w:rPr>
          <w:rFonts w:ascii="Arial Narrow" w:eastAsiaTheme="minorHAnsi" w:hAnsi="Arial Narrow" w:cs="Arial"/>
          <w:i/>
          <w:sz w:val="24"/>
          <w:szCs w:val="24"/>
        </w:rPr>
        <w:t>conforme el C</w:t>
      </w:r>
      <w:r w:rsidR="00104208" w:rsidRPr="00EE56FA">
        <w:rPr>
          <w:rFonts w:ascii="Arial Narrow" w:eastAsiaTheme="minorHAnsi" w:hAnsi="Arial Narrow" w:cs="Arial"/>
          <w:i/>
          <w:sz w:val="24"/>
          <w:szCs w:val="24"/>
        </w:rPr>
        <w:t>ó</w:t>
      </w:r>
      <w:r w:rsidRPr="00EE56FA">
        <w:rPr>
          <w:rFonts w:ascii="Arial Narrow" w:eastAsiaTheme="minorHAnsi" w:hAnsi="Arial Narrow" w:cs="Arial"/>
          <w:i/>
          <w:sz w:val="24"/>
          <w:szCs w:val="24"/>
        </w:rPr>
        <w:t>digo Procesal Administrativo para el Estado de</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San Luis Potos</w:t>
      </w:r>
      <w:r w:rsidR="00104208" w:rsidRPr="00EE56FA">
        <w:rPr>
          <w:rFonts w:ascii="Arial Narrow" w:eastAsiaTheme="minorHAnsi" w:hAnsi="Arial Narrow" w:cs="Arial"/>
          <w:i/>
          <w:sz w:val="24"/>
          <w:szCs w:val="24"/>
        </w:rPr>
        <w:t>í</w:t>
      </w:r>
      <w:r w:rsidRPr="00EE56FA">
        <w:rPr>
          <w:rFonts w:ascii="Arial Narrow" w:eastAsiaTheme="minorHAnsi" w:hAnsi="Arial Narrow" w:cs="Arial"/>
          <w:i/>
          <w:sz w:val="24"/>
          <w:szCs w:val="24"/>
        </w:rPr>
        <w:t>, se debe declarar la nulidad lisa y llana de los</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actos impugnados, y que se debe reconocer que el predio</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 xml:space="preserve">ubicado en la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Municipio</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de Soledad de Graciano S</w:t>
      </w:r>
      <w:r w:rsidR="00104208" w:rsidRPr="00EE56FA">
        <w:rPr>
          <w:rFonts w:ascii="Arial Narrow" w:eastAsiaTheme="minorHAnsi" w:hAnsi="Arial Narrow" w:cs="Arial"/>
          <w:i/>
          <w:sz w:val="24"/>
          <w:szCs w:val="24"/>
        </w:rPr>
        <w:t>á</w:t>
      </w:r>
      <w:r w:rsidRPr="00EE56FA">
        <w:rPr>
          <w:rFonts w:ascii="Arial Narrow" w:eastAsiaTheme="minorHAnsi" w:hAnsi="Arial Narrow" w:cs="Arial"/>
          <w:i/>
          <w:sz w:val="24"/>
          <w:szCs w:val="24"/>
        </w:rPr>
        <w:t>nchez, le corresponde un uso de suelo</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 xml:space="preserve">"agropecuario", compatible con el </w:t>
      </w:r>
      <w:r w:rsidR="00104208" w:rsidRPr="00EE56FA">
        <w:rPr>
          <w:rFonts w:ascii="Arial Narrow" w:eastAsiaTheme="minorHAnsi" w:hAnsi="Arial Narrow" w:cs="Arial"/>
          <w:i/>
          <w:sz w:val="24"/>
          <w:szCs w:val="24"/>
        </w:rPr>
        <w:t>á</w:t>
      </w:r>
      <w:r w:rsidRPr="00EE56FA">
        <w:rPr>
          <w:rFonts w:ascii="Arial Narrow" w:eastAsiaTheme="minorHAnsi" w:hAnsi="Arial Narrow" w:cs="Arial"/>
          <w:i/>
          <w:sz w:val="24"/>
          <w:szCs w:val="24"/>
        </w:rPr>
        <w:t>rea silvestre en la que se</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encuentra ubicado, ordenando devolver las cantidades que la</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quejosa tuvo que erogar por un cambio de uso de suelo que</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resulta ilegal, y que se considere para efectos de la emisi</w:t>
      </w:r>
      <w:r w:rsidR="00104208" w:rsidRPr="00EE56FA">
        <w:rPr>
          <w:rFonts w:ascii="Arial Narrow" w:eastAsiaTheme="minorHAnsi" w:hAnsi="Arial Narrow" w:cs="Arial"/>
          <w:i/>
          <w:sz w:val="24"/>
          <w:szCs w:val="24"/>
        </w:rPr>
        <w:t>ó</w:t>
      </w:r>
      <w:r w:rsidRPr="00EE56FA">
        <w:rPr>
          <w:rFonts w:ascii="Arial Narrow" w:eastAsiaTheme="minorHAnsi" w:hAnsi="Arial Narrow" w:cs="Arial"/>
          <w:i/>
          <w:sz w:val="24"/>
          <w:szCs w:val="24"/>
        </w:rPr>
        <w:t>n de</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cualquier tipo de permisos y/o licencias, que la quejosa realiza</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actividades "agropecuarias", no as</w:t>
      </w:r>
      <w:r w:rsidR="00104208" w:rsidRPr="00EE56FA">
        <w:rPr>
          <w:rFonts w:ascii="Arial Narrow" w:eastAsiaTheme="minorHAnsi" w:hAnsi="Arial Narrow" w:cs="Arial"/>
          <w:i/>
          <w:sz w:val="24"/>
          <w:szCs w:val="24"/>
        </w:rPr>
        <w:t>í</w:t>
      </w:r>
      <w:r w:rsidRPr="00EE56FA">
        <w:rPr>
          <w:rFonts w:ascii="Arial Narrow" w:eastAsiaTheme="minorHAnsi" w:hAnsi="Arial Narrow" w:cs="Arial"/>
          <w:i/>
          <w:sz w:val="24"/>
          <w:szCs w:val="24"/>
        </w:rPr>
        <w:t xml:space="preserve"> "agroindustriales" o</w:t>
      </w:r>
      <w:r w:rsidR="00104208" w:rsidRPr="00EE56FA">
        <w:rPr>
          <w:rFonts w:ascii="Arial Narrow" w:eastAsiaTheme="minorHAnsi" w:hAnsi="Arial Narrow" w:cs="Arial"/>
          <w:i/>
          <w:sz w:val="24"/>
          <w:szCs w:val="24"/>
        </w:rPr>
        <w:t xml:space="preserve"> </w:t>
      </w:r>
      <w:r w:rsidRPr="00EE56FA">
        <w:rPr>
          <w:rFonts w:ascii="Arial Narrow" w:eastAsiaTheme="minorHAnsi" w:hAnsi="Arial Narrow" w:cs="Arial"/>
          <w:i/>
          <w:sz w:val="24"/>
          <w:szCs w:val="24"/>
        </w:rPr>
        <w:t>"comerciales".</w:t>
      </w:r>
    </w:p>
    <w:p w14:paraId="7AACFA81"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571746FD" w14:textId="77777777" w:rsidR="00BD325A" w:rsidRDefault="00104208"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Asimismo, la parte quejosa transcribe parte de la sentencia reclamada, sintetiza las conclusiones a las que arribo la autoridad responsable, y concluye que la sentencia es ilegal al encontrarse indebidamente fundada y motivada, en virtud de que la autoridad partió de una incorrecta interpretación de las disposiciones fiscales, toda vez que si resultaba obligatorio para la Sala responsable estudiar y analizar la legalidad de los actos impugnados. Que la sentencia que por esta vía se impugna resulta ilegal y violatoria de los derechos fundamentales consagrados en los artículos 14 y 16 Constitucionales, en la medida en la que contrario a lo que resolvió la Sala responsable, en el caso no se actualizan los supuestos previstos por la fracción VI del artículo 228 del Código Procesal Administrativo para el Estado de San Luis Potosí, en relación con la fracción II del artículo 229 del mismo ordenamiento legal, porque conforme a dichos preceptos, se deberá de sobreseer en el juicio de nulidad en caso de que se actualice una causal de improcedencia, siendo una de ellas cuando los actos se hubieren consentido expresamente o por manifestaciones de voluntad que entra</w:t>
      </w:r>
      <w:r w:rsidR="00BD325A" w:rsidRPr="00EE56FA">
        <w:rPr>
          <w:rFonts w:ascii="Arial Narrow" w:eastAsiaTheme="minorHAnsi" w:hAnsi="Arial Narrow" w:cs="Arial"/>
          <w:i/>
          <w:sz w:val="24"/>
          <w:szCs w:val="24"/>
        </w:rPr>
        <w:t>ñ</w:t>
      </w:r>
      <w:r w:rsidRPr="00EE56FA">
        <w:rPr>
          <w:rFonts w:ascii="Arial Narrow" w:eastAsiaTheme="minorHAnsi" w:hAnsi="Arial Narrow" w:cs="Arial"/>
          <w:i/>
          <w:sz w:val="24"/>
          <w:szCs w:val="24"/>
        </w:rPr>
        <w:t>en ese consentimiento, entendi</w:t>
      </w:r>
      <w:r w:rsidR="00BD325A" w:rsidRPr="00EE56FA">
        <w:rPr>
          <w:rFonts w:ascii="Arial Narrow" w:eastAsiaTheme="minorHAnsi" w:hAnsi="Arial Narrow" w:cs="Arial"/>
          <w:i/>
          <w:sz w:val="24"/>
          <w:szCs w:val="24"/>
        </w:rPr>
        <w:t>é</w:t>
      </w:r>
      <w:r w:rsidRPr="00EE56FA">
        <w:rPr>
          <w:rFonts w:ascii="Arial Narrow" w:eastAsiaTheme="minorHAnsi" w:hAnsi="Arial Narrow" w:cs="Arial"/>
          <w:i/>
          <w:sz w:val="24"/>
          <w:szCs w:val="24"/>
        </w:rPr>
        <w:t xml:space="preserve">ndose por estos </w:t>
      </w:r>
      <w:r w:rsidR="00BD325A" w:rsidRPr="00EE56FA">
        <w:rPr>
          <w:rFonts w:ascii="Arial Narrow" w:eastAsiaTheme="minorHAnsi" w:hAnsi="Arial Narrow" w:cs="Arial"/>
          <w:i/>
          <w:sz w:val="24"/>
          <w:szCs w:val="24"/>
        </w:rPr>
        <w:t>ú</w:t>
      </w:r>
      <w:r w:rsidRPr="00EE56FA">
        <w:rPr>
          <w:rFonts w:ascii="Arial Narrow" w:eastAsiaTheme="minorHAnsi" w:hAnsi="Arial Narrow" w:cs="Arial"/>
          <w:i/>
          <w:sz w:val="24"/>
          <w:szCs w:val="24"/>
        </w:rPr>
        <w:t>ltimos, aquellos en contra de los cuales no se promueva el juicio dentro de los plazos que para tal efecto se establezcan.</w:t>
      </w:r>
      <w:r w:rsidR="00BD325A" w:rsidRPr="00EE56FA">
        <w:rPr>
          <w:rFonts w:ascii="Arial Narrow" w:eastAsiaTheme="minorHAnsi" w:hAnsi="Arial Narrow" w:cs="Arial"/>
          <w:i/>
          <w:sz w:val="24"/>
          <w:szCs w:val="24"/>
        </w:rPr>
        <w:t xml:space="preserve"> </w:t>
      </w:r>
    </w:p>
    <w:p w14:paraId="591314EF"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29666041" w14:textId="4590B207" w:rsidR="00F72D75" w:rsidRDefault="00BD325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Sin embargo, concluye la parte quejosa, en el caso particular no se actualizan las hipótesis previstas dentro de la fracción VI del artículo 228 y la fracción II </w:t>
      </w:r>
      <w:r w:rsidRPr="00EE56FA">
        <w:rPr>
          <w:rFonts w:ascii="Arial Narrow" w:eastAsiaTheme="minorHAnsi" w:hAnsi="Arial Narrow" w:cs="Arial"/>
          <w:i/>
          <w:sz w:val="24"/>
          <w:szCs w:val="24"/>
        </w:rPr>
        <w:lastRenderedPageBreak/>
        <w:t xml:space="preserve">del artículo 229 del Código Procesal Administrativo para el Estado de San Luis Potosí, respecto de la resolución contenida en el oficio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fecha once de marzo de dos mil veinte, y el Plan del Centro de Población Estratégico San Luis Potosí – Soledad de Graciano Sánchez, como incorrectamente lo afirmo la Sala responsable, en virtud de que la actora en el juicio presentó en tiempo y forma legales una demanda de nulidad en su contra lo que incluso se prevé expresamente como una excepción para tener por consentido el acto reclamado, en términos de la propia fracción VI del artículo 228 del Código Procesal Administrativo para el Estado de San Luis Potosí.</w:t>
      </w:r>
      <w:r w:rsidR="00F72D75" w:rsidRPr="00EE56FA">
        <w:rPr>
          <w:rFonts w:ascii="Arial Narrow" w:eastAsiaTheme="minorHAnsi" w:hAnsi="Arial Narrow" w:cs="Arial"/>
          <w:i/>
          <w:sz w:val="24"/>
          <w:szCs w:val="24"/>
        </w:rPr>
        <w:t xml:space="preserve"> </w:t>
      </w:r>
    </w:p>
    <w:p w14:paraId="4C16E838"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1A093F8" w14:textId="3C7D71DD" w:rsidR="00F72D75" w:rsidRDefault="00BD325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Que la fracción VI del artículo 228 del Código Procesal Administrativo para el Estado de San Luis Potosí, reconoce como actos consentidos únicamente a aquellos respecto de los cuales los particulares no hubieran interpuesto los medios de defensa dentro de los plazos que tenía para hacerlo; y en el caso particular, la parte quejosa</w:t>
      </w:r>
      <w:r w:rsidR="00F72D75" w:rsidRPr="00EE56FA">
        <w:rPr>
          <w:rFonts w:ascii="Arial Narrow" w:eastAsiaTheme="minorHAnsi" w:hAnsi="Arial Narrow" w:cs="Arial"/>
          <w:i/>
          <w:sz w:val="24"/>
          <w:szCs w:val="24"/>
        </w:rPr>
        <w:t xml:space="preserve"> interpuso en tiempo y forma una demanda de </w:t>
      </w:r>
      <w:r w:rsidRPr="00EE56FA">
        <w:rPr>
          <w:rFonts w:ascii="Arial Narrow" w:eastAsiaTheme="minorHAnsi" w:hAnsi="Arial Narrow" w:cs="Arial"/>
          <w:i/>
          <w:sz w:val="24"/>
          <w:szCs w:val="24"/>
        </w:rPr>
        <w:t>nulidad</w:t>
      </w:r>
      <w:r w:rsidR="00F72D75" w:rsidRPr="00EE56FA">
        <w:rPr>
          <w:rFonts w:ascii="Arial Narrow" w:eastAsiaTheme="minorHAnsi" w:hAnsi="Arial Narrow" w:cs="Arial"/>
          <w:i/>
          <w:sz w:val="24"/>
          <w:szCs w:val="24"/>
        </w:rPr>
        <w:t xml:space="preserve"> en contra del oficio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w:t>
      </w:r>
      <w:r w:rsidR="00F72D75" w:rsidRPr="00EE56FA">
        <w:rPr>
          <w:rFonts w:ascii="Arial Narrow" w:eastAsiaTheme="minorHAnsi" w:hAnsi="Arial Narrow" w:cs="Arial"/>
          <w:i/>
          <w:sz w:val="24"/>
          <w:szCs w:val="24"/>
        </w:rPr>
        <w:t xml:space="preserve"> de fecha once de marzo de dos mil </w:t>
      </w:r>
      <w:r w:rsidRPr="00EE56FA">
        <w:rPr>
          <w:rFonts w:ascii="Arial Narrow" w:eastAsiaTheme="minorHAnsi" w:hAnsi="Arial Narrow" w:cs="Arial"/>
          <w:i/>
          <w:sz w:val="24"/>
          <w:szCs w:val="24"/>
        </w:rPr>
        <w:t>veinte y el Plan del Cent</w:t>
      </w:r>
      <w:r w:rsidR="00F72D75" w:rsidRPr="00EE56FA">
        <w:rPr>
          <w:rFonts w:ascii="Arial Narrow" w:eastAsiaTheme="minorHAnsi" w:hAnsi="Arial Narrow" w:cs="Arial"/>
          <w:i/>
          <w:sz w:val="24"/>
          <w:szCs w:val="24"/>
        </w:rPr>
        <w:t xml:space="preserve">ro de Población Estratégico San Luis Potosí – Soledad de Graciano Sánchez, y por tanto, concluye que en el caso no se actualizan las hipótesis de improcedencia y sobreseimiento previstas dentro de la fracción VI del artículo 228 y la fracción II del artículo 229 del Código Procesal Administrativo para el Estado de San Luis Potosí. </w:t>
      </w:r>
    </w:p>
    <w:p w14:paraId="25D78C8E"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270027B7" w14:textId="37D5AA6B" w:rsidR="00BD325A" w:rsidRDefault="00F72D75"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Ello con independencia de que la actora haya suscrito el "Convenio de Reconocimiento de Obligación de Pago" con el Ayuntamiento de Soledad de Graciano Sánchez, San Luis Potosí, el dieciséis de junio de dos mil veinte, debido a que la Sala superior pierde de vista en primer término que al momento de suscribir el convenio antes mencionado, la actora e momento manifestó su conformidad con el oficio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once de marzo de dos mil veinte o respecto del Plan del Centro de Población Estratégico Potosí – Soledad de Graciano Sánchez.</w:t>
      </w:r>
    </w:p>
    <w:p w14:paraId="5937DFC1"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44540B2C" w14:textId="281DBB4F" w:rsidR="00C94EE7" w:rsidRDefault="00C94EE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Asimismo, la quejosa aduce que del citado convenio la actora no manifestó expresamente su conformidad con los actos de referencia, o bien que renunciaría, al momento de la suscripción de dicho convenio, a la presentación de los medios de defensa existentes en contra de la resolución contenida en el oficio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/2020 de fecha once de marzo de dos mil veinte o el Plan del Centro de Población Estratégico San Luis Potosí – Soledad de Graciano Sánchez; por tanto, concluye la quejosa, resulta evidente que no se actualiza la hipótesis prevista en la fracción VI del articulo 228 del Código Procesal Administrativo para el Estado de San Luis Potosí, en la medida en que la actora no consintió dicha resolución o el Plan del Centro de Población Estratégico San Luis Potosí – Soledad de Graciano Sánchez, sino que por el contrario, presento en tiempo y forma legales una demanda de nulidad en su contra. </w:t>
      </w:r>
    </w:p>
    <w:p w14:paraId="4F8FC37B"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7D849E7" w14:textId="13EE0AD3" w:rsidR="00C94EE7" w:rsidRDefault="00C94EE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Asimismo, la quejosa aduce que de la demanda de nulidad, en el capítulo de hechos, así como de las pruebas que fueron ofrecidas en el juicio de nulidad de origen, la parte quejosa se vio en la necesidad de suscribir </w:t>
      </w:r>
      <w:r w:rsidRPr="00EE56FA">
        <w:rPr>
          <w:rFonts w:ascii="Arial Narrow" w:eastAsiaTheme="minorHAnsi" w:hAnsi="Arial Narrow" w:cs="Arial"/>
          <w:i/>
          <w:iCs/>
          <w:sz w:val="24"/>
          <w:szCs w:val="24"/>
        </w:rPr>
        <w:t xml:space="preserve">el </w:t>
      </w:r>
      <w:r w:rsidRPr="00EE56FA">
        <w:rPr>
          <w:rFonts w:ascii="Arial Narrow" w:eastAsiaTheme="minorHAnsi" w:hAnsi="Arial Narrow" w:cs="Arial"/>
          <w:i/>
          <w:sz w:val="24"/>
          <w:szCs w:val="24"/>
        </w:rPr>
        <w:t xml:space="preserve">convenio de pago de mérito en aras de seguir operando, no obstante la ilegalidad del oficio; y que de los hechos y pruebas aportadas se advierte que el inmueble de la actora fue clausurado </w:t>
      </w:r>
      <w:r w:rsidRPr="00EE56FA">
        <w:rPr>
          <w:rFonts w:ascii="Arial Narrow" w:eastAsiaTheme="minorHAnsi" w:hAnsi="Arial Narrow" w:cs="Arial"/>
          <w:i/>
          <w:iCs/>
          <w:sz w:val="24"/>
          <w:szCs w:val="24"/>
        </w:rPr>
        <w:t xml:space="preserve">como </w:t>
      </w:r>
      <w:r w:rsidRPr="00EE56FA">
        <w:rPr>
          <w:rFonts w:ascii="Arial Narrow" w:eastAsiaTheme="minorHAnsi" w:hAnsi="Arial Narrow" w:cs="Arial"/>
          <w:i/>
          <w:sz w:val="24"/>
          <w:szCs w:val="24"/>
        </w:rPr>
        <w:t xml:space="preserve">consecuencia de la orden de inspección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de fecha quince de junio de dos mil veinte, suscrita por Directora de Comercio del Municipio de Soledad de Graciano Sánchez, San Luis Potosí, toda vez que la parte quejosa no contaba con licencia de funcionamiento expedida por la Dirección de Comercio de dicho Municipio.</w:t>
      </w:r>
    </w:p>
    <w:p w14:paraId="594B33C1"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01B4CDDC" w14:textId="6B59BCB9" w:rsidR="009927B7" w:rsidRDefault="00C94EE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Que al respecto, refiere la quejosa, para estar en posibilidad de contar con la licencia de funcionamiento</w:t>
      </w:r>
      <w:r w:rsidR="002F13EB" w:rsidRPr="00EE56FA">
        <w:rPr>
          <w:rFonts w:ascii="Arial Narrow" w:eastAsiaTheme="minorHAnsi" w:hAnsi="Arial Narrow" w:cs="Arial"/>
          <w:i/>
          <w:sz w:val="24"/>
          <w:szCs w:val="24"/>
        </w:rPr>
        <w:t xml:space="preserve"> de mérito, la parte quejosa requería de una licencia de uso de suelo de funcionamiento, misma que le fue negada por el Director de Desarrollo Urbano y Catastro Municipal del Municipio de Soledad </w:t>
      </w:r>
      <w:r w:rsidR="002F13EB" w:rsidRPr="00EE56FA">
        <w:rPr>
          <w:rFonts w:ascii="Arial Narrow" w:eastAsiaTheme="minorHAnsi" w:hAnsi="Arial Narrow" w:cs="Arial"/>
          <w:i/>
          <w:sz w:val="24"/>
          <w:szCs w:val="24"/>
        </w:rPr>
        <w:lastRenderedPageBreak/>
        <w:t xml:space="preserve">de Graciano Sánchez, San Luis Potosí; a través del oficio número </w:t>
      </w:r>
      <w:r w:rsidR="0050127A">
        <w:rPr>
          <w:rFonts w:ascii="Arial Narrow" w:eastAsiaTheme="minorHAnsi" w:hAnsi="Arial Narrow" w:cs="Arial"/>
          <w:i/>
          <w:color w:val="FF0000"/>
          <w:sz w:val="24"/>
          <w:szCs w:val="24"/>
        </w:rPr>
        <w:t>**********</w:t>
      </w:r>
      <w:r w:rsidR="002F13EB" w:rsidRPr="00EE56FA">
        <w:rPr>
          <w:rFonts w:ascii="Arial Narrow" w:eastAsiaTheme="minorHAnsi" w:hAnsi="Arial Narrow" w:cs="Arial"/>
          <w:i/>
          <w:sz w:val="24"/>
          <w:szCs w:val="24"/>
        </w:rPr>
        <w:t>/2020, de fecha once de marzo de dos mil veinte; que por ende, concluye, que derivado de que el inmueble de la parte quejosa consiste en una unidad de producción avícola (granja avícola), lo que incluso evidencio con la prueba de inspección ofrecida y desahogada en autos, a efecto de que se levantara la clausura y evitara perdidas económicas e incluso la muerte de las aves de corral que produce, fue que en términos del convenio se comprometió a pagar la cantidad de $</w:t>
      </w:r>
      <w:r w:rsidR="002F13EB" w:rsidRPr="00EE56FA">
        <w:rPr>
          <w:rFonts w:ascii="Arial Narrow" w:eastAsiaTheme="minorHAnsi" w:hAnsi="Arial Narrow" w:cs="Arial"/>
          <w:i/>
          <w:color w:val="0000FF"/>
          <w:sz w:val="24"/>
          <w:szCs w:val="24"/>
        </w:rPr>
        <w:t>1'424,512.00 (un millón cuatrocientos veinticuatro mil quinientos doce pesos 00/100 moneda nacional)</w:t>
      </w:r>
      <w:r w:rsidR="002F13EB" w:rsidRPr="00EE56FA">
        <w:rPr>
          <w:rFonts w:ascii="Arial Narrow" w:eastAsiaTheme="minorHAnsi" w:hAnsi="Arial Narrow" w:cs="Arial"/>
          <w:i/>
          <w:sz w:val="24"/>
          <w:szCs w:val="24"/>
        </w:rPr>
        <w:t xml:space="preserve"> por una licencia de "cambio de uso de suelo" y el pago de refrendo de la licencia de funcionamiento</w:t>
      </w:r>
      <w:r w:rsidR="009927B7" w:rsidRPr="00EE56FA">
        <w:rPr>
          <w:rFonts w:ascii="Arial Narrow" w:eastAsiaTheme="minorHAnsi" w:hAnsi="Arial Narrow" w:cs="Arial"/>
          <w:i/>
          <w:sz w:val="24"/>
          <w:szCs w:val="24"/>
        </w:rPr>
        <w:t xml:space="preserve"> </w:t>
      </w:r>
      <w:r w:rsidR="002F13EB" w:rsidRPr="00EE56FA">
        <w:rPr>
          <w:rFonts w:ascii="Arial Narrow" w:eastAsiaTheme="minorHAnsi" w:hAnsi="Arial Narrow" w:cs="Arial"/>
          <w:i/>
          <w:sz w:val="24"/>
          <w:szCs w:val="24"/>
        </w:rPr>
        <w:t>correspondiente al a</w:t>
      </w:r>
      <w:r w:rsidR="009927B7" w:rsidRPr="00EE56FA">
        <w:rPr>
          <w:rFonts w:ascii="Arial Narrow" w:eastAsiaTheme="minorHAnsi" w:hAnsi="Arial Narrow" w:cs="Arial"/>
          <w:i/>
          <w:sz w:val="24"/>
          <w:szCs w:val="24"/>
        </w:rPr>
        <w:t>ñ</w:t>
      </w:r>
      <w:r w:rsidR="002F13EB" w:rsidRPr="00EE56FA">
        <w:rPr>
          <w:rFonts w:ascii="Arial Narrow" w:eastAsiaTheme="minorHAnsi" w:hAnsi="Arial Narrow" w:cs="Arial"/>
          <w:i/>
          <w:sz w:val="24"/>
          <w:szCs w:val="24"/>
        </w:rPr>
        <w:t>o dos mil veinte.</w:t>
      </w:r>
      <w:r w:rsidR="009927B7" w:rsidRPr="00EE56FA">
        <w:rPr>
          <w:rFonts w:ascii="Arial Narrow" w:eastAsiaTheme="minorHAnsi" w:hAnsi="Arial Narrow" w:cs="Arial"/>
          <w:i/>
          <w:sz w:val="24"/>
          <w:szCs w:val="24"/>
        </w:rPr>
        <w:t xml:space="preserve"> Que por tanto, si la parte quejosa no hubiera firmado el convenio hubiera sufrido una pérdida económica significativa derivado de que no habría tenido la oportunidad de brindar alimento y demás cuidados necesarios a las aves de corral, los cuales son seres vivos que requieren de cuidados especiales. Por otra parte, refiere la quejosa que la Sala considero que la parte actora tuvo la oportunidad de presentar los medios de defensa correspondientes y solicitar las medidas cautelares en su momento; sin embargo, refiere la quejosa, la Sala superior pasa por alto que los eventos que fueron narrados en este concepto de violación se dieron durante la pandemia generada por el COVID- 19, lo que ocasiono la suspensión de plazos para la elaboración y presentación de los medios de defensa reservándose su presentación a los casos urgentes.</w:t>
      </w:r>
    </w:p>
    <w:p w14:paraId="350D466F"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52B8B8CC" w14:textId="55B69B59" w:rsidR="009927B7" w:rsidRDefault="009927B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Que los plazos para presentar el juicio de nulidad ante el Tribunal Estatal de Justicia Administrativa de San Luis Potosí, fueron suspendidos del dieciocho de marzo hasta el treinta de junio de dos mil veinte, considerando también como inhábil el día diez de agosto de dos mil veinte, en términos de lo previsto dentro de los siguientes Avisos y Acuerdos:</w:t>
      </w:r>
    </w:p>
    <w:p w14:paraId="5953E990"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59728E4E" w14:textId="529BC40B" w:rsidR="009927B7" w:rsidRPr="00EE56FA" w:rsidRDefault="009927B7" w:rsidP="00EE56FA">
      <w:pPr>
        <w:pStyle w:val="Prrafodelista"/>
        <w:numPr>
          <w:ilvl w:val="0"/>
          <w:numId w:val="7"/>
        </w:numPr>
        <w:autoSpaceDE w:val="0"/>
        <w:autoSpaceDN w:val="0"/>
        <w:adjustRightInd w:val="0"/>
        <w:spacing w:after="0" w:line="240" w:lineRule="auto"/>
        <w:ind w:left="737" w:right="618" w:hanging="170"/>
        <w:jc w:val="both"/>
        <w:rPr>
          <w:rFonts w:ascii="Arial Narrow" w:eastAsiaTheme="minorHAnsi" w:hAnsi="Arial Narrow" w:cs="Arial"/>
          <w:i/>
          <w:sz w:val="24"/>
          <w:szCs w:val="24"/>
        </w:rPr>
      </w:pPr>
      <w:r w:rsidRPr="00EE56FA">
        <w:rPr>
          <w:rFonts w:ascii="Arial Narrow" w:eastAsiaTheme="minorHAnsi" w:hAnsi="Arial Narrow" w:cs="Arial"/>
          <w:i/>
          <w:sz w:val="24"/>
          <w:szCs w:val="24"/>
        </w:rPr>
        <w:t>Aviso en tomo a la situación sanitaria emergente del País por el coronavirus, COVID19, de fecha de publicación 19 de marzo de 2020 (19 de marzo al 19 de abril de 2020);</w:t>
      </w:r>
    </w:p>
    <w:p w14:paraId="7DD446B9" w14:textId="3BDCF9AA" w:rsidR="009927B7" w:rsidRPr="00EE56FA" w:rsidRDefault="009927B7" w:rsidP="00EE56FA">
      <w:pPr>
        <w:pStyle w:val="Prrafodelista"/>
        <w:numPr>
          <w:ilvl w:val="0"/>
          <w:numId w:val="7"/>
        </w:numPr>
        <w:autoSpaceDE w:val="0"/>
        <w:autoSpaceDN w:val="0"/>
        <w:adjustRightInd w:val="0"/>
        <w:spacing w:after="0" w:line="240" w:lineRule="auto"/>
        <w:ind w:left="737" w:right="618" w:hanging="170"/>
        <w:jc w:val="both"/>
        <w:rPr>
          <w:rFonts w:ascii="Arial Narrow" w:eastAsiaTheme="minorHAnsi" w:hAnsi="Arial Narrow" w:cs="Arial"/>
          <w:i/>
          <w:sz w:val="24"/>
          <w:szCs w:val="24"/>
        </w:rPr>
      </w:pPr>
      <w:r w:rsidRPr="00EE56FA">
        <w:rPr>
          <w:rFonts w:ascii="Arial Narrow" w:eastAsiaTheme="minorHAnsi" w:hAnsi="Arial Narrow" w:cs="Arial"/>
          <w:i/>
          <w:sz w:val="24"/>
          <w:szCs w:val="24"/>
        </w:rPr>
        <w:t>Acuerdo del Pleno del Tribunal Estatal de Justicia Administrativa de San Luis Potosí que Determina la Prórroga de la Suspensión de Actividades Jurisdiccionales del 20 de abril a 5 de mayo del 2020;</w:t>
      </w:r>
    </w:p>
    <w:p w14:paraId="2762CF44" w14:textId="783A4253" w:rsidR="009927B7" w:rsidRPr="00EE56FA" w:rsidRDefault="009927B7" w:rsidP="00EE56FA">
      <w:pPr>
        <w:pStyle w:val="Prrafodelista"/>
        <w:numPr>
          <w:ilvl w:val="0"/>
          <w:numId w:val="7"/>
        </w:numPr>
        <w:autoSpaceDE w:val="0"/>
        <w:autoSpaceDN w:val="0"/>
        <w:adjustRightInd w:val="0"/>
        <w:spacing w:after="0" w:line="240" w:lineRule="auto"/>
        <w:ind w:left="709" w:right="567" w:hanging="142"/>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Acuerdo del Pleno del Tribunal Estatal de Justicia Administrativa </w:t>
      </w:r>
      <w:r w:rsidR="004D51F6" w:rsidRPr="00EE56FA">
        <w:rPr>
          <w:rFonts w:ascii="Arial Narrow" w:eastAsiaTheme="minorHAnsi" w:hAnsi="Arial Narrow" w:cs="Arial"/>
          <w:i/>
          <w:sz w:val="24"/>
          <w:szCs w:val="24"/>
        </w:rPr>
        <w:t xml:space="preserve">de San Luis Potosí que Determina la Prórroga de la Suspensión de Actividades Jurisdiccionales del 6 a 31de mayo del 2020; </w:t>
      </w:r>
    </w:p>
    <w:p w14:paraId="6E0F5286" w14:textId="39A2BE07" w:rsidR="004D51F6" w:rsidRPr="00EE56FA" w:rsidRDefault="004D51F6" w:rsidP="00EE56FA">
      <w:pPr>
        <w:pStyle w:val="Prrafodelista"/>
        <w:numPr>
          <w:ilvl w:val="0"/>
          <w:numId w:val="7"/>
        </w:numPr>
        <w:autoSpaceDE w:val="0"/>
        <w:autoSpaceDN w:val="0"/>
        <w:adjustRightInd w:val="0"/>
        <w:spacing w:after="0" w:line="240" w:lineRule="auto"/>
        <w:ind w:left="737" w:right="618" w:hanging="170"/>
        <w:jc w:val="both"/>
        <w:rPr>
          <w:rFonts w:ascii="Arial Narrow" w:eastAsiaTheme="minorHAnsi" w:hAnsi="Arial Narrow" w:cs="Arial"/>
          <w:i/>
          <w:sz w:val="24"/>
          <w:szCs w:val="24"/>
        </w:rPr>
      </w:pPr>
      <w:r w:rsidRPr="00EE56FA">
        <w:rPr>
          <w:rFonts w:ascii="Arial Narrow" w:eastAsiaTheme="minorHAnsi" w:hAnsi="Arial Narrow" w:cs="Arial"/>
          <w:i/>
          <w:sz w:val="24"/>
          <w:szCs w:val="24"/>
        </w:rPr>
        <w:t>Acuerdo del Pleno del Tribunal Estatal de Justicia Administrativa de San Luis Potosí que Determina la Prórroga de la Suspensión de Actividades Jurisdiccionales del 10 al 15 de junio del 2020.</w:t>
      </w:r>
    </w:p>
    <w:p w14:paraId="3360DF32" w14:textId="22DF1616" w:rsidR="004D51F6" w:rsidRPr="00EE56FA" w:rsidRDefault="004D51F6" w:rsidP="00EE56FA">
      <w:pPr>
        <w:pStyle w:val="Prrafodelista"/>
        <w:numPr>
          <w:ilvl w:val="0"/>
          <w:numId w:val="7"/>
        </w:numPr>
        <w:autoSpaceDE w:val="0"/>
        <w:autoSpaceDN w:val="0"/>
        <w:adjustRightInd w:val="0"/>
        <w:spacing w:after="0" w:line="240" w:lineRule="auto"/>
        <w:ind w:left="737" w:right="618" w:hanging="170"/>
        <w:jc w:val="both"/>
        <w:rPr>
          <w:rFonts w:ascii="Arial Narrow" w:eastAsiaTheme="minorHAnsi" w:hAnsi="Arial Narrow" w:cs="Arial"/>
          <w:i/>
          <w:sz w:val="24"/>
          <w:szCs w:val="24"/>
        </w:rPr>
      </w:pPr>
      <w:r w:rsidRPr="00EE56FA">
        <w:rPr>
          <w:rFonts w:ascii="Arial Narrow" w:eastAsiaTheme="minorHAnsi" w:hAnsi="Arial Narrow" w:cs="Arial"/>
          <w:i/>
          <w:sz w:val="24"/>
          <w:szCs w:val="24"/>
        </w:rPr>
        <w:t>Acuerdo General Establece las Medidas Reiniciar Actividades Tribunal Estatal de Justicia Administrativa (suspensión del 15 al 30 de junio de 2020)</w:t>
      </w:r>
    </w:p>
    <w:p w14:paraId="635EFCB8" w14:textId="5C8E505B" w:rsidR="004D51F6" w:rsidRDefault="004D51F6" w:rsidP="00EE56FA">
      <w:pPr>
        <w:pStyle w:val="Prrafodelista"/>
        <w:numPr>
          <w:ilvl w:val="0"/>
          <w:numId w:val="7"/>
        </w:numPr>
        <w:autoSpaceDE w:val="0"/>
        <w:autoSpaceDN w:val="0"/>
        <w:adjustRightInd w:val="0"/>
        <w:spacing w:after="0" w:line="240" w:lineRule="auto"/>
        <w:ind w:left="737" w:right="618" w:hanging="170"/>
        <w:jc w:val="both"/>
        <w:rPr>
          <w:rFonts w:ascii="Arial Narrow" w:eastAsiaTheme="minorHAnsi" w:hAnsi="Arial Narrow" w:cs="Arial"/>
          <w:i/>
          <w:sz w:val="24"/>
          <w:szCs w:val="24"/>
        </w:rPr>
      </w:pPr>
      <w:r w:rsidRPr="00EE56FA">
        <w:rPr>
          <w:rFonts w:ascii="Arial Narrow" w:eastAsiaTheme="minorHAnsi" w:hAnsi="Arial Narrow" w:cs="Arial"/>
          <w:i/>
          <w:sz w:val="24"/>
          <w:szCs w:val="24"/>
        </w:rPr>
        <w:t>Aviso de fecha 7 de agosto de 2020, que declara como inhábil el 10 de agosto con motivo del Día del Servidor Público.</w:t>
      </w:r>
    </w:p>
    <w:p w14:paraId="6646BD08" w14:textId="77777777" w:rsidR="00EE56FA" w:rsidRPr="00EE56FA" w:rsidRDefault="00EE56FA" w:rsidP="00EE56FA">
      <w:pPr>
        <w:pStyle w:val="Prrafodelista"/>
        <w:autoSpaceDE w:val="0"/>
        <w:autoSpaceDN w:val="0"/>
        <w:adjustRightInd w:val="0"/>
        <w:spacing w:after="0" w:line="240" w:lineRule="auto"/>
        <w:ind w:left="737" w:right="618"/>
        <w:jc w:val="both"/>
        <w:rPr>
          <w:rFonts w:ascii="Arial Narrow" w:eastAsiaTheme="minorHAnsi" w:hAnsi="Arial Narrow" w:cs="Arial"/>
          <w:i/>
          <w:sz w:val="24"/>
          <w:szCs w:val="24"/>
        </w:rPr>
      </w:pPr>
    </w:p>
    <w:p w14:paraId="29C37412" w14:textId="77777777" w:rsidR="004D51F6" w:rsidRDefault="004D51F6" w:rsidP="00EE56FA">
      <w:pPr>
        <w:autoSpaceDE w:val="0"/>
        <w:autoSpaceDN w:val="0"/>
        <w:adjustRightInd w:val="0"/>
        <w:spacing w:after="0" w:line="240" w:lineRule="auto"/>
        <w:ind w:left="567" w:right="567"/>
        <w:jc w:val="both"/>
        <w:rPr>
          <w:rFonts w:ascii="Arial Narrow" w:eastAsiaTheme="minorHAnsi" w:hAnsi="Arial Narrow" w:cs="Arial"/>
          <w:i/>
          <w:color w:val="0080FF"/>
          <w:sz w:val="24"/>
          <w:szCs w:val="24"/>
          <w:u w:val="single"/>
        </w:rPr>
      </w:pPr>
      <w:r w:rsidRPr="00EE56FA">
        <w:rPr>
          <w:rFonts w:ascii="Arial Narrow" w:eastAsiaTheme="minorHAnsi" w:hAnsi="Arial Narrow" w:cs="Arial"/>
          <w:i/>
          <w:sz w:val="24"/>
          <w:szCs w:val="24"/>
        </w:rPr>
        <w:t xml:space="preserve">Que dicho avisos y acuerdos se encuentran publicados en la página de internet del tribunal Estatal de Justicia Administrativa </w:t>
      </w:r>
      <w:r w:rsidRPr="00EE56FA">
        <w:rPr>
          <w:rFonts w:ascii="Arial Narrow" w:eastAsiaTheme="minorHAnsi" w:hAnsi="Arial Narrow" w:cs="Arial"/>
          <w:i/>
          <w:color w:val="000000"/>
          <w:sz w:val="24"/>
          <w:szCs w:val="24"/>
        </w:rPr>
        <w:t xml:space="preserve">de San Luis Potosí y pueden consultarse a través de la siguiente liga: </w:t>
      </w:r>
      <w:hyperlink r:id="rId9" w:history="1">
        <w:r w:rsidRPr="00EE56FA">
          <w:rPr>
            <w:rStyle w:val="Hipervnculo"/>
            <w:rFonts w:ascii="Arial Narrow" w:eastAsiaTheme="minorHAnsi" w:hAnsi="Arial Narrow" w:cs="Arial"/>
            <w:i/>
            <w:sz w:val="24"/>
            <w:szCs w:val="24"/>
          </w:rPr>
          <w:t>https://teiaslp.qob.mx/avisos/covid todo.pdf</w:t>
        </w:r>
      </w:hyperlink>
      <w:r w:rsidRPr="00EE56FA">
        <w:rPr>
          <w:rFonts w:ascii="Arial Narrow" w:eastAsiaTheme="minorHAnsi" w:hAnsi="Arial Narrow" w:cs="Arial"/>
          <w:i/>
          <w:color w:val="0080FF"/>
          <w:sz w:val="24"/>
          <w:szCs w:val="24"/>
          <w:u w:val="single"/>
        </w:rPr>
        <w:t xml:space="preserve">. </w:t>
      </w:r>
    </w:p>
    <w:p w14:paraId="42CEC8F2"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color w:val="0080FF"/>
          <w:sz w:val="24"/>
          <w:szCs w:val="24"/>
          <w:u w:val="single"/>
        </w:rPr>
      </w:pPr>
    </w:p>
    <w:p w14:paraId="41232A39" w14:textId="4DBBCBA3" w:rsidR="009927B7" w:rsidRDefault="004D51F6"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lastRenderedPageBreak/>
        <w:t xml:space="preserve">En esa medida, concluye la quejosa, que si promovió la demanda de nulidad el once de agosto de dos mil veinte, considerando que la resolución contenida dentro del oficio </w:t>
      </w:r>
      <w:r w:rsidR="003D2F84" w:rsidRPr="00EE56FA">
        <w:rPr>
          <w:rFonts w:ascii="Arial Narrow" w:eastAsiaTheme="minorHAnsi" w:hAnsi="Arial Narrow" w:cs="Arial"/>
          <w:i/>
          <w:sz w:val="24"/>
          <w:szCs w:val="24"/>
        </w:rPr>
        <w:t>número</w:t>
      </w:r>
      <w:r w:rsidRPr="00EE56FA">
        <w:rPr>
          <w:rFonts w:ascii="Arial Narrow" w:eastAsiaTheme="minorHAnsi" w:hAnsi="Arial Narrow" w:cs="Arial"/>
          <w:i/>
          <w:sz w:val="24"/>
          <w:szCs w:val="24"/>
        </w:rPr>
        <w:t xml:space="preserve">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le fue notificada el dieciocho de mayo de dos mil veinte, y el Plan del Centro de Población Estratégico San Luis Potosí – Soledad de Graciano Sánchez, es por demás claro que la misma se presentó dentro de los treinta días hábiles a que hace referencia el artículo 24, fracción I, inciso a) del Código Procesal Administrativo para el Estado de San Luis Potosí; y que por tanto, la quejosa, como consecuencia de la pandemia acontecida con motivo del COVID-19 no pudo presentar de forma previa la demanda tomando en consideración los acuerdos emitidos por el Tribunal Estatal de Justicia Administrativa de San Luis Potosí. Que además, la Sala superior partió de una afirmación por completo gratuita al establecer que las medidas precautorias en su caso se hubieran resuelto con la celeridad con la que requer</w:t>
      </w:r>
      <w:r w:rsidR="000E7373" w:rsidRPr="00EE56FA">
        <w:rPr>
          <w:rFonts w:ascii="Arial Narrow" w:eastAsiaTheme="minorHAnsi" w:hAnsi="Arial Narrow" w:cs="Arial"/>
          <w:i/>
          <w:sz w:val="24"/>
          <w:szCs w:val="24"/>
        </w:rPr>
        <w:t>í</w:t>
      </w:r>
      <w:r w:rsidRPr="00EE56FA">
        <w:rPr>
          <w:rFonts w:ascii="Arial Narrow" w:eastAsiaTheme="minorHAnsi" w:hAnsi="Arial Narrow" w:cs="Arial"/>
          <w:i/>
          <w:sz w:val="24"/>
          <w:szCs w:val="24"/>
        </w:rPr>
        <w:t>a la parte quejosa, en la medida en la que es un hecho notorio que los tribunales durante la pandemia no se encontraban operando con normalidad y que los funcionarios de dichos tribunales no acud</w:t>
      </w:r>
      <w:r w:rsidR="000E7373" w:rsidRPr="00EE56FA">
        <w:rPr>
          <w:rFonts w:ascii="Arial Narrow" w:eastAsiaTheme="minorHAnsi" w:hAnsi="Arial Narrow" w:cs="Arial"/>
          <w:i/>
          <w:sz w:val="24"/>
          <w:szCs w:val="24"/>
        </w:rPr>
        <w:t>í</w:t>
      </w:r>
      <w:r w:rsidRPr="00EE56FA">
        <w:rPr>
          <w:rFonts w:ascii="Arial Narrow" w:eastAsiaTheme="minorHAnsi" w:hAnsi="Arial Narrow" w:cs="Arial"/>
          <w:i/>
          <w:sz w:val="24"/>
          <w:szCs w:val="24"/>
        </w:rPr>
        <w:t>an a trabajar presencialmente al mismo; que adem</w:t>
      </w:r>
      <w:r w:rsidR="000E7373" w:rsidRPr="00EE56FA">
        <w:rPr>
          <w:rFonts w:ascii="Arial Narrow" w:eastAsiaTheme="minorHAnsi" w:hAnsi="Arial Narrow" w:cs="Arial"/>
          <w:i/>
          <w:sz w:val="24"/>
          <w:szCs w:val="24"/>
        </w:rPr>
        <w:t>á</w:t>
      </w:r>
      <w:r w:rsidRPr="00EE56FA">
        <w:rPr>
          <w:rFonts w:ascii="Arial Narrow" w:eastAsiaTheme="minorHAnsi" w:hAnsi="Arial Narrow" w:cs="Arial"/>
          <w:i/>
          <w:sz w:val="24"/>
          <w:szCs w:val="24"/>
        </w:rPr>
        <w:t>s, en el caso, tampoco se actualiza la figura de la preclusi</w:t>
      </w:r>
      <w:r w:rsidR="000E7373" w:rsidRPr="00EE56FA">
        <w:rPr>
          <w:rFonts w:ascii="Arial Narrow" w:eastAsiaTheme="minorHAnsi" w:hAnsi="Arial Narrow" w:cs="Arial"/>
          <w:i/>
          <w:sz w:val="24"/>
          <w:szCs w:val="24"/>
        </w:rPr>
        <w:t>ó</w:t>
      </w:r>
      <w:r w:rsidRPr="00EE56FA">
        <w:rPr>
          <w:rFonts w:ascii="Arial Narrow" w:eastAsiaTheme="minorHAnsi" w:hAnsi="Arial Narrow" w:cs="Arial"/>
          <w:i/>
          <w:sz w:val="24"/>
          <w:szCs w:val="24"/>
        </w:rPr>
        <w:t>n a que hace referencia la Sala superior dentro de la sentencia que se combate</w:t>
      </w:r>
      <w:r w:rsidR="000E7373" w:rsidRPr="00EE56FA">
        <w:rPr>
          <w:rFonts w:ascii="Arial Narrow" w:eastAsiaTheme="minorHAnsi" w:hAnsi="Arial Narrow" w:cs="Arial"/>
          <w:i/>
          <w:sz w:val="24"/>
          <w:szCs w:val="24"/>
        </w:rPr>
        <w:t>, pues es evidente que la parte quejosa ejercito los medios de defensa con los que contaba en tiempo y forma de acuerdo con lo previsto por el Código Procesal Administrativo para el Estado de San Luis Potosí.</w:t>
      </w:r>
    </w:p>
    <w:p w14:paraId="11FFB1E6" w14:textId="77777777" w:rsidR="00EE56FA" w:rsidRPr="00EE56FA" w:rsidRDefault="00EE56FA"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58DFC3E8" w14:textId="58D0CD27" w:rsidR="009927B7" w:rsidRDefault="000E7373"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Asimismo, la quejosa refiere que tomando en consideración que la pretensión de la parte quejosa al suscribir el “Convenio de Reconocimiento de Obligación  de Pago” con el Ayuntamiento de Soledad de Graciano Sánchez, San Luis Potosí, nunca fue consentir con la resolución contenida en el oficio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/2020 de fecha once de marzo de dos mil veinte, sino que derivado de la pandemia era la solución inmediata que le permitiría en un tiempo menor, conservar con vida a las aves de corral; aunado a que el “Convenio de Reconocimiento de Obligación de Pago” no es ni siquiera un acto de autoridad, como incluso lo reconoció el Tribunal Estatal de Justicia Administrativa, por lo que no es posible considerar que a través del mismo la quejosa consintió la resolución contenida en el oficio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fecha once de marzo de dos mil veinte, y el Plan del Centro de Población Estratégico San Luis Potosí – Soledad de Graciano Sánchez.</w:t>
      </w:r>
    </w:p>
    <w:p w14:paraId="22BEDAA4"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5C7620A2" w14:textId="77777777" w:rsidR="00295B27" w:rsidRDefault="000E7373"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Que por tanto, concluye la quejosa, no le asiste </w:t>
      </w:r>
      <w:r w:rsidR="00295B27" w:rsidRPr="00EE56FA">
        <w:rPr>
          <w:rFonts w:ascii="Arial Narrow" w:eastAsiaTheme="minorHAnsi" w:hAnsi="Arial Narrow" w:cs="Arial"/>
          <w:i/>
          <w:sz w:val="24"/>
          <w:szCs w:val="24"/>
        </w:rPr>
        <w:t xml:space="preserve">la razón a la Sala Superior al resolver como improcedente la demanda de nulidad presentada por la quejosa en términos de lo previsto por la fracción VI del artículo 228 del Código Procesal Administrativo para el Estado de San Luis Potosí, en relación con la fracción II del artículo 229 del mismo ordenamiento legal. </w:t>
      </w:r>
    </w:p>
    <w:p w14:paraId="0ED6778F"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4CC89EB2" w14:textId="1ECEDF6F" w:rsidR="00295B27" w:rsidRDefault="00295B27" w:rsidP="00EE56FA">
      <w:pPr>
        <w:autoSpaceDE w:val="0"/>
        <w:autoSpaceDN w:val="0"/>
        <w:adjustRightInd w:val="0"/>
        <w:spacing w:after="0" w:line="240" w:lineRule="auto"/>
        <w:ind w:left="567" w:right="567"/>
        <w:jc w:val="both"/>
        <w:rPr>
          <w:rFonts w:ascii="Arial Narrow" w:eastAsiaTheme="minorHAnsi" w:hAnsi="Arial Narrow" w:cs="Arial"/>
          <w:i/>
          <w:iCs/>
          <w:sz w:val="24"/>
          <w:szCs w:val="24"/>
        </w:rPr>
      </w:pPr>
      <w:r w:rsidRPr="00EE56FA">
        <w:rPr>
          <w:rFonts w:ascii="Arial Narrow" w:eastAsiaTheme="minorHAnsi" w:hAnsi="Arial Narrow" w:cs="Arial"/>
          <w:i/>
          <w:sz w:val="24"/>
          <w:szCs w:val="24"/>
        </w:rPr>
        <w:t>Para fundamentar su argumento, la solicitante del amparo cito las tesis de rubro “</w:t>
      </w:r>
      <w:r w:rsidRPr="00EE56FA">
        <w:rPr>
          <w:rFonts w:ascii="Arial Narrow" w:eastAsiaTheme="minorHAnsi" w:hAnsi="Arial Narrow" w:cs="Arial"/>
          <w:i/>
          <w:iCs/>
          <w:sz w:val="24"/>
          <w:szCs w:val="24"/>
        </w:rPr>
        <w:t>ACTO CONSENTIDO. CONDICIONES PARA QUE SE LE TENGA POR TAL”; “CONDONACION DE CREDITOS FISCALES. SI ANTE LA NEGATIVA DE LA SOLICITUD RELATIVA EL CONTRIBUYENTE PROMUEVE JUICIO DE AMPARO Y DURANTE SU TRAMITACION REALIZA EL PAGO CORRESPONDIENTE CON MOTIVO DE LA EJECUCION ORDENADA POR LA AUTORIDAD EXACTORA, ELLO NO IMPLICA EL CONSENTIMIENTO DE AQUELLOS.”</w:t>
      </w:r>
    </w:p>
    <w:p w14:paraId="54B56258"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iCs/>
          <w:sz w:val="24"/>
          <w:szCs w:val="24"/>
        </w:rPr>
      </w:pPr>
    </w:p>
    <w:p w14:paraId="7B29BE8A" w14:textId="77777777" w:rsidR="00295B27" w:rsidRDefault="00295B2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Que conforme a las referidas tesis, para que se consienta un acto de autoridad, expresa o tácitamente, se requiere que ese acto exista, que agravie al quejoso y que este haya tenido conocimiento de el, sin haber deducido dentro del término legal la acción constitucional, o que se haya conformado con el mismo, o lo haya admitido por manifestaciones de voluntad. </w:t>
      </w:r>
    </w:p>
    <w:p w14:paraId="4D8AA90D"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0B46A92" w14:textId="6C41673B" w:rsidR="00BD325A" w:rsidRDefault="00295B2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Que además, nuestros tribunales han reconocido que no se entenderá por consentido un acto, aun y cuando el gobernado haya celebrado un convenio para el pago de la infracción determinada, en aquellos casos en los que el </w:t>
      </w:r>
      <w:r w:rsidRPr="00EE56FA">
        <w:rPr>
          <w:rFonts w:ascii="Arial Narrow" w:eastAsiaTheme="minorHAnsi" w:hAnsi="Arial Narrow" w:cs="Arial"/>
          <w:i/>
          <w:sz w:val="24"/>
          <w:szCs w:val="24"/>
        </w:rPr>
        <w:lastRenderedPageBreak/>
        <w:t>particular haya ejercido los medios de defensa en tiempo y forma legales; y que este planteamiento es el que debe sostenerse en términos del artículo 1° de la Constitución Política de los Estados Unidos Mexicanos, conforme al cual todas las autoridades del país, en el ámbito de sus competencias, están obligadas a interpretar las normas favoreciendo en todo tiempo la/protección más amplia de las personas, conforme a los derechos humanos reconocidos por la propia Constitución y en los Tratados Internacionales de los que el Estado Mexicano sea parte.</w:t>
      </w:r>
    </w:p>
    <w:p w14:paraId="5B8444D1"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0489CFF8" w14:textId="58FC47C9" w:rsidR="00295B27" w:rsidRDefault="00295B27"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Luego, la quejosa hace alusión al derecho humano consistente a la tutela jurídica efectiva, reconocido en el artículo </w:t>
      </w:r>
      <w:r w:rsidR="00D932D1" w:rsidRPr="00EE56FA">
        <w:rPr>
          <w:rFonts w:ascii="Arial Narrow" w:eastAsiaTheme="minorHAnsi" w:hAnsi="Arial Narrow" w:cs="Arial"/>
          <w:i/>
          <w:sz w:val="24"/>
          <w:szCs w:val="24"/>
        </w:rPr>
        <w:t>17 de la Constitución Política de los Estados Unidos Mexicanos, y reitera que la actora si ejerció los medios de defensa en el tiempo y forma legales y que contrario a lo resuelto por la Sala Superior del Tribunal Estatal de Justicia Administrativa de San Luis Potosí, no se actualiza la causal de improcedencia supuestamente advertida en términos de lo previsto por la fracción VI del artículo 228 del Código Procesal Administrativo para el Estado de San Luis Potosí, en relación con la fracción II del artículo 229 del mismo ordenamiento legal.</w:t>
      </w:r>
    </w:p>
    <w:p w14:paraId="7C50F1BF"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615AC97A" w14:textId="5A88AC97" w:rsidR="00D932D1" w:rsidRDefault="00D932D1"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En el </w:t>
      </w:r>
      <w:r w:rsidRPr="00EE56FA">
        <w:rPr>
          <w:rFonts w:ascii="Arial Narrow" w:eastAsiaTheme="minorHAnsi" w:hAnsi="Arial Narrow" w:cs="Arial"/>
          <w:b/>
          <w:i/>
          <w:sz w:val="24"/>
          <w:szCs w:val="24"/>
        </w:rPr>
        <w:t>segundo concepto de violación,</w:t>
      </w:r>
      <w:r w:rsidRPr="00EE56FA">
        <w:rPr>
          <w:rFonts w:ascii="Arial Narrow" w:eastAsiaTheme="minorHAnsi" w:hAnsi="Arial Narrow" w:cs="Arial"/>
          <w:i/>
          <w:sz w:val="24"/>
          <w:szCs w:val="24"/>
        </w:rPr>
        <w:t xml:space="preserve"> la quejosa aduce que se violan sus derechos fundamentales al haberse reconocido la validez de la licencia de uso de suelo de funcionamiento.</w:t>
      </w:r>
    </w:p>
    <w:p w14:paraId="485714D6"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2D6F4642" w14:textId="115F116E" w:rsidR="00D932D1" w:rsidRDefault="00D932D1"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Asimismo, la parte quejosa aduce que es inconstitucional por falta de fundamentación y motivación que la Sala haya reconocido la validez de la licencia de uso de suelo de funcionamiento con número de folio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/2020 de fecha dieciséis de julio de dos mil veinte, emitida por el Director de Desarrollo Urbano y Catastro Municipal de Soledad de Graciano Sánchez, San Luis Potosí, porque la autoridad partió de la premisa equivocada en el sentido de que el Plan del Centro de Población Estratégico San Luis Potosí – Soledad de Graciano Sánchez, es correcto, y fue debidamente aplicado por la autoridad demandada, al considerar que el uso de suelo aplicable al inmueble de la quejosa es "agroindustrial", no así "agropecuario", lo cual es ilegal. </w:t>
      </w:r>
    </w:p>
    <w:p w14:paraId="4FC737AC"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4DC43F8B" w14:textId="23851A0C" w:rsidR="005078FC" w:rsidRDefault="00D932D1"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Que se debe revocar la sentencia reclamada y declararse la nulidad lisa y llana de los actos impugnados, y se debe reconocer que al predio ubicado en la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Municipio de Soledad de Graciano Sánchez, le corresponde un uso de suelo "agropecuario", compatible con el área silvestre en la que se encuentra ubicado, y debe ordenarse que se devuelvan las cantidades que la actora tuvo que erogar por un cambio de uso de suelo que resulta ilegal, y que se considere para efectos de la emisión de cualquier tipo de permisos y/o licencias, que la actora realiza actividades "agropecuarias", no así "agroindustriales" o "comerciales".</w:t>
      </w:r>
      <w:r w:rsidR="005078FC" w:rsidRPr="00EE56FA">
        <w:rPr>
          <w:rFonts w:ascii="Arial Narrow" w:eastAsiaTheme="minorHAnsi" w:hAnsi="Arial Narrow" w:cs="Arial"/>
          <w:i/>
          <w:sz w:val="24"/>
          <w:szCs w:val="24"/>
        </w:rPr>
        <w:t xml:space="preserve"> </w:t>
      </w:r>
    </w:p>
    <w:p w14:paraId="28AFAAD6"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8315153" w14:textId="10402724" w:rsidR="00295B27" w:rsidRDefault="005078FC"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Luego, la quejosa transcribe parte de la sentencia; sintetizó las principales consideraciones y concluye que la Sala responsable partió de la premisa equivocada en el sentido de que el Plan del Centro de Población Estratégico San Luis Potosí – Soledad de Graciano Sánchez es correcto, y fue debidamente aplicado por la autoridad demandada, al considerar que el uso de suelo aplicable al inmueble de la actora es "agroindustrial", no así "agropecuario".</w:t>
      </w:r>
    </w:p>
    <w:p w14:paraId="7639960D"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308E21DB" w14:textId="2881FC6D" w:rsidR="00807FBE" w:rsidRDefault="005078FC"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hAnsi="Arial Narrow" w:cs="Arial"/>
          <w:i/>
          <w:color w:val="000000"/>
          <w:spacing w:val="-2"/>
          <w:sz w:val="24"/>
          <w:szCs w:val="24"/>
          <w:lang w:val="es-ES_tradnl"/>
        </w:rPr>
        <w:lastRenderedPageBreak/>
        <w:t xml:space="preserve">Asimismo, la quejosa refiere que la sentencia es inconstitucional porque en una indebida fundamentación y motivación, la Sala confirmó el sentido de la sentencia apelada en cuanto a que reconoció la validez de la licencia de uso de suelo en funcionamiento con número de folio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fecha dieciséis de julio de dos mil veinte, emitida por el Director de Desarrollo Urbano y Catastro Municipal de Soledad de Graciano Sánchez, San Luis Potosí; empero, reitera, la Sala partió de la premisa equivocada de que el Plan del Centro de Población Estratégico San Luis Potosí – Soledad de Graciano Sánchez es correcto y fue debidamente aplicado por la autoridad demandada, al considerar que el uso de suelo aplicable al inmueble de mi mandante es “agroindustrial”, no así “agropecuario”, lo cual es ilegal.</w:t>
      </w:r>
    </w:p>
    <w:p w14:paraId="1A3E6769"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2595D14B" w14:textId="11AD164C" w:rsidR="00C322AD" w:rsidRDefault="005078FC"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hAnsi="Arial Narrow" w:cs="Arial"/>
          <w:i/>
          <w:color w:val="000000"/>
          <w:spacing w:val="-2"/>
          <w:sz w:val="24"/>
          <w:szCs w:val="24"/>
          <w:lang w:val="es-ES_tradnl"/>
        </w:rPr>
        <w:t xml:space="preserve">Que de la demanda de nulidad se advierte, el análisis de legalidad de la licencia de uso de suelo de funcionamiento con número de folio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/2020 de fecha dieciséis de julio de dos mil veinte, evidentemente se encuentra condicionado al análisis </w:t>
      </w:r>
      <w:r w:rsidR="00C322AD" w:rsidRPr="00EE56FA">
        <w:rPr>
          <w:rFonts w:ascii="Arial Narrow" w:eastAsiaTheme="minorHAnsi" w:hAnsi="Arial Narrow" w:cs="Arial"/>
          <w:i/>
          <w:sz w:val="24"/>
          <w:szCs w:val="24"/>
        </w:rPr>
        <w:t xml:space="preserve">de legalidad del Plan del Centro de Población Estratégico San Luis Potosí – Soledad de Graciano Sánchez, acto respecto del cual se resolvió sobreseer de forma constitucional por la Sala responsable. </w:t>
      </w:r>
    </w:p>
    <w:p w14:paraId="6711F631"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90B76A0" w14:textId="18D21084" w:rsidR="005078FC" w:rsidRDefault="00C322AD"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Luego, la quejosa reitera que en el escrito de demanda de nulidad se hizo valer que la licencia de uso de suelo de funcionamiento con número de folio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fecha dieciséis de julio de dos mil veinte, fue impugnada toda vez que deriva del Plan que es ilegal, por lo que la misma se encuentra viciada de origen; y que en la medida en que la licencia de uso de suelo de funcionamiento se apoya en lo dispuesto por el Plan del Centro de Población Estratégico San Luis Potosí – Soledad de Graciano Sánchez, luego entonces, la misma también resulta ilegal al estar viciada de origen.</w:t>
      </w:r>
    </w:p>
    <w:p w14:paraId="371EA7D8"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spacing w:val="-2"/>
          <w:sz w:val="24"/>
          <w:szCs w:val="24"/>
          <w:lang w:val="es-ES_tradnl"/>
        </w:rPr>
      </w:pPr>
    </w:p>
    <w:p w14:paraId="40897FBA" w14:textId="77777777" w:rsidR="00C322AD" w:rsidRDefault="00C322AD"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hAnsi="Arial Narrow" w:cs="Arial"/>
          <w:i/>
          <w:spacing w:val="-2"/>
          <w:sz w:val="24"/>
          <w:szCs w:val="24"/>
          <w:lang w:val="es-ES_tradnl"/>
        </w:rPr>
        <w:t xml:space="preserve">Que ello, porque como se hizo valer en la demanda de nulidad, de subsistir el criterio del Director de Desarrollo Urbano y </w:t>
      </w:r>
      <w:r w:rsidRPr="00EE56FA">
        <w:rPr>
          <w:rFonts w:ascii="Arial Narrow" w:eastAsiaTheme="minorHAnsi" w:hAnsi="Arial Narrow" w:cs="Arial"/>
          <w:i/>
          <w:sz w:val="24"/>
          <w:szCs w:val="24"/>
        </w:rPr>
        <w:t xml:space="preserve">Catastro Municipal, el Plan del Centro de Población Estratégico San Luis Potosí - Soledad de Graciano Sánchez es ilegal, ya que no se encuentra sujeto a los principios de legalidad y seguridad jurídica, toda vez que dicho ordenamiento considera a la actividad de "granjas avícolas" como parte del grupo de "Industria" subgrupo "Agroindustria", no obstante de la definición y alcance de lo que el propio Plan señala como "Agroindustria", tenemos que resulta incompatible con la finalidad y actividades desarrolladas en una "granja avícola". </w:t>
      </w:r>
    </w:p>
    <w:p w14:paraId="2E19CE7B"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4EB35D0" w14:textId="563FB1D0" w:rsidR="00C322AD" w:rsidRDefault="00C322AD"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Entonces, concluye la quejosa que la sentencia impugnada resulta inconstitucional, pues el argumento de legalidad que sostiene la parte quejosa se encuentra íntimamente ligado con la ilegalidad del Plan del Centro de Población Estratégico San Luis Potosí – Soledad de Graciano Sánchez, respecto del cual resulta ilegal el sobreseimiento decretado.</w:t>
      </w:r>
    </w:p>
    <w:p w14:paraId="2F130353"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7B4B957E" w14:textId="77777777" w:rsidR="005457F3" w:rsidRDefault="00C322AD"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Asimismo, la quejosa refiere que deviene violatorio de sus derechos la consideración de la Sala en el sentido de que la actora no adjunto medio de convicción alguno que hiciera patente la existencia de una licencia con la cual acreditara que con anterioridad a la impugnación del acto controvertido se le otorgó el uso de granja avícola de engorda en un área silvestre, con la expedición de un certificado de zonificación de uso de suelo emitido por autoridad competente y que por ello, no era posible analizar el argumento de derechos adquiridos; sin embargo, </w:t>
      </w:r>
      <w:r w:rsidR="005457F3" w:rsidRPr="00EE56FA">
        <w:rPr>
          <w:rFonts w:ascii="Arial Narrow" w:hAnsi="Arial Narrow" w:cs="Arial"/>
          <w:i/>
          <w:color w:val="000000"/>
          <w:spacing w:val="-2"/>
          <w:sz w:val="24"/>
          <w:szCs w:val="24"/>
          <w:lang w:val="es-ES_tradnl"/>
        </w:rPr>
        <w:t>refiere la quejosa, que la Sala perdió de vista que la actora operó desde el momento en que adquirió el inmueble objeto de la licencia de funcionamiento, a ser utilizado como una granja avícola y que ha operado como tal, desde mil novecientos noventa y tres, situación que las autoridades federales, estatales y municipales lo permitieron.</w:t>
      </w:r>
    </w:p>
    <w:p w14:paraId="07735B4D"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388B3745" w14:textId="5FE66794" w:rsidR="005078FC" w:rsidRDefault="005457F3"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Que la actora ofreció como medios de prueba para acreditar que siempre ha sido considerada su actividad como agropecuaria, lo siguiente:   </w:t>
      </w:r>
    </w:p>
    <w:p w14:paraId="6F824BC5"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28CC509C" w14:textId="49D6990C" w:rsidR="005457F3" w:rsidRDefault="005457F3"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hAnsi="Arial Narrow" w:cs="Arial"/>
          <w:i/>
          <w:color w:val="000000"/>
          <w:spacing w:val="-2"/>
          <w:sz w:val="24"/>
          <w:szCs w:val="24"/>
          <w:lang w:val="es-ES_tradnl"/>
        </w:rPr>
        <w:lastRenderedPageBreak/>
        <w:t xml:space="preserve">1. Copia certificada de la licencia de uso de suelo de funcionamiento con número de folio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fecha dieciséis de julio de dos mil veinte, emitida por el Director de Desarrollo Urbano y Catastro Municipal de Soledad de Graciano Sánchez, San Luis Potosí; y que en relación a dicho medio de prueba, la autoridad perdió de vista que para que la actora hubiese sufrido un cambio en la clasificación de su uso de suelo, necesariamente tuvo que emitirse esta licencia de uso de suelo de funcionamiento, que per se, es la que demuestra que hubo un cambio en el uso de suelo de la actora, con el que inicialmente contaba.</w:t>
      </w:r>
    </w:p>
    <w:p w14:paraId="74A1CA9C"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1966B4EF" w14:textId="2D389149" w:rsidR="00142326" w:rsidRDefault="005457F3"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Que para que la licencia de uso de suelo de funcionamiento con número de folio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fecha dieciséis de julio de dos mil veinte, naciera a la vida jurídica, necesariamente tuvo que existir un reconocimiento por parte de la autoridad, de que el uso de suelo con el que contaba la actora era supuestamente incorrecto, por lo que es claro que en caso particular s</w:t>
      </w:r>
      <w:r w:rsidR="00142326" w:rsidRPr="00EE56FA">
        <w:rPr>
          <w:rFonts w:ascii="Arial Narrow" w:eastAsiaTheme="minorHAnsi" w:hAnsi="Arial Narrow" w:cs="Arial"/>
          <w:i/>
          <w:sz w:val="24"/>
          <w:szCs w:val="24"/>
        </w:rPr>
        <w:t>í</w:t>
      </w:r>
      <w:r w:rsidRPr="00EE56FA">
        <w:rPr>
          <w:rFonts w:ascii="Arial Narrow" w:eastAsiaTheme="minorHAnsi" w:hAnsi="Arial Narrow" w:cs="Arial"/>
          <w:i/>
          <w:sz w:val="24"/>
          <w:szCs w:val="24"/>
        </w:rPr>
        <w:t xml:space="preserve"> se modificó el uso de suelo con que contaba la actora.</w:t>
      </w:r>
      <w:r w:rsidR="00142326" w:rsidRPr="00EE56FA">
        <w:rPr>
          <w:rFonts w:ascii="Arial Narrow" w:eastAsiaTheme="minorHAnsi" w:hAnsi="Arial Narrow" w:cs="Arial"/>
          <w:i/>
          <w:sz w:val="24"/>
          <w:szCs w:val="24"/>
        </w:rPr>
        <w:t xml:space="preserve"> </w:t>
      </w:r>
    </w:p>
    <w:p w14:paraId="248842B1"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4EBE6B1F" w14:textId="77777777" w:rsidR="00EE4184" w:rsidRDefault="00142326"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2. Copia certificada de la escritura pública levantada el veintitrés de abril de mil novecientos noventa y cuatro, ante la fe del Notario Público Adscrito a la Notaría Pública número Catorce de la Ciudad de San Luis Potosí, de donde se desprende la protocolización del contrato de compra venta a través del cual la actora adquirió el inmueble materia de la presente controversia, ubicado en el Municipio de Soledad de Graciano Sánchez, San Luis Potosí y que en dicha escritura pública se estableció que el destino que se le daría al inmueble (y que actualmente se le ha venido dando), es para la producción avícola.</w:t>
      </w:r>
      <w:r w:rsidR="00EE4184" w:rsidRPr="00EE56FA">
        <w:rPr>
          <w:rFonts w:ascii="Arial Narrow" w:eastAsiaTheme="minorHAnsi" w:hAnsi="Arial Narrow" w:cs="Arial"/>
          <w:i/>
          <w:sz w:val="24"/>
          <w:szCs w:val="24"/>
        </w:rPr>
        <w:t xml:space="preserve"> </w:t>
      </w:r>
    </w:p>
    <w:p w14:paraId="1A735785"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1968A6EC" w14:textId="77777777" w:rsidR="00EE4184" w:rsidRDefault="00EE4184"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3. Cédula de identificación fiscal, de la cual es posible desprender que su actividad preponderante es precisamente la cría y engorda de aves de corral para venta de su carne. </w:t>
      </w:r>
    </w:p>
    <w:p w14:paraId="55F14D46"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1B6F865A" w14:textId="56AC0E1A" w:rsidR="00EE4184" w:rsidRDefault="00EE4184"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4. Copia certificada de las fichas de registro de Unidades de Producción Avícola, ante el Servicio Nacional de Sanidad, Inocuidad y Calidad Agroalimentaria (SENASICA) de la Secretaría de Agricultura y Desarrollo Rural, de las cuales se advierte el registro de las granjas de la actora, para producción avícola.</w:t>
      </w:r>
    </w:p>
    <w:p w14:paraId="252E6CF8"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2081DA21" w14:textId="3A46DF7B" w:rsidR="00EE4184" w:rsidRDefault="00EE4184"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5. Copia certificada de los vistos buenos y dictámenes de seguridad, emitidos el seis de junio de dos mil diecinueve, por el Director General de la Unidad Municipal de Protección Civil del Municipio de Soledad de Graciano Sánchez, respecto de las granjas de engorda que se encuentran registradas con los números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en donde se establece como actividad la “crianza de pollos para engorda” </w:t>
      </w:r>
    </w:p>
    <w:p w14:paraId="01172736"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08EC9316" w14:textId="19A7E0F3" w:rsidR="00BC168F" w:rsidRDefault="00EE4184"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6. Copia certificada de la constancia de carácter administrativo para establecimiento, obras y servicios de significativo impacto ambiental, emitidos a las Granjas de Pollo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y </w:t>
      </w:r>
      <w:r w:rsidR="0050127A">
        <w:rPr>
          <w:rFonts w:ascii="Arial Narrow" w:hAnsi="Arial Narrow" w:cs="Arial"/>
          <w:i/>
          <w:color w:val="FF0000"/>
          <w:spacing w:val="-2"/>
          <w:sz w:val="24"/>
          <w:szCs w:val="24"/>
          <w:lang w:val="es-ES_tradnl"/>
        </w:rPr>
        <w:t>**********</w:t>
      </w:r>
      <w:r w:rsidRPr="00EE56FA">
        <w:rPr>
          <w:rFonts w:ascii="Arial Narrow" w:hAnsi="Arial Narrow" w:cs="Arial"/>
          <w:i/>
          <w:color w:val="000000"/>
          <w:spacing w:val="-2"/>
          <w:sz w:val="24"/>
          <w:szCs w:val="24"/>
          <w:lang w:val="es-ES_tradnl"/>
        </w:rPr>
        <w:t xml:space="preserve">, ubicadas en el inmueble de la actora, emitida por la Directora de Ecología </w:t>
      </w:r>
      <w:r w:rsidR="00BC168F" w:rsidRPr="00EE56FA">
        <w:rPr>
          <w:rFonts w:ascii="Arial Narrow" w:hAnsi="Arial Narrow" w:cs="Arial"/>
          <w:i/>
          <w:color w:val="000000"/>
          <w:spacing w:val="-2"/>
          <w:sz w:val="24"/>
          <w:szCs w:val="24"/>
          <w:lang w:val="es-ES_tradnl"/>
        </w:rPr>
        <w:t>del Ayuntamiento de Soledad de Graciano Sánchez, San Luis Potosí.</w:t>
      </w:r>
    </w:p>
    <w:p w14:paraId="7047F02C"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55A58BE9" w14:textId="7FE21437" w:rsidR="00BC168F" w:rsidRDefault="00BC168F"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lastRenderedPageBreak/>
        <w:t xml:space="preserve">7. Copia certificada del dictamen de seguridad en riesgo e infracciones contra incendio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xml:space="preserve">/19, de fecha diecinueve de febrero de dos mil diecinueve, emitido por el Departamento de Inspección y Prevención de Incendios del Cuerpo de Bomberos Metropolitanos de la Ciudad de San Luis Potosí, respecto de las granjas ubicadas en el inmueble de la actora. </w:t>
      </w:r>
    </w:p>
    <w:p w14:paraId="12D5B29D"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C37F2A3" w14:textId="5630F7A6" w:rsidR="00BC168F" w:rsidRDefault="00BC168F"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8. Prueba de inspección que tuvo por objeto generar convicción en la Sala A quo, que la actividad que desarrolla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 dentro del predio que nos ocupa, consiste en una actividad agropecuaria y no así de tipo agroindustrial, consistente en la cría y engorda de aves de corral (pollo); y que de dicha inspección se advierte que los funcionarios de la Sala responsable plasmaron que la actora no ejecuta actividades relacionadas con la industria y agroindustria, sino únicamente se realiza una actividad agropecuaria consistente en la cría y engorda de pollos.</w:t>
      </w:r>
    </w:p>
    <w:p w14:paraId="2B31DBF8"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BDF05EB" w14:textId="3CC367B7" w:rsidR="00BC168F" w:rsidRDefault="00BC168F"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Luego, la quejosa concluye que la sentencia es ilegal en la medida en que la Sala responsable consideró que la actora debía de contar con una licencia con la cual se acreditara que con anterioridad a la impugnación del acto controvertido se le otorgó el uso de granja avícola de engorda en un área silvestre, porque perdió de vista que el Plan del Centro de Población Estratégico San Luis Potosí – Soledad de Graciano Sánchez, fue publicado en el Periódico Oficial del Estado hasta el veintiuno de agosto de dos mil tres, y que la actora destinó el predio de mérito a una granja avícola desde el momento en la que lo adquirió, en términos de lo establecido dentro de la escritura pública levantada el veintitrés de abril de mil novecientos noventa y cuatro; y que fue hasta que se emitió el Plan del Centro de Población dos mil tres, que se estableció como área silvestre la zona donde se encuentra el inmueble de la actora y que con base en su Anexo 2, se limitó el uso de suelo antes establecido/ a una actividad que resulta "aparentemente incompatible” con la de una granja avícola.</w:t>
      </w:r>
    </w:p>
    <w:p w14:paraId="32D09602"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2F6EB751" w14:textId="28A537CB" w:rsidR="00BC168F" w:rsidRPr="00EE56FA" w:rsidRDefault="00BC168F"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Los conceptos de violación antes sintetizados con fundados. </w:t>
      </w:r>
    </w:p>
    <w:p w14:paraId="366C259D" w14:textId="2981EA21" w:rsidR="009E4D2B" w:rsidRPr="00EE56FA" w:rsidRDefault="00BC168F"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Los artículos 228 fracción VI y 229</w:t>
      </w:r>
      <w:r w:rsidR="009E4D2B" w:rsidRPr="00EE56FA">
        <w:rPr>
          <w:rFonts w:ascii="Arial Narrow" w:eastAsiaTheme="minorHAnsi" w:hAnsi="Arial Narrow" w:cs="Arial"/>
          <w:i/>
          <w:sz w:val="24"/>
          <w:szCs w:val="24"/>
        </w:rPr>
        <w:t>,</w:t>
      </w:r>
      <w:r w:rsidRPr="00EE56FA">
        <w:rPr>
          <w:rFonts w:ascii="Arial Narrow" w:eastAsiaTheme="minorHAnsi" w:hAnsi="Arial Narrow" w:cs="Arial"/>
          <w:i/>
          <w:sz w:val="24"/>
          <w:szCs w:val="24"/>
        </w:rPr>
        <w:t xml:space="preserve"> fracción II del Código Procesal Administrativo para el Estado de San Luis Potosí, prevé: </w:t>
      </w:r>
    </w:p>
    <w:p w14:paraId="5362247F"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b/>
          <w:i/>
          <w:sz w:val="24"/>
          <w:szCs w:val="24"/>
        </w:rPr>
        <w:t xml:space="preserve">“Artículo </w:t>
      </w:r>
      <w:r w:rsidR="00BC168F" w:rsidRPr="00EE56FA">
        <w:rPr>
          <w:rFonts w:ascii="Arial Narrow" w:hAnsi="Arial Narrow"/>
          <w:b/>
          <w:i/>
          <w:sz w:val="24"/>
          <w:szCs w:val="24"/>
        </w:rPr>
        <w:t>228.</w:t>
      </w:r>
      <w:r w:rsidR="00BC168F" w:rsidRPr="00EE56FA">
        <w:rPr>
          <w:rFonts w:ascii="Arial Narrow" w:hAnsi="Arial Narrow"/>
          <w:i/>
          <w:sz w:val="24"/>
          <w:szCs w:val="24"/>
        </w:rPr>
        <w:t xml:space="preserve"> Es improcedente el juicio ante el Tribunal contra actos:</w:t>
      </w:r>
    </w:p>
    <w:p w14:paraId="6136B231"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w:t>
      </w:r>
      <w:r w:rsidR="00BC168F" w:rsidRPr="00EE56FA">
        <w:rPr>
          <w:rFonts w:ascii="Arial Narrow" w:hAnsi="Arial Narrow"/>
          <w:i/>
          <w:sz w:val="24"/>
          <w:szCs w:val="24"/>
        </w:rPr>
        <w:t>VI. Contra actos consentidos expresamente o por manifestaciones de voluntad que entrañen ese consentimiento, entendiéndose por éstos últimos, aquéllos en contra de los cuales no se promueva el juicio dentro de los plazos que pa</w:t>
      </w:r>
      <w:r w:rsidRPr="00EE56FA">
        <w:rPr>
          <w:rFonts w:ascii="Arial Narrow" w:hAnsi="Arial Narrow"/>
          <w:i/>
          <w:sz w:val="24"/>
          <w:szCs w:val="24"/>
        </w:rPr>
        <w:t>ra tal efecto señala este Libro.”.</w:t>
      </w:r>
    </w:p>
    <w:p w14:paraId="110C63A9"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b/>
          <w:i/>
          <w:sz w:val="24"/>
          <w:szCs w:val="24"/>
        </w:rPr>
        <w:t xml:space="preserve">“Artículo </w:t>
      </w:r>
      <w:r w:rsidR="00BC168F" w:rsidRPr="00EE56FA">
        <w:rPr>
          <w:rFonts w:ascii="Arial Narrow" w:hAnsi="Arial Narrow"/>
          <w:b/>
          <w:i/>
          <w:sz w:val="24"/>
          <w:szCs w:val="24"/>
        </w:rPr>
        <w:t>229.</w:t>
      </w:r>
      <w:r w:rsidR="00BC168F" w:rsidRPr="00EE56FA">
        <w:rPr>
          <w:rFonts w:ascii="Arial Narrow" w:hAnsi="Arial Narrow"/>
          <w:i/>
          <w:sz w:val="24"/>
          <w:szCs w:val="24"/>
        </w:rPr>
        <w:t xml:space="preserve"> Procede el sobreseimiento del juicio:</w:t>
      </w:r>
    </w:p>
    <w:p w14:paraId="2F2D3BCF" w14:textId="7BFAD680" w:rsidR="009E4D2B" w:rsidRPr="00EE56FA" w:rsidRDefault="00384281"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w:t>
      </w:r>
      <w:r w:rsidR="009E4D2B" w:rsidRPr="00EE56FA">
        <w:rPr>
          <w:rFonts w:ascii="Arial Narrow" w:hAnsi="Arial Narrow"/>
          <w:i/>
          <w:sz w:val="24"/>
          <w:szCs w:val="24"/>
        </w:rPr>
        <w:t>…</w:t>
      </w:r>
      <w:r w:rsidRPr="00EE56FA">
        <w:rPr>
          <w:rFonts w:ascii="Arial Narrow" w:hAnsi="Arial Narrow"/>
          <w:i/>
          <w:sz w:val="24"/>
          <w:szCs w:val="24"/>
        </w:rPr>
        <w:t>]</w:t>
      </w:r>
    </w:p>
    <w:p w14:paraId="0454FF81" w14:textId="755C50A9" w:rsidR="00BC168F"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II. Cuando durante la tramitación del procedimiento sobreviniere alguna de las causas de improcedencia a que se refiere el artículo anterior;”</w:t>
      </w:r>
    </w:p>
    <w:p w14:paraId="07178733"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219DDB3E" w14:textId="7ADB27BC" w:rsidR="00BC168F" w:rsidRDefault="009E4D2B"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hAnsi="Arial Narrow" w:cs="Arial"/>
          <w:i/>
          <w:color w:val="000000"/>
          <w:spacing w:val="-2"/>
          <w:sz w:val="24"/>
          <w:szCs w:val="24"/>
          <w:lang w:val="es-ES_tradnl"/>
        </w:rPr>
        <w:t xml:space="preserve">De los artículos transcritos, se advierte que el juicio </w:t>
      </w:r>
      <w:r w:rsidRPr="00EE56FA">
        <w:rPr>
          <w:rFonts w:ascii="Arial Narrow" w:eastAsiaTheme="minorHAnsi" w:hAnsi="Arial Narrow" w:cs="Arial"/>
          <w:i/>
          <w:sz w:val="24"/>
          <w:szCs w:val="24"/>
        </w:rPr>
        <w:t>contencioso administrativo resulta improcedente, entre otros supuestos, en contra de actos que por manifestaciones de voluntad entrañen su consentimiento, entendiéndose por éstos aquellos en contra de los cuales no se promueva el juicio dentro de los plazos que para tal efecto señala el Libro Tercero del propio Código, por lo que de actualizarse dicha causal de improcedencia resultara procedente sobreseer en el juicio contencioso administrativo.</w:t>
      </w:r>
    </w:p>
    <w:p w14:paraId="2CAA530B"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4CFFC589" w14:textId="77777777" w:rsidR="009E4D2B" w:rsidRPr="00EE56FA" w:rsidRDefault="009E4D2B"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Así, los artículos 24, fracción I, inciso a) y 232, del Código Procesal Administrativo para el Estado, disponen lo siguiente: </w:t>
      </w:r>
    </w:p>
    <w:p w14:paraId="5A7C03A7"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b/>
          <w:i/>
          <w:sz w:val="24"/>
          <w:szCs w:val="24"/>
        </w:rPr>
        <w:t>“Artículo 24.</w:t>
      </w:r>
      <w:r w:rsidRPr="00EE56FA">
        <w:rPr>
          <w:rFonts w:ascii="Arial Narrow" w:hAnsi="Arial Narrow"/>
          <w:i/>
          <w:sz w:val="24"/>
          <w:szCs w:val="24"/>
        </w:rPr>
        <w:t xml:space="preserve"> El plazo para presentar la demanda ante el Tribunal será: </w:t>
      </w:r>
    </w:p>
    <w:p w14:paraId="35B0C8D4"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 xml:space="preserve">I. De treinta días hábiles siguientes al en que se actualice alguno de los supuestos siguientes: </w:t>
      </w:r>
    </w:p>
    <w:p w14:paraId="6756E738"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14:paraId="53F5A7E2" w14:textId="77777777" w:rsidR="009E4D2B" w:rsidRPr="00EE56FA" w:rsidRDefault="009E4D2B"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b/>
          <w:i/>
          <w:sz w:val="24"/>
          <w:szCs w:val="24"/>
        </w:rPr>
        <w:lastRenderedPageBreak/>
        <w:t>“Artículo 232.</w:t>
      </w:r>
      <w:r w:rsidRPr="00EE56FA">
        <w:rPr>
          <w:rFonts w:ascii="Arial Narrow" w:hAnsi="Arial Narrow"/>
          <w:i/>
          <w:sz w:val="24"/>
          <w:szCs w:val="24"/>
        </w:rPr>
        <w:t xml:space="preserve"> La demanda se presentará por escrito ante el Tribunal dentro del plazo señalado en el artículo 24 de este Código.</w:t>
      </w:r>
    </w:p>
    <w:p w14:paraId="79B8BE1A" w14:textId="5786529A" w:rsidR="00BC168F" w:rsidRPr="00EE56FA" w:rsidRDefault="009E4D2B"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De lo antes transcrito, se desprende que la demanda deberá presentarse ante este Tribunal, dentro de los treinta días hábiles siguientes, entre otros supuestos, en que surta efectos la notificación de la resolución o acto que se combata, inclusive cuando se controvierta simultáneamente como primer acto de aplicación una regla administrativa de carácter general.</w:t>
      </w:r>
    </w:p>
    <w:p w14:paraId="7F7BDBC8" w14:textId="31714D1A" w:rsidR="00782C4B" w:rsidRDefault="00782C4B"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Ahora bien, en el juicio de origen obra la copia certificada del oficio impugnado número </w:t>
      </w:r>
      <w:r w:rsidR="0050127A">
        <w:rPr>
          <w:rFonts w:ascii="Arial Narrow" w:eastAsiaTheme="minorHAnsi" w:hAnsi="Arial Narrow" w:cs="Arial"/>
          <w:i/>
          <w:color w:val="FF0000"/>
          <w:sz w:val="24"/>
          <w:szCs w:val="24"/>
        </w:rPr>
        <w:t>**********</w:t>
      </w:r>
      <w:r w:rsidRPr="00EE56FA">
        <w:rPr>
          <w:rFonts w:ascii="Arial Narrow" w:eastAsiaTheme="minorHAnsi" w:hAnsi="Arial Narrow" w:cs="Arial"/>
          <w:i/>
          <w:sz w:val="24"/>
          <w:szCs w:val="24"/>
        </w:rPr>
        <w:t>/2020 de once de marzo de dos mil veinte, emitida por el Director de Desarrollo Urbano y Catastro Municipal de Soledad de Graciano Sánchez, San Luis Potosí, al través de la cual se determinó no autoriza la licencia de uso de suelo a la parte actora.</w:t>
      </w:r>
    </w:p>
    <w:p w14:paraId="1D40AA95"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603A1289" w14:textId="312294A2" w:rsidR="00782C4B" w:rsidRPr="00EE56FA" w:rsidRDefault="00782C4B"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En dicho oficio, en los que aquí interesa se determinó lo siguiente: </w:t>
      </w:r>
    </w:p>
    <w:p w14:paraId="16ACD841" w14:textId="19DC496D" w:rsidR="00782C4B" w:rsidRDefault="00782C4B"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“…Que esta Dirección de Desarrollo Urbano </w:t>
      </w:r>
      <w:r w:rsidRPr="00EE56FA">
        <w:rPr>
          <w:rFonts w:ascii="Arial Narrow" w:eastAsiaTheme="minorHAnsi" w:hAnsi="Arial Narrow" w:cs="Arial"/>
          <w:b/>
          <w:i/>
          <w:sz w:val="24"/>
          <w:szCs w:val="24"/>
        </w:rPr>
        <w:t>no autoriza la Licencia de Uso de Suelo de Funcionamiento</w:t>
      </w:r>
      <w:r w:rsidRPr="00EE56FA">
        <w:rPr>
          <w:rFonts w:ascii="Arial Narrow" w:eastAsiaTheme="minorHAnsi" w:hAnsi="Arial Narrow" w:cs="Arial"/>
          <w:i/>
          <w:sz w:val="24"/>
          <w:szCs w:val="24"/>
        </w:rPr>
        <w:t xml:space="preserve"> para Granja Avícola, en virtud de que no es factible en base al Anexo 2 de las normas de Uso de Suelo vigentes, esto conforme al </w:t>
      </w:r>
      <w:r w:rsidRPr="00EE56FA">
        <w:rPr>
          <w:rFonts w:ascii="Arial Narrow" w:eastAsiaTheme="minorHAnsi" w:hAnsi="Arial Narrow" w:cs="Arial"/>
          <w:b/>
          <w:i/>
          <w:sz w:val="24"/>
          <w:szCs w:val="24"/>
        </w:rPr>
        <w:t>Plan del Centro de población Estratégico San Luis Potosí – Soledad de Graciano Sánchez,</w:t>
      </w:r>
      <w:r w:rsidRPr="00EE56FA">
        <w:rPr>
          <w:rFonts w:ascii="Arial Narrow" w:eastAsiaTheme="minorHAnsi" w:hAnsi="Arial Narrow" w:cs="Arial"/>
          <w:i/>
          <w:sz w:val="24"/>
          <w:szCs w:val="24"/>
        </w:rPr>
        <w:t xml:space="preserve"> ya que en dicho plan se marca como zona “AS” Área Silvestre (son aquellas que por sus características específicas no son susceptibles de aprovechamiento, debiendo mantenerse </w:t>
      </w:r>
      <w:r w:rsidR="00D03380" w:rsidRPr="00EE56FA">
        <w:rPr>
          <w:rFonts w:ascii="Arial Narrow" w:eastAsiaTheme="minorHAnsi" w:hAnsi="Arial Narrow" w:cs="Arial"/>
          <w:i/>
          <w:sz w:val="24"/>
          <w:szCs w:val="24"/>
        </w:rPr>
        <w:t>en su estado original…”</w:t>
      </w:r>
    </w:p>
    <w:p w14:paraId="54DCEAF2"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489D7278" w14:textId="77777777" w:rsidR="00D03380" w:rsidRDefault="00D0338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De lo anterior, se advierte que la autoridad demandada Director de Desarrollo Urbano y Catastro Municipal informó a la parte actora, que no era posible acordar la autorización de licencia de uso de suelo para el funcionamiento “Granja Avícola” de la actora, en virtud de que no es factible jurídicamente en el predio de que se trata, pues el mismo está clasificado como “A” (área silvestre), conforme al Anexo 2 de las normas de uso de suelo vigente, conforme al Plan del Centro de Población Estratégico San Luis Potosí - Soledad de Graciano Sánchez.</w:t>
      </w:r>
    </w:p>
    <w:p w14:paraId="3A2E376E"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568DB8C0" w14:textId="5B3D4EDE" w:rsidR="00D03380" w:rsidRDefault="00D03380" w:rsidP="00EE56FA">
      <w:pPr>
        <w:autoSpaceDE w:val="0"/>
        <w:autoSpaceDN w:val="0"/>
        <w:adjustRightInd w:val="0"/>
        <w:spacing w:after="0" w:line="240" w:lineRule="auto"/>
        <w:ind w:left="567" w:right="567"/>
        <w:jc w:val="both"/>
        <w:rPr>
          <w:rFonts w:ascii="Arial Narrow" w:eastAsiaTheme="minorHAnsi" w:hAnsi="Arial Narrow" w:cs="Arial"/>
          <w:b/>
          <w:bCs/>
          <w:i/>
          <w:sz w:val="24"/>
          <w:szCs w:val="24"/>
        </w:rPr>
      </w:pPr>
      <w:r w:rsidRPr="00EE56FA">
        <w:rPr>
          <w:rFonts w:ascii="Arial Narrow" w:eastAsiaTheme="minorHAnsi" w:hAnsi="Arial Narrow" w:cs="Arial"/>
          <w:i/>
          <w:sz w:val="24"/>
          <w:szCs w:val="24"/>
        </w:rPr>
        <w:t xml:space="preserve">De los antecedentes del acto reclamado que se reseñaron con anterioridad se advierte que la actora demandó la nulidad de dicho oficio en el que se negó acordar la autorización de licencia de uso de suelo para el funcionamiento “Granja Avícola” de la actora y del Plan del Centro de Población Estratégico San Luis Potosí - Soledad de Graciano Sánchez; y asimismo, de los hechos que narró la actora se advierte que ésta manifestó que dicho oficio le fue notificado el </w:t>
      </w:r>
      <w:r w:rsidRPr="00EE56FA">
        <w:rPr>
          <w:rFonts w:ascii="Arial Narrow" w:eastAsiaTheme="minorHAnsi" w:hAnsi="Arial Narrow" w:cs="Arial"/>
          <w:b/>
          <w:bCs/>
          <w:i/>
          <w:sz w:val="24"/>
          <w:szCs w:val="24"/>
        </w:rPr>
        <w:t>dieciocho de mayo de dos mil veinte.</w:t>
      </w:r>
    </w:p>
    <w:p w14:paraId="1A1157EC"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EE1D426" w14:textId="5E66C93C" w:rsidR="00D03380" w:rsidRDefault="00D03380" w:rsidP="00EE56FA">
      <w:pPr>
        <w:autoSpaceDE w:val="0"/>
        <w:autoSpaceDN w:val="0"/>
        <w:adjustRightInd w:val="0"/>
        <w:spacing w:after="0" w:line="240" w:lineRule="auto"/>
        <w:ind w:left="567" w:right="567"/>
        <w:jc w:val="both"/>
        <w:rPr>
          <w:rFonts w:ascii="Arial Narrow" w:eastAsiaTheme="minorHAnsi" w:hAnsi="Arial Narrow" w:cs="Arial"/>
          <w:b/>
          <w:bCs/>
          <w:i/>
          <w:sz w:val="24"/>
          <w:szCs w:val="24"/>
        </w:rPr>
      </w:pPr>
      <w:r w:rsidRPr="00EE56FA">
        <w:rPr>
          <w:rFonts w:ascii="Arial Narrow" w:eastAsiaTheme="minorHAnsi" w:hAnsi="Arial Narrow" w:cs="Arial"/>
          <w:i/>
          <w:sz w:val="24"/>
          <w:szCs w:val="24"/>
        </w:rPr>
        <w:t xml:space="preserve">Ahora, la demanda de nulidad fue presentada el </w:t>
      </w:r>
      <w:r w:rsidRPr="00EE56FA">
        <w:rPr>
          <w:rFonts w:ascii="Arial Narrow" w:eastAsiaTheme="minorHAnsi" w:hAnsi="Arial Narrow" w:cs="Arial"/>
          <w:b/>
          <w:bCs/>
          <w:i/>
          <w:sz w:val="24"/>
          <w:szCs w:val="24"/>
        </w:rPr>
        <w:t>once de agosto de dos mil veinte.</w:t>
      </w:r>
    </w:p>
    <w:p w14:paraId="2666ADDC"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C79E5A2" w14:textId="77777777" w:rsidR="00D03380" w:rsidRDefault="00D0338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En la resolución que constituye el acto reclamado, la Sala superior fiscal sobreseyó en el juicio respecto de la resolución contenida en el oficio número MSGS/DUYCM/2979/2020 de once de marzo de dos mil veinte, emitida por el Director de Desarrollo Urbano y Catastro Municipal de Soledad de Graciano Sánchez, San Luis Potosí, a través de la cual se determinó no autorizar la licencia de uso de suelo a la parte actora; y asimismo, respecto del Plan Estratégico de Población, San Luis Potosí - Soledad de Graciano Sánchez, publicado en el Periódico Oficial del Estado el veintiuno de agosto de dos mil tres.</w:t>
      </w:r>
    </w:p>
    <w:p w14:paraId="4C28A272"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9C21750" w14:textId="77777777" w:rsidR="00D03380" w:rsidRDefault="00D0338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lastRenderedPageBreak/>
        <w:t>Lo anterior, porque la autoridad consideró que la parte actora consintió dichos actos por no haberlos impugnado mediante los recursos correspondientes, así como ante las manifestaciones de voluntad ejercidas en libertad como es el convenio celebrado entre la actora y el Tesorero del Municipio de Soledad de Graciano Sánchez, el dieciséis de junio de dos mil veinte, porque precluyó su derecho para ejercitar la acción que intentó en el juicio administrativo, lo anterior, conforme a dichos preceptos.</w:t>
      </w:r>
    </w:p>
    <w:p w14:paraId="4DECBADE"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1305B9DA" w14:textId="77777777" w:rsidR="00ED7BA6" w:rsidRDefault="00D0338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Es decir, la autoridad responsable estimó que en el caso, se actualizan los dos supuestos de la fracción VI del artículo 228 del Código Procesal Administrativo para el Estado de San Luis Potosí, esto es, que se trata de actos consentidos expresamente o por manifestaciones de voluntad que entrañen ese consentimiento, porque la autoridad consideró que la actora consintió dichos actos por no haberlos impugnado mediante los recursos correspondientes, así como ante las manifestaciones de voluntad ejercidas en libertad como es el convenio a que hizo referencia.</w:t>
      </w:r>
      <w:r w:rsidR="00ED7BA6" w:rsidRPr="00EE56FA">
        <w:rPr>
          <w:rFonts w:ascii="Arial Narrow" w:eastAsiaTheme="minorHAnsi" w:hAnsi="Arial Narrow" w:cs="Arial"/>
          <w:i/>
          <w:sz w:val="24"/>
          <w:szCs w:val="24"/>
        </w:rPr>
        <w:t xml:space="preserve"> </w:t>
      </w:r>
    </w:p>
    <w:p w14:paraId="0DC9AD1E"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C86DCAC" w14:textId="77777777" w:rsidR="00B63A56" w:rsidRDefault="00D0338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Ahora bien, constituye u</w:t>
      </w:r>
      <w:r w:rsidR="00ED7BA6" w:rsidRPr="00EE56FA">
        <w:rPr>
          <w:rFonts w:ascii="Arial Narrow" w:eastAsiaTheme="minorHAnsi" w:hAnsi="Arial Narrow" w:cs="Arial"/>
          <w:i/>
          <w:sz w:val="24"/>
          <w:szCs w:val="24"/>
        </w:rPr>
        <w:t xml:space="preserve">n hecho notorio para este Tribunal </w:t>
      </w:r>
      <w:r w:rsidRPr="00EE56FA">
        <w:rPr>
          <w:rFonts w:ascii="Arial Narrow" w:eastAsiaTheme="minorHAnsi" w:hAnsi="Arial Narrow" w:cs="Arial"/>
          <w:i/>
          <w:sz w:val="24"/>
          <w:szCs w:val="24"/>
        </w:rPr>
        <w:t>Colegiado la afectación que</w:t>
      </w:r>
      <w:r w:rsidR="00ED7BA6" w:rsidRPr="00EE56FA">
        <w:rPr>
          <w:rFonts w:ascii="Arial Narrow" w:eastAsiaTheme="minorHAnsi" w:hAnsi="Arial Narrow" w:cs="Arial"/>
          <w:i/>
          <w:sz w:val="24"/>
          <w:szCs w:val="24"/>
        </w:rPr>
        <w:t xml:space="preserve"> generó la contingencia sanitaria </w:t>
      </w:r>
      <w:r w:rsidRPr="00EE56FA">
        <w:rPr>
          <w:rFonts w:ascii="Arial Narrow" w:eastAsiaTheme="minorHAnsi" w:hAnsi="Arial Narrow" w:cs="Arial"/>
          <w:i/>
          <w:sz w:val="24"/>
          <w:szCs w:val="24"/>
        </w:rPr>
        <w:t>derivada del virus SARS-CoV2</w:t>
      </w:r>
      <w:r w:rsidR="00ED7BA6" w:rsidRPr="00EE56FA">
        <w:rPr>
          <w:rFonts w:ascii="Arial Narrow" w:eastAsiaTheme="minorHAnsi" w:hAnsi="Arial Narrow" w:cs="Arial"/>
          <w:i/>
          <w:sz w:val="24"/>
          <w:szCs w:val="24"/>
        </w:rPr>
        <w:t xml:space="preserve"> (COVID-19) decretada a partir del </w:t>
      </w:r>
      <w:r w:rsidRPr="00EE56FA">
        <w:rPr>
          <w:rFonts w:ascii="Arial Narrow" w:eastAsiaTheme="minorHAnsi" w:hAnsi="Arial Narrow" w:cs="Arial"/>
          <w:i/>
          <w:sz w:val="24"/>
          <w:szCs w:val="24"/>
        </w:rPr>
        <w:t>dieciocho de marzo de dos mil</w:t>
      </w:r>
      <w:r w:rsidR="00ED7BA6" w:rsidRPr="00EE56FA">
        <w:rPr>
          <w:rFonts w:ascii="Arial Narrow" w:eastAsiaTheme="minorHAnsi" w:hAnsi="Arial Narrow" w:cs="Arial"/>
          <w:i/>
          <w:sz w:val="24"/>
          <w:szCs w:val="24"/>
        </w:rPr>
        <w:t xml:space="preserve"> veinte; asimismo, la existencia de </w:t>
      </w:r>
      <w:r w:rsidRPr="00EE56FA">
        <w:rPr>
          <w:rFonts w:ascii="Arial Narrow" w:eastAsiaTheme="minorHAnsi" w:hAnsi="Arial Narrow" w:cs="Arial"/>
          <w:i/>
          <w:sz w:val="24"/>
          <w:szCs w:val="24"/>
        </w:rPr>
        <w:t>diversos acuerdos en torno</w:t>
      </w:r>
      <w:r w:rsidR="00ED7BA6" w:rsidRPr="00EE56FA">
        <w:rPr>
          <w:rFonts w:ascii="Arial Narrow" w:eastAsiaTheme="minorHAnsi" w:hAnsi="Arial Narrow" w:cs="Arial"/>
          <w:i/>
          <w:sz w:val="24"/>
          <w:szCs w:val="24"/>
        </w:rPr>
        <w:t xml:space="preserve"> la suspensión de actividades </w:t>
      </w:r>
      <w:r w:rsidRPr="00EE56FA">
        <w:rPr>
          <w:rFonts w:ascii="Arial Narrow" w:eastAsiaTheme="minorHAnsi" w:hAnsi="Arial Narrow" w:cs="Arial"/>
          <w:i/>
          <w:sz w:val="24"/>
          <w:szCs w:val="24"/>
        </w:rPr>
        <w:t>jurisdiccionales de la autorida</w:t>
      </w:r>
      <w:r w:rsidR="00ED7BA6" w:rsidRPr="00EE56FA">
        <w:rPr>
          <w:rFonts w:ascii="Arial Narrow" w:eastAsiaTheme="minorHAnsi" w:hAnsi="Arial Narrow" w:cs="Arial"/>
          <w:i/>
          <w:sz w:val="24"/>
          <w:szCs w:val="24"/>
        </w:rPr>
        <w:t xml:space="preserve">d </w:t>
      </w:r>
      <w:r w:rsidRPr="00EE56FA">
        <w:rPr>
          <w:rFonts w:ascii="Arial Narrow" w:eastAsiaTheme="minorHAnsi" w:hAnsi="Arial Narrow" w:cs="Arial"/>
          <w:i/>
          <w:sz w:val="24"/>
          <w:szCs w:val="24"/>
        </w:rPr>
        <w:t>responsable, Tribunal Estatal de</w:t>
      </w:r>
      <w:r w:rsidR="00ED7BA6" w:rsidRPr="00EE56FA">
        <w:rPr>
          <w:rFonts w:ascii="Arial Narrow" w:eastAsiaTheme="minorHAnsi" w:hAnsi="Arial Narrow" w:cs="Arial"/>
          <w:i/>
          <w:sz w:val="24"/>
          <w:szCs w:val="24"/>
        </w:rPr>
        <w:t xml:space="preserve"> Justicia Administrativa, entre los que destaca: </w:t>
      </w:r>
    </w:p>
    <w:p w14:paraId="0D0322E8"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243F8425" w14:textId="6C8F0AB4" w:rsidR="00ED7BA6" w:rsidRDefault="00ED7BA6"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-.“Aviso en torno a la situación sanitaria emergente del país por el coronavirus, COVID-19.”, en el que se determinó suspender actividades jurisdiccionales del diecinueve de marzo al diecinueve de abril de dos mil veinte, y se acordó que en ese periodo no se celebrarían sesiones o audiencias, ni actuaciones o diligencias, ni correrán plazos procesales y que el Tribunal podría implementar guardias para atender asuntos urgentes.</w:t>
      </w:r>
    </w:p>
    <w:p w14:paraId="4C5ECAF0"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7074B9F2" w14:textId="1A176350" w:rsidR="00B63A56" w:rsidRDefault="00B63A56"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Acuerdo que determina la prórroga de la suspensión de actividades jurisdiccionales del 20 de abril al 05 de mayo del 2020”.</w:t>
      </w:r>
    </w:p>
    <w:p w14:paraId="6B9C3CEA"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91232DD" w14:textId="5ACB29B6" w:rsidR="00B63A56" w:rsidRDefault="00B63A56"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Acuerdo del Pleno del Tribunal Estatal de Justicia Administrativa de San Luis Potosí, que determina la extensión de la Suspensión de Actividades Jurisdiccionales del 6 al 31 de mayo del 2020.</w:t>
      </w:r>
    </w:p>
    <w:p w14:paraId="63D9D424"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3A43BCAB" w14:textId="77777777" w:rsidR="00B63A56" w:rsidRDefault="00B63A56"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 Acuerdo del Pleno que determina la extensión de la suspensión de actividades jurisdiccionales del 1o al 15 de junio del 2020; en este se determinó que los días comprendidos en dicho periodo se considerarán inhábiles, en la inteligencia de que no correrán plazos ni términos procesales. </w:t>
      </w:r>
    </w:p>
    <w:p w14:paraId="36AC6217"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0DF883F1" w14:textId="31C8BCF3" w:rsidR="00446C25" w:rsidRDefault="00B63A56" w:rsidP="00EE56FA">
      <w:pPr>
        <w:autoSpaceDE w:val="0"/>
        <w:autoSpaceDN w:val="0"/>
        <w:adjustRightInd w:val="0"/>
        <w:spacing w:after="0" w:line="240" w:lineRule="auto"/>
        <w:ind w:left="567" w:right="567"/>
        <w:jc w:val="both"/>
        <w:rPr>
          <w:rFonts w:ascii="Arial Narrow" w:eastAsiaTheme="minorHAnsi" w:hAnsi="Arial Narrow" w:cs="Arial"/>
          <w:b/>
          <w:bCs/>
          <w:i/>
          <w:sz w:val="24"/>
          <w:szCs w:val="24"/>
        </w:rPr>
      </w:pPr>
      <w:r w:rsidRPr="00EE56FA">
        <w:rPr>
          <w:rFonts w:ascii="Arial Narrow" w:eastAsiaTheme="minorHAnsi" w:hAnsi="Arial Narrow" w:cs="Arial"/>
          <w:i/>
          <w:sz w:val="24"/>
          <w:szCs w:val="24"/>
        </w:rPr>
        <w:t xml:space="preserve">- Acuerdo General Establece Medidas Reiniciar Actividades Tribunal Estatal Justicia Administrativa en el que se determinó que la prórroga de la suspensión decretada hasta el </w:t>
      </w:r>
      <w:r w:rsidRPr="00EE56FA">
        <w:rPr>
          <w:rFonts w:ascii="Arial Narrow" w:eastAsiaTheme="minorHAnsi" w:hAnsi="Arial Narrow" w:cs="Arial"/>
          <w:b/>
          <w:bCs/>
          <w:i/>
          <w:sz w:val="24"/>
          <w:szCs w:val="24"/>
        </w:rPr>
        <w:t>treinta de junio de dos mil veinte,</w:t>
      </w:r>
      <w:r w:rsidRPr="00EE56FA">
        <w:rPr>
          <w:rFonts w:ascii="Arial Narrow" w:eastAsiaTheme="minorHAnsi" w:hAnsi="Arial Narrow" w:cs="Arial"/>
          <w:bCs/>
          <w:i/>
          <w:sz w:val="24"/>
          <w:szCs w:val="24"/>
        </w:rPr>
        <w:t xml:space="preserve"> </w:t>
      </w:r>
      <w:r w:rsidRPr="00EE56FA">
        <w:rPr>
          <w:rFonts w:ascii="Arial Narrow" w:eastAsiaTheme="minorHAnsi" w:hAnsi="Arial Narrow" w:cs="Arial"/>
          <w:i/>
          <w:sz w:val="24"/>
          <w:szCs w:val="24"/>
        </w:rPr>
        <w:t>y por tanto se</w:t>
      </w:r>
      <w:r w:rsidR="00446C25" w:rsidRPr="00EE56FA">
        <w:rPr>
          <w:rFonts w:ascii="Arial Narrow" w:eastAsiaTheme="minorHAnsi" w:hAnsi="Arial Narrow" w:cs="Arial"/>
          <w:i/>
          <w:sz w:val="24"/>
          <w:szCs w:val="24"/>
        </w:rPr>
        <w:t xml:space="preserve"> considerarán los días de ese periodo como inhábiles y no correrán términos y plazos/ legales (reanudó actividades </w:t>
      </w:r>
      <w:r w:rsidR="00446C25" w:rsidRPr="00EE56FA">
        <w:rPr>
          <w:rFonts w:ascii="Arial Narrow" w:eastAsiaTheme="minorHAnsi" w:hAnsi="Arial Narrow" w:cs="Arial"/>
          <w:b/>
          <w:bCs/>
          <w:i/>
          <w:sz w:val="24"/>
          <w:szCs w:val="24"/>
        </w:rPr>
        <w:t>primero de julio de dos mil veinte).</w:t>
      </w:r>
    </w:p>
    <w:p w14:paraId="0E3BCD3F"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b/>
          <w:bCs/>
          <w:i/>
          <w:sz w:val="24"/>
          <w:szCs w:val="24"/>
        </w:rPr>
      </w:pPr>
    </w:p>
    <w:p w14:paraId="7D05766A" w14:textId="210B58C5" w:rsidR="00446C25" w:rsidRDefault="00446C25"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Acuerdo del Pleno del Tribunal Estatal de Justicia Administrativa de San Luis Potosí, que determina la suspensión de actividades jurisdiccionales durante el periodo comprendido del veintisiete de enero al cinco de febrero de dos mil veintiuno.</w:t>
      </w:r>
    </w:p>
    <w:p w14:paraId="273DA8E7"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4B593D2E" w14:textId="306320B3" w:rsidR="00446C25" w:rsidRDefault="00446C25"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Dichos documentos se invocan como hecho notorio, por encontrarse publicados en la página oficial del Tribunal Estatal de Justicia Administrativa. del Estado.</w:t>
      </w:r>
    </w:p>
    <w:p w14:paraId="3221770F"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0CA9E1CF" w14:textId="77777777" w:rsidR="00446C25" w:rsidRDefault="00446C25"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De lo anterior, se advierte que durante el periodo comprendido del diecinueve de marzo al treinta de junio de dos mil veinte, se decretó la suspensión de </w:t>
      </w:r>
      <w:r w:rsidRPr="00EE56FA">
        <w:rPr>
          <w:rFonts w:ascii="Arial Narrow" w:hAnsi="Arial Narrow" w:cs="Arial"/>
          <w:i/>
          <w:color w:val="000000"/>
          <w:spacing w:val="-2"/>
          <w:sz w:val="24"/>
          <w:szCs w:val="24"/>
          <w:lang w:val="es-ES_tradnl"/>
        </w:rPr>
        <w:lastRenderedPageBreak/>
        <w:t>actividades jurisdiccionales del tribunal responsable y, por ende, durante ese periodo no corrieron plazos procesales.</w:t>
      </w:r>
    </w:p>
    <w:p w14:paraId="0385768B"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1A874E7E" w14:textId="77777777" w:rsidR="00C170C0" w:rsidRDefault="00446C25"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hAnsi="Arial Narrow" w:cs="Arial"/>
          <w:i/>
          <w:color w:val="000000"/>
          <w:spacing w:val="-2"/>
          <w:sz w:val="24"/>
          <w:szCs w:val="24"/>
          <w:lang w:val="es-ES_tradnl"/>
        </w:rPr>
        <w:t xml:space="preserve">Entonces, si en el caso, la actora manifestó tener conocimiento del oficio impugnado el </w:t>
      </w:r>
      <w:r w:rsidRPr="00EE56FA">
        <w:rPr>
          <w:rFonts w:ascii="Arial Narrow" w:hAnsi="Arial Narrow" w:cs="Arial"/>
          <w:b/>
          <w:i/>
          <w:color w:val="000000"/>
          <w:spacing w:val="-2"/>
          <w:sz w:val="24"/>
          <w:szCs w:val="24"/>
          <w:lang w:val="es-ES_tradnl"/>
        </w:rPr>
        <w:t>dieciocho de mayo de dos mil veinte,</w:t>
      </w:r>
      <w:r w:rsidRPr="00EE56FA">
        <w:rPr>
          <w:rFonts w:ascii="Arial Narrow" w:hAnsi="Arial Narrow" w:cs="Arial"/>
          <w:i/>
          <w:color w:val="000000"/>
          <w:spacing w:val="-2"/>
          <w:sz w:val="24"/>
          <w:szCs w:val="24"/>
          <w:lang w:val="es-ES_tradnl"/>
        </w:rPr>
        <w:t xml:space="preserve"> y la demanda de nulidad la presentó el once de agosto de ese año, se concluye que la demandad de nulidad su se presentó dentro de los treinta días hábiles a que hace referencia el artículo 24, fracción I, inciso a) del Código Procesal Administrativo para el Estado de San Luis Potosí, en virtud de que dicho plazo empezó a computarse al día siguiente hábil, esto es, </w:t>
      </w:r>
      <w:r w:rsidR="00C170C0" w:rsidRPr="00EE56FA">
        <w:rPr>
          <w:rFonts w:ascii="Arial Narrow" w:eastAsiaTheme="minorHAnsi" w:hAnsi="Arial Narrow" w:cs="Arial"/>
          <w:i/>
          <w:sz w:val="24"/>
          <w:szCs w:val="24"/>
        </w:rPr>
        <w:t xml:space="preserve">el dos de julio de dos mil veinte, y feneció el doce de agosto del propio año; por tanto, si la demanda de nulidad se presentó el </w:t>
      </w:r>
      <w:r w:rsidR="00C170C0" w:rsidRPr="00EE56FA">
        <w:rPr>
          <w:rFonts w:ascii="Arial Narrow" w:eastAsiaTheme="minorHAnsi" w:hAnsi="Arial Narrow" w:cs="Arial"/>
          <w:b/>
          <w:bCs/>
          <w:i/>
          <w:sz w:val="24"/>
          <w:szCs w:val="24"/>
        </w:rPr>
        <w:t xml:space="preserve">once de agosto de dos mil veinte, </w:t>
      </w:r>
      <w:r w:rsidR="00C170C0" w:rsidRPr="00EE56FA">
        <w:rPr>
          <w:rFonts w:ascii="Arial Narrow" w:eastAsiaTheme="minorHAnsi" w:hAnsi="Arial Narrow" w:cs="Arial"/>
          <w:i/>
          <w:sz w:val="24"/>
          <w:szCs w:val="24"/>
        </w:rPr>
        <w:t xml:space="preserve">contrario a lo considerado por la autoridad responsable, la presentación de la demanda de nulidad se presentó en tiempo y, por ende, contrario a lo considerado por la autoridad responsable, no se puede considerar que los actos impugnados, sean actos consentidos en términos del artículo 228 fracción VI del Código Procesal Administrativo para el Estado de San Luis Potosí, por no haberlos impugnado mediante los recursos correspondientes. </w:t>
      </w:r>
    </w:p>
    <w:p w14:paraId="48E135A4"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4F3F32CD" w14:textId="77777777" w:rsidR="00C170C0" w:rsidRDefault="00C170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De igual manera, le asiste la razón a la parte quejosa al señalar que la celebración del convenio a que hizo referencia la autoridad responsable, no entraña el consentimiento de los actos impugnados. </w:t>
      </w:r>
    </w:p>
    <w:p w14:paraId="02D3C174" w14:textId="77777777" w:rsidR="005875C0" w:rsidRPr="00EE56FA" w:rsidRDefault="005875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p>
    <w:p w14:paraId="653788DD" w14:textId="4EBFB4D2" w:rsidR="00C170C0" w:rsidRDefault="00C170C0" w:rsidP="00EE56FA">
      <w:pPr>
        <w:autoSpaceDE w:val="0"/>
        <w:autoSpaceDN w:val="0"/>
        <w:adjustRightInd w:val="0"/>
        <w:spacing w:after="0" w:line="240" w:lineRule="auto"/>
        <w:ind w:left="567" w:right="567"/>
        <w:jc w:val="both"/>
        <w:rPr>
          <w:rFonts w:ascii="Arial Narrow" w:eastAsiaTheme="minorHAnsi" w:hAnsi="Arial Narrow" w:cs="Arial"/>
          <w:i/>
          <w:sz w:val="24"/>
          <w:szCs w:val="24"/>
        </w:rPr>
      </w:pPr>
      <w:r w:rsidRPr="00EE56FA">
        <w:rPr>
          <w:rFonts w:ascii="Arial Narrow" w:eastAsiaTheme="minorHAnsi" w:hAnsi="Arial Narrow" w:cs="Arial"/>
          <w:i/>
          <w:sz w:val="24"/>
          <w:szCs w:val="24"/>
        </w:rPr>
        <w:t xml:space="preserve">Lo anterior, porque el “Convenio de Reconocimiento de Obligación de Pago" con el Ayuntamiento de Soledad de Graciano Sánchez, San Luis Potosí, lo celebró la quejosa con dicha autoridad, el </w:t>
      </w:r>
      <w:r w:rsidRPr="00EE56FA">
        <w:rPr>
          <w:rFonts w:ascii="Arial Narrow" w:eastAsiaTheme="minorHAnsi" w:hAnsi="Arial Narrow" w:cs="Arial"/>
          <w:b/>
          <w:bCs/>
          <w:i/>
          <w:sz w:val="24"/>
          <w:szCs w:val="24"/>
        </w:rPr>
        <w:t>dieciséis de junio de dos mil veinte,</w:t>
      </w:r>
      <w:r w:rsidRPr="00EE56FA">
        <w:rPr>
          <w:rFonts w:ascii="Arial Narrow" w:eastAsiaTheme="minorHAnsi" w:hAnsi="Arial Narrow" w:cs="Arial"/>
          <w:bCs/>
          <w:i/>
          <w:sz w:val="24"/>
          <w:szCs w:val="24"/>
        </w:rPr>
        <w:t xml:space="preserve"> </w:t>
      </w:r>
      <w:r w:rsidRPr="00EE56FA">
        <w:rPr>
          <w:rFonts w:ascii="Arial Narrow" w:eastAsiaTheme="minorHAnsi" w:hAnsi="Arial Narrow" w:cs="Arial"/>
          <w:i/>
          <w:sz w:val="24"/>
          <w:szCs w:val="24"/>
        </w:rPr>
        <w:t xml:space="preserve">es decir, en el periodo en el que se encontraban suspendidas las actividades jurisdiccionales del tribunal responsable; por tanto, contrario a lo considerado por la Sala responsable, la quejosa no estaba en aptitud de impugnar jurisdiccionalmente el oficio de once de marzo de dos mil veinte, emitido por el Director de Desarrollo Urbano y Catastro Municipal de Soledad de Graciano Sánchez, en el que se mencionó el Plan del Centro de Población Estratégico San Luis Potosí – Soledad de Graciano Sánchez, publicado en el Periódico Oficial el veintiuno de agosto de dos mil tres, durante ese periodo, sino únicamente hasta que el Tribunal Estatal Justicia Administrativa reanudó sus actividades, es decir, a partir del primero de julio de </w:t>
      </w:r>
      <w:r w:rsidRPr="00EE56FA">
        <w:rPr>
          <w:rFonts w:ascii="Arial Narrow" w:eastAsiaTheme="minorHAnsi" w:hAnsi="Arial Narrow" w:cs="Arial"/>
          <w:i/>
          <w:iCs/>
          <w:sz w:val="24"/>
          <w:szCs w:val="24"/>
        </w:rPr>
        <w:t xml:space="preserve">dos </w:t>
      </w:r>
      <w:r w:rsidRPr="00EE56FA">
        <w:rPr>
          <w:rFonts w:ascii="Arial Narrow" w:eastAsiaTheme="minorHAnsi" w:hAnsi="Arial Narrow" w:cs="Arial"/>
          <w:i/>
          <w:sz w:val="24"/>
          <w:szCs w:val="24"/>
        </w:rPr>
        <w:t>mil veinte.</w:t>
      </w:r>
    </w:p>
    <w:p w14:paraId="10B12FB3"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7B72A439" w14:textId="77777777" w:rsidR="00C170C0" w:rsidRDefault="00C170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Y el hecho de que hubiese podido promover el juicio de amparo indirecto en contra de esa clausura, no puede llevar a tener por consentido el acto en el juicio contenciosos administrativo porque aquél juicio es optativo.</w:t>
      </w:r>
    </w:p>
    <w:p w14:paraId="787F8E1D"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0DB2E3B5" w14:textId="7B33E08C" w:rsidR="00C170C0" w:rsidRDefault="00B12288"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Y como quedó de manifiesto con antelación, la actora si promovió el juicio de nulidad dentro del plazo de los treinta días hábiles a que hace referencia el artículo 24, fracción I, inciso a) del Código Procesal Administrativo para el Estado de San Luis Potosí, en virtud de que como se explicó, dicho plazo empezó a computarse al día siguiente hábil, esto es, el dos de julio de dos mil veinte y feneció el doce de agosto del propio año; y la demanda de nulidad se presentó el </w:t>
      </w:r>
      <w:r w:rsidRPr="00EE56FA">
        <w:rPr>
          <w:rFonts w:ascii="Arial Narrow" w:hAnsi="Arial Narrow" w:cs="Arial"/>
          <w:b/>
          <w:i/>
          <w:color w:val="000000"/>
          <w:spacing w:val="-2"/>
          <w:sz w:val="24"/>
          <w:szCs w:val="24"/>
          <w:lang w:val="es-ES_tradnl"/>
        </w:rPr>
        <w:t>once de agosto de dos mil veinte.</w:t>
      </w:r>
      <w:r w:rsidRPr="00EE56FA">
        <w:rPr>
          <w:rFonts w:ascii="Arial Narrow" w:hAnsi="Arial Narrow" w:cs="Arial"/>
          <w:i/>
          <w:color w:val="000000"/>
          <w:spacing w:val="-2"/>
          <w:sz w:val="24"/>
          <w:szCs w:val="24"/>
          <w:lang w:val="es-ES_tradnl"/>
        </w:rPr>
        <w:t xml:space="preserve"> </w:t>
      </w:r>
    </w:p>
    <w:p w14:paraId="507BE632"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6AB48320" w14:textId="532B2A2C" w:rsidR="00D9324D" w:rsidRDefault="00B12288"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cs="Arial"/>
          <w:i/>
          <w:color w:val="000000"/>
          <w:spacing w:val="-2"/>
          <w:sz w:val="24"/>
          <w:szCs w:val="24"/>
          <w:lang w:val="es-ES_tradnl"/>
        </w:rPr>
        <w:t xml:space="preserve">Por tanto, como bien lo aduce la parte quejosa, la resolución declamada resulta violatoria de derechos en perjuicio de la parte quejosa, en virtud de que, contrario a lo considerado por la Sala responsable, la quejosa no se encontraba en aptitud de impugnar el oficio en que se negó la licencia de uso de suelo, </w:t>
      </w:r>
      <w:r w:rsidRPr="00EE56FA">
        <w:rPr>
          <w:rFonts w:ascii="Arial Narrow" w:hAnsi="Arial Narrow" w:cs="Arial"/>
          <w:i/>
          <w:color w:val="000000"/>
          <w:spacing w:val="-2"/>
          <w:sz w:val="24"/>
          <w:szCs w:val="24"/>
          <w:lang w:val="es-ES_tradnl"/>
        </w:rPr>
        <w:lastRenderedPageBreak/>
        <w:t>términos del Plan del Centro de Población Estratégico San Luis Potosí –Soledad de Graciano Sánchez</w:t>
      </w:r>
      <w:r w:rsidR="00D9324D" w:rsidRPr="00EE56FA">
        <w:rPr>
          <w:rFonts w:ascii="Arial Narrow" w:hAnsi="Arial Narrow" w:cs="Arial"/>
          <w:i/>
          <w:color w:val="000000"/>
          <w:spacing w:val="-2"/>
          <w:sz w:val="24"/>
          <w:szCs w:val="24"/>
          <w:lang w:val="es-ES_tradnl"/>
        </w:rPr>
        <w:t xml:space="preserve">, antes de que se reanudaran las </w:t>
      </w:r>
      <w:r w:rsidR="00D9324D" w:rsidRPr="00EE56FA">
        <w:rPr>
          <w:rFonts w:ascii="Arial Narrow" w:hAnsi="Arial Narrow"/>
          <w:i/>
          <w:sz w:val="24"/>
          <w:szCs w:val="24"/>
        </w:rPr>
        <w:t xml:space="preserve">labores del tribunal responsable; y el hecho de que haya celebrado el convenio de reconocimiento de obligación de pago con el Tesorero Municipal de Soledad de Graciano Sánchez, no entraña el consentimiento de dichos actos, en virtud de que, si bien es cierto, de dicho acuerdo de voluntades se advierte que la actora reconoció su obligación de pago por derechos de licencia de cambio de uso de suelo y el pago de refrendo de licencia de funcionamiento; sin embargo, le asiste la razón a la quejosa al señalar que del contenido del mismo no se advierte que haya manifestado expresamente su conformidad con el oficio número </w:t>
      </w:r>
      <w:r w:rsidR="0050127A">
        <w:rPr>
          <w:rFonts w:ascii="Arial Narrow" w:hAnsi="Arial Narrow"/>
          <w:i/>
          <w:color w:val="FF0000"/>
          <w:sz w:val="24"/>
          <w:szCs w:val="24"/>
        </w:rPr>
        <w:t>**********</w:t>
      </w:r>
      <w:r w:rsidR="00D9324D" w:rsidRPr="00EE56FA">
        <w:rPr>
          <w:rFonts w:ascii="Arial Narrow" w:hAnsi="Arial Narrow"/>
          <w:i/>
          <w:sz w:val="24"/>
          <w:szCs w:val="24"/>
        </w:rPr>
        <w:t>/2020 de once de marzo de dos mil veinte, o respecto del Plan del Centro de Población Estratégico San Luis Potosí –Soledad de Graciano Sánchez.</w:t>
      </w:r>
    </w:p>
    <w:p w14:paraId="3C3AE927"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09780A4C" w14:textId="3C62364C" w:rsidR="00C170C0" w:rsidRDefault="00D9324D"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 xml:space="preserve">Además, la autoridad responsable no tomó en consideración los hechos manifestados por la actora en la demanda de nulidad, en el sentido de que el quince de junio de dos mli veinte, la Directora de Comercio del Municipio de Soledad de Graciano Sánchez, San Luis Potosí, ordenó la práctica de una visita de inspección en el inmueble ubicado en calle </w:t>
      </w:r>
      <w:r w:rsidR="0050127A">
        <w:rPr>
          <w:rFonts w:ascii="Arial Narrow" w:hAnsi="Arial Narrow"/>
          <w:i/>
          <w:color w:val="FF0000"/>
          <w:sz w:val="24"/>
          <w:szCs w:val="24"/>
        </w:rPr>
        <w:t>**********</w:t>
      </w:r>
      <w:r w:rsidRPr="00EE56FA">
        <w:rPr>
          <w:rFonts w:ascii="Arial Narrow" w:hAnsi="Arial Narrow"/>
          <w:i/>
          <w:sz w:val="24"/>
          <w:szCs w:val="24"/>
        </w:rPr>
        <w:t xml:space="preserve">(predio denominado </w:t>
      </w:r>
      <w:r w:rsidR="0050127A">
        <w:rPr>
          <w:rFonts w:ascii="Arial Narrow" w:hAnsi="Arial Narrow"/>
          <w:i/>
          <w:color w:val="FF0000"/>
          <w:sz w:val="24"/>
          <w:szCs w:val="24"/>
        </w:rPr>
        <w:t>**********</w:t>
      </w:r>
      <w:r w:rsidRPr="00EE56FA">
        <w:rPr>
          <w:rFonts w:ascii="Arial Narrow" w:hAnsi="Arial Narrow"/>
          <w:i/>
          <w:sz w:val="24"/>
          <w:szCs w:val="24"/>
        </w:rPr>
        <w:t>), propiedad de la quejosa, y que mediante acta circunstanciada de aplicación de medidas de seguridad, un visitador adscrito al Municipio de Soledad de Graciano Sánchez, San Luis Potosí, clausuró dicho inmueble, al considerar que la actora no contaba con licencia de funcionamiento expedida por la Dirección de Comercio de dicho Municipio; y que por tal motivo, para evitar consecuencias económicas que la clausura conllevaba, y evitar la muerte de las aves de corral que se encontraban en esa granja, y evitar un problema sanitario grave, el dieciséis de junio de dos mil veinte, la actora celebró el “Convenio de Reconocimiento de Obligación de Pago”, con el Ayuntamiento.</w:t>
      </w:r>
    </w:p>
    <w:p w14:paraId="3B0F409B"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5D2FCCA4" w14:textId="7EDF1977" w:rsidR="00C170C0" w:rsidRDefault="006B1884"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r w:rsidRPr="00EE56FA">
        <w:rPr>
          <w:rFonts w:ascii="Arial Narrow" w:hAnsi="Arial Narrow" w:cs="Arial"/>
          <w:i/>
          <w:color w:val="000000"/>
          <w:spacing w:val="-2"/>
          <w:sz w:val="24"/>
          <w:szCs w:val="24"/>
          <w:lang w:val="es-ES_tradnl"/>
        </w:rPr>
        <w:t xml:space="preserve">Entonces, contrario a lo considerado por la autoridad responsable, la celebración de dicho convenio no puede </w:t>
      </w:r>
      <w:r w:rsidR="00C81CF7" w:rsidRPr="00EE56FA">
        <w:rPr>
          <w:rFonts w:ascii="Arial Narrow" w:hAnsi="Arial Narrow" w:cs="Arial"/>
          <w:i/>
          <w:color w:val="000000"/>
          <w:spacing w:val="-2"/>
          <w:sz w:val="24"/>
          <w:szCs w:val="24"/>
          <w:lang w:val="es-ES_tradnl"/>
        </w:rPr>
        <w:t>reflejar una manifestación de</w:t>
      </w:r>
      <w:r w:rsidR="0002022E" w:rsidRPr="00EE56FA">
        <w:rPr>
          <w:rFonts w:ascii="Arial Narrow" w:hAnsi="Arial Narrow" w:cs="Arial"/>
          <w:i/>
          <w:color w:val="000000"/>
          <w:spacing w:val="-2"/>
          <w:sz w:val="24"/>
          <w:szCs w:val="24"/>
          <w:lang w:val="es-ES_tradnl"/>
        </w:rPr>
        <w:t xml:space="preserve"> </w:t>
      </w:r>
      <w:r w:rsidR="00C81CF7" w:rsidRPr="00EE56FA">
        <w:rPr>
          <w:rFonts w:ascii="Arial Narrow" w:hAnsi="Arial Narrow" w:cs="Arial"/>
          <w:i/>
          <w:color w:val="000000"/>
          <w:spacing w:val="-2"/>
          <w:sz w:val="24"/>
          <w:szCs w:val="24"/>
          <w:lang w:val="es-ES_tradnl"/>
        </w:rPr>
        <w:t xml:space="preserve">la voluntad de la quejosa, respecto de los actos impugnados en el juicio de nulidad, porque como se explicó, la parte quejosa sí promovió el juicio dentro del plazo que establece la ley aplicable, y además, la fecha en que celebró dicho convenio, la actora no estaba en aptitud de promover el juicio a efecto de combatir la cláusula a que alude o impugna el oficio en el que se le negó la licencia de uso de suelo y en el que se invocó el Plan del Centro de Población Estratégico San Luis Potosí – Soledad de Graciano Sánchez, porque como quedó de manifiesto con antelación, a la fecha en que se llevó a cabo la clausura y la data en que celebró el aludido convenio </w:t>
      </w:r>
      <w:r w:rsidR="0002022E" w:rsidRPr="00EE56FA">
        <w:rPr>
          <w:rFonts w:ascii="Arial Narrow" w:hAnsi="Arial Narrow" w:cs="Arial"/>
          <w:i/>
          <w:color w:val="000000"/>
          <w:spacing w:val="-2"/>
          <w:sz w:val="24"/>
          <w:szCs w:val="24"/>
          <w:lang w:val="es-ES_tradnl"/>
        </w:rPr>
        <w:t xml:space="preserve">(quince y dieciséis de junio de dos mil veinte), se encontraba suspendidas las actividades jurisdiccionales del tribunal responsable, y por ende, durante ese periodo no corrieron plazos procesales, debido a la contingencia sanitaria emergente del país por el coronavirus COVID-19. </w:t>
      </w:r>
    </w:p>
    <w:p w14:paraId="532E4011"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6C2599FC" w14:textId="77777777" w:rsidR="00B51AD2" w:rsidRDefault="0002022E"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cs="Arial"/>
          <w:i/>
          <w:color w:val="000000"/>
          <w:spacing w:val="-2"/>
          <w:sz w:val="24"/>
          <w:szCs w:val="24"/>
          <w:lang w:val="es-ES_tradnl"/>
        </w:rPr>
        <w:t xml:space="preserve">Por tanto, se reitera el hecho de que se encuentre demostrado en autos de que la quejosa haya celebrado el aludido </w:t>
      </w:r>
      <w:r w:rsidRPr="00EE56FA">
        <w:rPr>
          <w:rFonts w:ascii="Arial Narrow" w:hAnsi="Arial Narrow"/>
          <w:i/>
          <w:sz w:val="24"/>
          <w:szCs w:val="24"/>
        </w:rPr>
        <w:t>convenio, no trae como consecuencia la actualización de la causa de improcedencia que contempla el artículo 228, fracción VI del Código Procesal Administrativo para el Estado de San Luis Potosí, porque como quedó de manifiesto, la quejosa sí promovió el juicio de nulidad, dentro del plazo que establece la ley que rige el acto reclamado.</w:t>
      </w:r>
      <w:r w:rsidR="00B51AD2" w:rsidRPr="00EE56FA">
        <w:rPr>
          <w:rFonts w:ascii="Arial Narrow" w:hAnsi="Arial Narrow"/>
          <w:i/>
          <w:sz w:val="24"/>
          <w:szCs w:val="24"/>
        </w:rPr>
        <w:t xml:space="preserve"> </w:t>
      </w:r>
    </w:p>
    <w:p w14:paraId="305CAA23"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i/>
          <w:sz w:val="24"/>
          <w:szCs w:val="24"/>
        </w:rPr>
      </w:pPr>
    </w:p>
    <w:p w14:paraId="55A7E247" w14:textId="79914CC2" w:rsidR="00B51AD2" w:rsidRDefault="00B51AD2"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 xml:space="preserve">Entonces, el hecho de que la quejosa haya convenido con la autoridad en la forma de pago respecto de la licencia de cambio de uso de suelo y el refrendo de la licencia de funcionamiento dos mil veinte, no trae como consecuencia que haya estado conforme con la negativa de la licencia de uso de suelo, ni tampoco con el plan estratégico que se citó en la misma, porque se reitera, se encuentra demostrado en autos que la quejosa sí promovió en tiempo la demanda de nulidad, contra dichos actos, lo que evidencia la intención de combatir dichos actos; y además, la data en que celebró dicho convenio, la </w:t>
      </w:r>
      <w:r w:rsidRPr="00EE56FA">
        <w:rPr>
          <w:rFonts w:ascii="Arial Narrow" w:hAnsi="Arial Narrow"/>
          <w:i/>
          <w:sz w:val="24"/>
          <w:szCs w:val="24"/>
        </w:rPr>
        <w:lastRenderedPageBreak/>
        <w:t>actora no se encontraba en aptitud de controvertir la clausura, como lo consideró la autoridad, por los motivos antes explicados.</w:t>
      </w:r>
    </w:p>
    <w:p w14:paraId="6DF7D202"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lang w:val="es-ES_tradnl"/>
        </w:rPr>
      </w:pPr>
    </w:p>
    <w:p w14:paraId="1E63DEEC" w14:textId="77777777" w:rsidR="00B51AD2" w:rsidRDefault="00B51AD2"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 xml:space="preserve">Se cita por analogía, la jurisprudencia P./J. 68/97, sostenida por el Pleno de la Suprema Corte de Justicia de la Nación, consultable en la página 92, del Semanario Judicial de la Federación y su Gaceta. Tomo VI, septiembre de 1997, Novena Época, del rubro y texto siguientes: </w:t>
      </w:r>
    </w:p>
    <w:p w14:paraId="57409A00"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i/>
          <w:sz w:val="24"/>
          <w:szCs w:val="24"/>
        </w:rPr>
      </w:pPr>
    </w:p>
    <w:p w14:paraId="49F67245" w14:textId="2106CDF0" w:rsidR="00B51AD2" w:rsidRDefault="00B51AD2" w:rsidP="00EE56FA">
      <w:pPr>
        <w:autoSpaceDE w:val="0"/>
        <w:autoSpaceDN w:val="0"/>
        <w:adjustRightInd w:val="0"/>
        <w:spacing w:after="0" w:line="240" w:lineRule="auto"/>
        <w:ind w:left="567" w:right="567"/>
        <w:jc w:val="both"/>
        <w:rPr>
          <w:rFonts w:ascii="Arial Narrow" w:eastAsia="Times New Roman" w:hAnsi="Arial Narrow" w:cs="Calibri"/>
          <w:i/>
          <w:color w:val="212529"/>
          <w:sz w:val="24"/>
          <w:szCs w:val="24"/>
          <w:lang w:eastAsia="es-MX"/>
        </w:rPr>
      </w:pPr>
      <w:r w:rsidRPr="00EE56FA">
        <w:rPr>
          <w:rFonts w:ascii="Arial Narrow" w:eastAsia="Times New Roman" w:hAnsi="Arial Narrow" w:cs="Calibri"/>
          <w:b/>
          <w:bCs/>
          <w:i/>
          <w:color w:val="212529"/>
          <w:sz w:val="24"/>
          <w:szCs w:val="24"/>
          <w:lang w:eastAsia="es-MX"/>
        </w:rPr>
        <w:t xml:space="preserve">“LEYES, AMPARO CONTRA. EL PAGO LISO Y LLANO DE UNA CONTRIBUCIÓN NO IMPLICA EL CONSENTIMIENTO EXPRESO DE LA LEY QUE LA ESTABLECE. </w:t>
      </w:r>
      <w:r w:rsidRPr="00EE56FA">
        <w:rPr>
          <w:rFonts w:ascii="Arial Narrow" w:eastAsia="Times New Roman" w:hAnsi="Arial Narrow" w:cs="Calibri"/>
          <w:i/>
          <w:color w:val="212529"/>
          <w:sz w:val="24"/>
          <w:szCs w:val="24"/>
          <w:lang w:eastAsia="es-MX"/>
        </w:rPr>
        <w:t>Si el quejoso presenta la demanda de amparo en contra de una ley tributaria dentro del plazo legal, computado a partir de que realizó el pago de la contribución en forma lisa y llana, ello no constituye la manifestación de voluntad que entrañe el consentimiento de la ley que la establece ya que, dada la naturaleza de las normas fiscales, su cumplimiento por parte de los contribuyentes se impone como imperativo y conlleva la advertencia cierta de una coacción, por lo que la promoción del juicio de amparo correspondiente, refleja la inconformidad del peticionario de garantías con el contenido de la ley impugnada.”</w:t>
      </w:r>
    </w:p>
    <w:p w14:paraId="6460D4D4" w14:textId="77777777" w:rsidR="005875C0" w:rsidRPr="00EE56FA" w:rsidRDefault="005875C0" w:rsidP="00EE56FA">
      <w:pPr>
        <w:autoSpaceDE w:val="0"/>
        <w:autoSpaceDN w:val="0"/>
        <w:adjustRightInd w:val="0"/>
        <w:spacing w:after="0" w:line="240" w:lineRule="auto"/>
        <w:ind w:left="567" w:right="567"/>
        <w:jc w:val="both"/>
        <w:rPr>
          <w:rFonts w:ascii="Arial Narrow" w:eastAsia="Times New Roman" w:hAnsi="Arial Narrow" w:cs="Calibri"/>
          <w:i/>
          <w:color w:val="212529"/>
          <w:sz w:val="24"/>
          <w:szCs w:val="24"/>
          <w:lang w:eastAsia="es-MX"/>
        </w:rPr>
      </w:pPr>
    </w:p>
    <w:p w14:paraId="1DF64B74" w14:textId="1BC60B1B" w:rsidR="008C5E92" w:rsidRDefault="00B51AD2" w:rsidP="00EE56FA">
      <w:pPr>
        <w:autoSpaceDE w:val="0"/>
        <w:autoSpaceDN w:val="0"/>
        <w:adjustRightInd w:val="0"/>
        <w:spacing w:after="0" w:line="240" w:lineRule="auto"/>
        <w:ind w:left="567" w:right="567"/>
        <w:jc w:val="both"/>
        <w:rPr>
          <w:rFonts w:ascii="Arial Narrow" w:eastAsia="Times New Roman" w:hAnsi="Arial Narrow" w:cs="Calibri"/>
          <w:i/>
          <w:color w:val="212529"/>
          <w:sz w:val="24"/>
          <w:szCs w:val="24"/>
          <w:lang w:eastAsia="es-MX"/>
        </w:rPr>
      </w:pPr>
      <w:r w:rsidRPr="00EE56FA">
        <w:rPr>
          <w:rFonts w:ascii="Arial Narrow" w:eastAsia="Times New Roman" w:hAnsi="Arial Narrow" w:cs="Calibri"/>
          <w:i/>
          <w:color w:val="212529"/>
          <w:sz w:val="24"/>
          <w:szCs w:val="24"/>
          <w:lang w:eastAsia="es-MX"/>
        </w:rPr>
        <w:t xml:space="preserve">De igual manera, le asiste la razón a la quejosa al señalar que en el caso, no se actualiza la figura jurídica de la preclusión, porque la autoridad fundamento dicho argumento en el sentido de que la actora “cumplió con una actividad incompatible con el ejercicio de otra” y porque arribó a la conclusión de que desde que la quejosa tuvo conocimiento </w:t>
      </w:r>
      <w:r w:rsidR="008C5E92" w:rsidRPr="00EE56FA">
        <w:rPr>
          <w:rFonts w:ascii="Arial Narrow" w:eastAsia="Times New Roman" w:hAnsi="Arial Narrow" w:cs="Calibri"/>
          <w:i/>
          <w:color w:val="212529"/>
          <w:sz w:val="24"/>
          <w:szCs w:val="24"/>
          <w:lang w:eastAsia="es-MX"/>
        </w:rPr>
        <w:t>de los actos impugnados, pudo combatir jurídicamente a través de los medios de defensa respectivos los actos impugnados; sin embargo, se reitera, en el caso, la quejosa no se encontraba en aptitud de promover los medios de defensa a que hizo referencia la autoridad responsable, porque a la data en que se llevó a cabo la clausura, y la fecha en que fue notificada del oficio en el que se le negó la licencia de uso de suelo, continuaba la suspensión de labores por la contingencia sanitaria con motivo del COVID-19.</w:t>
      </w:r>
    </w:p>
    <w:p w14:paraId="71D1B941" w14:textId="77777777" w:rsidR="005875C0" w:rsidRPr="00EE56FA" w:rsidRDefault="005875C0" w:rsidP="00EE56FA">
      <w:pPr>
        <w:autoSpaceDE w:val="0"/>
        <w:autoSpaceDN w:val="0"/>
        <w:adjustRightInd w:val="0"/>
        <w:spacing w:after="0" w:line="240" w:lineRule="auto"/>
        <w:ind w:left="567" w:right="567"/>
        <w:jc w:val="both"/>
        <w:rPr>
          <w:rFonts w:ascii="Arial Narrow" w:eastAsia="Times New Roman" w:hAnsi="Arial Narrow" w:cs="Calibri"/>
          <w:i/>
          <w:color w:val="212529"/>
          <w:sz w:val="24"/>
          <w:szCs w:val="24"/>
          <w:lang w:eastAsia="es-MX"/>
        </w:rPr>
      </w:pPr>
    </w:p>
    <w:p w14:paraId="61538D51" w14:textId="2B744EFB" w:rsidR="008C5E92" w:rsidRDefault="008C5E92"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eastAsia="Times New Roman" w:hAnsi="Arial Narrow" w:cs="Calibri"/>
          <w:i/>
          <w:color w:val="212529"/>
          <w:sz w:val="24"/>
          <w:szCs w:val="24"/>
          <w:lang w:eastAsia="es-MX"/>
        </w:rPr>
        <w:t xml:space="preserve">Entonces, contrario a lo considerado por la autoridad responsable, la actora no avaló el contenido ni la negativa a </w:t>
      </w:r>
      <w:r w:rsidRPr="00EE56FA">
        <w:rPr>
          <w:rFonts w:ascii="Arial Narrow" w:hAnsi="Arial Narrow"/>
          <w:i/>
          <w:sz w:val="24"/>
          <w:szCs w:val="24"/>
        </w:rPr>
        <w:t>otorgarle la licencia de uso de suelo, ni del Plan Estratégico que se citó en el oficio que contiene dicha negativa, por el solo hecho de celebrar un convenio de pago ante el Ayuntamiento antes señalado; ello no obstante que no se advierta que haya sido coaccionada la actora para celebrar ese acuerdo de voluntades, porque se reitera, la quejosa manifestó desde la demanda de nulidad, que dicho convenio lo celebró, a efecto de que se levantara la clausura y evitar un perjuicio económico de mayor gravedad, y la muerte de las aves que se encuentran en ese lugar.</w:t>
      </w:r>
    </w:p>
    <w:p w14:paraId="15BCF691"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rPr>
      </w:pPr>
    </w:p>
    <w:p w14:paraId="7B96A767" w14:textId="415937EC" w:rsidR="00AA7F6D" w:rsidRPr="00EE56FA" w:rsidRDefault="00AA7F6D"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 xml:space="preserve">En consecuencia, ante lo fundado de los conceptos de violación, lo procedente es conceder el amparo y protección de la justicia federal a la parte quejosa para el efecto de que la autoridad responsable, dentro del expediente relativo al recurso de apelación </w:t>
      </w:r>
      <w:r w:rsidR="0050127A">
        <w:rPr>
          <w:rFonts w:ascii="Arial Narrow" w:hAnsi="Arial Narrow"/>
          <w:i/>
          <w:color w:val="FF0000"/>
          <w:sz w:val="24"/>
          <w:szCs w:val="24"/>
        </w:rPr>
        <w:t>**********</w:t>
      </w:r>
      <w:r w:rsidRPr="00EE56FA">
        <w:rPr>
          <w:rFonts w:ascii="Arial Narrow" w:hAnsi="Arial Narrow"/>
          <w:i/>
          <w:sz w:val="24"/>
          <w:szCs w:val="24"/>
        </w:rPr>
        <w:t>/2021/SS de su índice, realice lo siguiente:</w:t>
      </w:r>
    </w:p>
    <w:p w14:paraId="5DA10B2F" w14:textId="7A3CAA18" w:rsidR="00AA7F6D" w:rsidRPr="00EE56FA" w:rsidRDefault="00AA7F6D"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1. Deje insubsistente la resolución de ocho de marzo de dos mil veintidós; y</w:t>
      </w:r>
    </w:p>
    <w:p w14:paraId="67DD85A7" w14:textId="5AC853F1" w:rsidR="00AA7F6D" w:rsidRPr="00EE56FA" w:rsidRDefault="00AA7F6D" w:rsidP="00EE56FA">
      <w:pPr>
        <w:autoSpaceDE w:val="0"/>
        <w:autoSpaceDN w:val="0"/>
        <w:adjustRightInd w:val="0"/>
        <w:spacing w:after="0" w:line="240" w:lineRule="auto"/>
        <w:ind w:left="567" w:right="567"/>
        <w:jc w:val="both"/>
        <w:rPr>
          <w:rFonts w:ascii="Arial Narrow" w:hAnsi="Arial Narrow" w:cs="Arial"/>
          <w:i/>
          <w:color w:val="000000"/>
          <w:spacing w:val="-2"/>
          <w:sz w:val="24"/>
          <w:szCs w:val="24"/>
        </w:rPr>
      </w:pPr>
      <w:r w:rsidRPr="00EE56FA">
        <w:rPr>
          <w:rFonts w:ascii="Arial Narrow" w:hAnsi="Arial Narrow"/>
          <w:i/>
          <w:sz w:val="24"/>
          <w:szCs w:val="24"/>
        </w:rPr>
        <w:t xml:space="preserve">2. Emita otra en la que, prescinda de su consideración en el sentido de que en el caso se actualiza la causal de improcedencia prevista en los artículos 228 fracción VI y 229, fracción II del Código Procesal Administrativo para el Estado de San Luis Potosí, respecto de los actos consistentes en la </w:t>
      </w:r>
      <w:r w:rsidRPr="00EE56FA">
        <w:rPr>
          <w:rFonts w:ascii="Arial Narrow" w:hAnsi="Arial Narrow"/>
          <w:i/>
          <w:sz w:val="24"/>
          <w:szCs w:val="24"/>
        </w:rPr>
        <w:lastRenderedPageBreak/>
        <w:t xml:space="preserve">resolución contenida en el oficio número </w:t>
      </w:r>
      <w:r w:rsidR="0050127A">
        <w:rPr>
          <w:rFonts w:ascii="Arial Narrow" w:hAnsi="Arial Narrow"/>
          <w:i/>
          <w:color w:val="FF0000"/>
          <w:sz w:val="24"/>
          <w:szCs w:val="24"/>
        </w:rPr>
        <w:t>**********</w:t>
      </w:r>
      <w:r w:rsidRPr="00EE56FA">
        <w:rPr>
          <w:rFonts w:ascii="Arial Narrow" w:hAnsi="Arial Narrow"/>
          <w:i/>
          <w:sz w:val="24"/>
          <w:szCs w:val="24"/>
        </w:rPr>
        <w:t>/2020 de once de marzo de dos mil veinte, emitida por el Director de Desarrollo Urbano y Catastro Municipal de Soledad de Graciano Sánchez, San Luis Potosí, a través de la cual resolvió no autorizar la Licencia de Uso de Suelo a la parte actora; y el Plan Estratégico de Población, San Luis Potosí – Soledad de Graciano Sánchez, publicado en el Periódico Oficial del Estado el veintiuno de agosto de dos mil tres; y</w:t>
      </w:r>
    </w:p>
    <w:p w14:paraId="385D3D1F" w14:textId="2296BD8B" w:rsidR="00AA7F6D" w:rsidRDefault="00AA7F6D" w:rsidP="00EE56FA">
      <w:pPr>
        <w:autoSpaceDE w:val="0"/>
        <w:autoSpaceDN w:val="0"/>
        <w:adjustRightInd w:val="0"/>
        <w:spacing w:after="0" w:line="240" w:lineRule="auto"/>
        <w:ind w:left="567" w:right="567"/>
        <w:jc w:val="both"/>
        <w:rPr>
          <w:rFonts w:ascii="Arial Narrow" w:hAnsi="Arial Narrow"/>
          <w:i/>
          <w:sz w:val="24"/>
          <w:szCs w:val="24"/>
        </w:rPr>
      </w:pPr>
      <w:r w:rsidRPr="00EE56FA">
        <w:rPr>
          <w:rFonts w:ascii="Arial Narrow" w:hAnsi="Arial Narrow"/>
          <w:i/>
          <w:sz w:val="24"/>
          <w:szCs w:val="24"/>
        </w:rPr>
        <w:t>3. Y hecho lo anterior, con plenitud de jurisdicción, resuelva lo que en derecho corresponda.</w:t>
      </w:r>
    </w:p>
    <w:p w14:paraId="0D4BC736" w14:textId="77777777" w:rsidR="005875C0" w:rsidRPr="00EE56FA" w:rsidRDefault="005875C0" w:rsidP="00EE56FA">
      <w:pPr>
        <w:autoSpaceDE w:val="0"/>
        <w:autoSpaceDN w:val="0"/>
        <w:adjustRightInd w:val="0"/>
        <w:spacing w:after="0" w:line="240" w:lineRule="auto"/>
        <w:ind w:left="567" w:right="567"/>
        <w:jc w:val="both"/>
        <w:rPr>
          <w:rFonts w:ascii="Arial Narrow" w:hAnsi="Arial Narrow" w:cs="Arial"/>
          <w:i/>
          <w:color w:val="000000"/>
          <w:spacing w:val="-2"/>
          <w:sz w:val="24"/>
          <w:szCs w:val="24"/>
        </w:rPr>
      </w:pPr>
    </w:p>
    <w:p w14:paraId="3255B963" w14:textId="5C89B832" w:rsidR="00AA7F6D" w:rsidRDefault="00AA7F6D" w:rsidP="00EE56FA">
      <w:pPr>
        <w:spacing w:after="0" w:line="240" w:lineRule="auto"/>
        <w:ind w:left="567" w:right="567"/>
        <w:jc w:val="both"/>
        <w:rPr>
          <w:rFonts w:ascii="Arial Narrow" w:hAnsi="Arial Narrow" w:cs="Arial"/>
          <w:i/>
          <w:sz w:val="24"/>
          <w:szCs w:val="24"/>
        </w:rPr>
      </w:pPr>
      <w:r w:rsidRPr="00EE56FA">
        <w:rPr>
          <w:rFonts w:ascii="Arial Narrow" w:hAnsi="Arial Narrow" w:cs="Arial"/>
          <w:i/>
          <w:sz w:val="24"/>
          <w:szCs w:val="24"/>
        </w:rPr>
        <w:t xml:space="preserve">En esa medida, resulta innecesario el análisis de los restantes conceptos de violación, en los que la quejosa combate las consideraciones que hizo la autoridad del diverso acto impugnado en el juicio de nulidad consistente en la licencia de uso de suelo con número de folio </w:t>
      </w:r>
      <w:r w:rsidR="0050127A">
        <w:rPr>
          <w:rFonts w:ascii="Arial Narrow" w:hAnsi="Arial Narrow" w:cs="Arial"/>
          <w:i/>
          <w:color w:val="FF0000"/>
          <w:sz w:val="24"/>
          <w:szCs w:val="24"/>
        </w:rPr>
        <w:t>**********</w:t>
      </w:r>
      <w:r w:rsidRPr="00EE56FA">
        <w:rPr>
          <w:rFonts w:ascii="Arial Narrow" w:hAnsi="Arial Narrow" w:cs="Arial"/>
          <w:i/>
          <w:sz w:val="24"/>
          <w:szCs w:val="24"/>
        </w:rPr>
        <w:t>/2020, de dieciséis de julio de dos mil veinte, emitida por el Director de Desarrollo Urbano y Catastro Municipal de Soledad de Graciano Sánchez, San Luis Potosí, porque el análisis que hizo la autoridad en relación a dicho acto, partió de la premisa de que l aquejosa consintió el Plan Estratégico de Población, San Luis Potosí – Soledad de Graciano Sánchez, y por tanto, ante la concesión del amparo, dichas consideraciones quedan sin efecto.</w:t>
      </w:r>
    </w:p>
    <w:p w14:paraId="2F260E60" w14:textId="77777777" w:rsidR="005875C0" w:rsidRPr="00EE56FA" w:rsidRDefault="005875C0" w:rsidP="00EE56FA">
      <w:pPr>
        <w:spacing w:after="0" w:line="240" w:lineRule="auto"/>
        <w:ind w:left="567" w:right="567"/>
        <w:jc w:val="both"/>
        <w:rPr>
          <w:rFonts w:ascii="Arial Narrow" w:hAnsi="Arial Narrow" w:cs="Arial"/>
          <w:i/>
          <w:sz w:val="24"/>
          <w:szCs w:val="24"/>
        </w:rPr>
      </w:pPr>
    </w:p>
    <w:p w14:paraId="747C6D6C" w14:textId="64F24B42" w:rsidR="00AA7F6D" w:rsidRPr="00EE56FA" w:rsidRDefault="00AA7F6D" w:rsidP="00EE56FA">
      <w:pPr>
        <w:autoSpaceDE w:val="0"/>
        <w:autoSpaceDN w:val="0"/>
        <w:adjustRightInd w:val="0"/>
        <w:spacing w:after="0" w:line="240" w:lineRule="auto"/>
        <w:ind w:left="567" w:right="567"/>
        <w:jc w:val="both"/>
        <w:rPr>
          <w:rFonts w:ascii="Arial Narrow" w:hAnsi="Arial Narrow" w:cs="Arial"/>
          <w:i/>
          <w:color w:val="000000"/>
          <w:spacing w:val="-2"/>
          <w:sz w:val="24"/>
          <w:szCs w:val="24"/>
        </w:rPr>
      </w:pPr>
      <w:r w:rsidRPr="00EE56FA">
        <w:rPr>
          <w:rFonts w:ascii="Arial Narrow" w:hAnsi="Arial Narrow" w:cs="Arial"/>
          <w:i/>
          <w:color w:val="000000"/>
          <w:spacing w:val="-2"/>
          <w:sz w:val="24"/>
          <w:szCs w:val="24"/>
        </w:rPr>
        <w:t xml:space="preserve">Con fundamento en el artículo 192 de la Ley de Amparo, requiérase a la autoridad responsable para que cumpla con la ejecutoria dentro del plazo de </w:t>
      </w:r>
      <w:r w:rsidRPr="00EE56FA">
        <w:rPr>
          <w:rFonts w:ascii="Arial Narrow" w:hAnsi="Arial Narrow" w:cs="Arial"/>
          <w:b/>
          <w:i/>
          <w:color w:val="000000"/>
          <w:spacing w:val="-2"/>
          <w:sz w:val="24"/>
          <w:szCs w:val="24"/>
        </w:rPr>
        <w:t>tres días,</w:t>
      </w:r>
      <w:r w:rsidRPr="00EE56FA">
        <w:rPr>
          <w:rFonts w:ascii="Arial Narrow" w:hAnsi="Arial Narrow" w:cs="Arial"/>
          <w:i/>
          <w:color w:val="000000"/>
          <w:spacing w:val="-2"/>
          <w:sz w:val="24"/>
          <w:szCs w:val="24"/>
        </w:rPr>
        <w:t xml:space="preserve"> apercibida que de no hacerlo así, sin causa justificada, se le impondrá una </w:t>
      </w:r>
      <w:r w:rsidRPr="00EE56FA">
        <w:rPr>
          <w:rFonts w:ascii="Arial Narrow" w:hAnsi="Arial Narrow"/>
          <w:i/>
          <w:sz w:val="24"/>
          <w:szCs w:val="24"/>
        </w:rPr>
        <w:t>equivalente a cien unidades de medida y actualización, de conformidad con los numerales 238 y 258 de la misma ley, en relación con el dispositivo Tercero Transitorio del Decreto por el que se declaran reformadas y adicionadas diversas disposiciones de la Constitución Política de los Estados Unidos Mexicanos, en materia de desindexación del salario mínimo, publicado en el Diario Oficial de la Federación el veintisiete de enero de dos mil dieciséis; y que, asimismo, se remitirá el expediente a la Suprema Corte de Justicia de la Nación para seguir el trámite de r inejecución, que puede culminar con la separación de su puesto y su consignación.”</w:t>
      </w:r>
    </w:p>
    <w:p w14:paraId="6103EF53" w14:textId="77777777" w:rsidR="00384281" w:rsidRPr="00EE56FA" w:rsidRDefault="00384281" w:rsidP="00EE56FA">
      <w:pPr>
        <w:spacing w:after="0" w:line="240" w:lineRule="auto"/>
        <w:ind w:firstLine="851"/>
        <w:jc w:val="both"/>
        <w:rPr>
          <w:rFonts w:ascii="Arial Narrow" w:hAnsi="Arial Narrow" w:cs="Arial"/>
          <w:sz w:val="24"/>
          <w:szCs w:val="24"/>
        </w:rPr>
      </w:pPr>
    </w:p>
    <w:p w14:paraId="6019B183" w14:textId="6A7AC213" w:rsidR="00AA7F6D" w:rsidRDefault="00AA7F6D" w:rsidP="005875C0">
      <w:pPr>
        <w:spacing w:after="0" w:line="360" w:lineRule="auto"/>
        <w:ind w:firstLine="851"/>
        <w:jc w:val="both"/>
        <w:rPr>
          <w:rFonts w:ascii="Arial" w:hAnsi="Arial" w:cs="Arial"/>
          <w:sz w:val="28"/>
          <w:szCs w:val="20"/>
        </w:rPr>
      </w:pPr>
      <w:r>
        <w:rPr>
          <w:rFonts w:ascii="Arial" w:hAnsi="Arial" w:cs="Arial"/>
          <w:b/>
          <w:sz w:val="28"/>
          <w:szCs w:val="28"/>
        </w:rPr>
        <w:t>OCTAVO</w:t>
      </w:r>
      <w:r w:rsidRPr="001C2C86">
        <w:rPr>
          <w:rFonts w:ascii="Arial" w:hAnsi="Arial" w:cs="Arial"/>
          <w:b/>
          <w:sz w:val="28"/>
          <w:szCs w:val="28"/>
        </w:rPr>
        <w:t xml:space="preserve">. Materia de cumplimiento del amparo directo. </w:t>
      </w:r>
      <w:r w:rsidRPr="001C2C86">
        <w:rPr>
          <w:rFonts w:ascii="Arial" w:hAnsi="Arial" w:cs="Arial"/>
          <w:bCs/>
          <w:sz w:val="28"/>
          <w:szCs w:val="28"/>
        </w:rPr>
        <w:t>De conformidad con</w:t>
      </w:r>
      <w:r w:rsidRPr="00791B5E">
        <w:rPr>
          <w:rFonts w:ascii="Arial" w:hAnsi="Arial" w:cs="Arial"/>
          <w:bCs/>
          <w:sz w:val="28"/>
          <w:szCs w:val="28"/>
        </w:rPr>
        <w:t xml:space="preserve"> el artículo 192 de la Ley de Amparo</w:t>
      </w:r>
      <w:r>
        <w:rPr>
          <w:rFonts w:ascii="Arial" w:hAnsi="Arial" w:cs="Arial"/>
          <w:bCs/>
          <w:sz w:val="28"/>
          <w:szCs w:val="28"/>
        </w:rPr>
        <w:t>,</w:t>
      </w:r>
      <w:r>
        <w:rPr>
          <w:rStyle w:val="Refdenotaalpie"/>
          <w:rFonts w:ascii="Arial" w:hAnsi="Arial" w:cs="Arial"/>
          <w:bCs/>
          <w:sz w:val="28"/>
          <w:szCs w:val="28"/>
        </w:rPr>
        <w:footnoteReference w:id="11"/>
      </w:r>
      <w:r>
        <w:rPr>
          <w:rFonts w:ascii="Arial" w:hAnsi="Arial" w:cs="Arial"/>
          <w:bCs/>
          <w:sz w:val="28"/>
          <w:szCs w:val="28"/>
        </w:rPr>
        <w:t xml:space="preserve"> esta Sala Superior del Tribunal Estatal de Justicia Administrativa (como autoridad responsable) está supeditada a la determinación del juicio constitucional y, por tanto, obligada a su puntual</w:t>
      </w:r>
      <w:r w:rsidRPr="00E5189D">
        <w:rPr>
          <w:rFonts w:ascii="Arial" w:hAnsi="Arial" w:cs="Arial"/>
          <w:bCs/>
          <w:sz w:val="28"/>
          <w:szCs w:val="28"/>
        </w:rPr>
        <w:t xml:space="preserve"> e inmediato cumplimiento</w:t>
      </w:r>
      <w:r>
        <w:rPr>
          <w:rFonts w:ascii="Arial" w:hAnsi="Arial" w:cs="Arial"/>
          <w:bCs/>
          <w:sz w:val="28"/>
          <w:szCs w:val="28"/>
        </w:rPr>
        <w:t>; consecuentemente</w:t>
      </w:r>
      <w:r w:rsidRPr="00E5189D">
        <w:rPr>
          <w:rFonts w:ascii="Arial" w:hAnsi="Arial" w:cs="Arial"/>
          <w:bCs/>
          <w:sz w:val="28"/>
          <w:szCs w:val="28"/>
        </w:rPr>
        <w:t>, se acata en sus términos la</w:t>
      </w:r>
      <w:r>
        <w:rPr>
          <w:rFonts w:ascii="Arial" w:hAnsi="Arial" w:cs="Arial"/>
          <w:bCs/>
          <w:sz w:val="28"/>
          <w:szCs w:val="28"/>
        </w:rPr>
        <w:t xml:space="preserve"> ejecutoria emitida en</w:t>
      </w:r>
      <w:r w:rsidRPr="00E5189D">
        <w:rPr>
          <w:rFonts w:ascii="Arial" w:hAnsi="Arial" w:cs="Arial"/>
          <w:bCs/>
          <w:sz w:val="28"/>
          <w:szCs w:val="28"/>
        </w:rPr>
        <w:t xml:space="preserve"> el </w:t>
      </w:r>
      <w:r>
        <w:rPr>
          <w:rFonts w:ascii="Arial" w:hAnsi="Arial" w:cs="Arial"/>
          <w:bCs/>
          <w:sz w:val="28"/>
          <w:szCs w:val="28"/>
        </w:rPr>
        <w:t xml:space="preserve">juicio de amparo directo </w:t>
      </w:r>
      <w:r w:rsidR="0050127A">
        <w:rPr>
          <w:rFonts w:ascii="Arial" w:hAnsi="Arial" w:cs="Arial"/>
          <w:bCs/>
          <w:color w:val="FF0000"/>
          <w:sz w:val="28"/>
          <w:szCs w:val="28"/>
        </w:rPr>
        <w:t>**********</w:t>
      </w:r>
      <w:r>
        <w:rPr>
          <w:rFonts w:ascii="Arial" w:hAnsi="Arial" w:cs="Arial"/>
          <w:bCs/>
          <w:sz w:val="28"/>
          <w:szCs w:val="28"/>
        </w:rPr>
        <w:t>/202</w:t>
      </w:r>
      <w:r w:rsidR="008F367B">
        <w:rPr>
          <w:rFonts w:ascii="Arial" w:hAnsi="Arial" w:cs="Arial"/>
          <w:bCs/>
          <w:sz w:val="28"/>
          <w:szCs w:val="28"/>
        </w:rPr>
        <w:t>2</w:t>
      </w:r>
      <w:r>
        <w:rPr>
          <w:rFonts w:ascii="Arial" w:hAnsi="Arial" w:cs="Arial"/>
          <w:bCs/>
          <w:sz w:val="28"/>
          <w:szCs w:val="28"/>
        </w:rPr>
        <w:t xml:space="preserve"> del índice</w:t>
      </w:r>
      <w:r w:rsidRPr="00E5189D">
        <w:rPr>
          <w:rFonts w:ascii="Arial" w:hAnsi="Arial" w:cs="Arial"/>
          <w:bCs/>
          <w:sz w:val="28"/>
          <w:szCs w:val="28"/>
        </w:rPr>
        <w:t xml:space="preserve"> </w:t>
      </w:r>
      <w:r>
        <w:rPr>
          <w:rFonts w:ascii="Arial" w:hAnsi="Arial" w:cs="Arial"/>
          <w:bCs/>
          <w:sz w:val="28"/>
          <w:szCs w:val="28"/>
        </w:rPr>
        <w:t xml:space="preserve">del </w:t>
      </w:r>
      <w:r w:rsidR="008F367B">
        <w:rPr>
          <w:rFonts w:ascii="Arial" w:hAnsi="Arial" w:cs="Arial"/>
          <w:bCs/>
          <w:sz w:val="28"/>
          <w:szCs w:val="28"/>
        </w:rPr>
        <w:t>Segundo</w:t>
      </w:r>
      <w:r w:rsidRPr="00E5189D">
        <w:rPr>
          <w:rFonts w:ascii="Arial" w:hAnsi="Arial" w:cs="Arial"/>
          <w:bCs/>
          <w:sz w:val="28"/>
          <w:szCs w:val="28"/>
        </w:rPr>
        <w:t xml:space="preserve"> Tribunal Colegiado en Materias Civil y</w:t>
      </w:r>
      <w:r>
        <w:rPr>
          <w:rFonts w:ascii="Arial" w:hAnsi="Arial" w:cs="Arial"/>
          <w:bCs/>
          <w:sz w:val="28"/>
          <w:szCs w:val="28"/>
        </w:rPr>
        <w:t xml:space="preserve"> Administrativa del Noveno Circuito en esta Ciudad, promovido por</w:t>
      </w:r>
      <w:r w:rsidR="008F367B">
        <w:rPr>
          <w:rFonts w:ascii="Arial" w:hAnsi="Arial" w:cs="Arial"/>
          <w:bCs/>
          <w:sz w:val="28"/>
          <w:szCs w:val="28"/>
        </w:rPr>
        <w:t xml:space="preserve"> la persona moral “</w:t>
      </w:r>
      <w:r w:rsidR="0050127A">
        <w:rPr>
          <w:rFonts w:ascii="Arial" w:hAnsi="Arial" w:cs="Arial"/>
          <w:b/>
          <w:color w:val="FF0000"/>
          <w:sz w:val="28"/>
          <w:szCs w:val="28"/>
        </w:rPr>
        <w:t>**********</w:t>
      </w:r>
      <w:r w:rsidRPr="007B397C">
        <w:rPr>
          <w:rFonts w:ascii="Arial" w:hAnsi="Arial" w:cs="Arial"/>
          <w:b/>
          <w:sz w:val="28"/>
          <w:szCs w:val="28"/>
        </w:rPr>
        <w:t>,</w:t>
      </w:r>
      <w:r w:rsidRPr="007B397C">
        <w:rPr>
          <w:rFonts w:ascii="Arial" w:hAnsi="Arial" w:cs="Arial"/>
          <w:sz w:val="28"/>
          <w:szCs w:val="28"/>
        </w:rPr>
        <w:t xml:space="preserve"> </w:t>
      </w:r>
      <w:r w:rsidRPr="00E524D9">
        <w:rPr>
          <w:rFonts w:ascii="Arial" w:hAnsi="Arial" w:cs="Arial"/>
          <w:sz w:val="28"/>
          <w:szCs w:val="28"/>
        </w:rPr>
        <w:t xml:space="preserve">por conducto de su </w:t>
      </w:r>
      <w:r w:rsidR="008F367B">
        <w:rPr>
          <w:rFonts w:ascii="Arial" w:hAnsi="Arial" w:cs="Arial"/>
          <w:sz w:val="28"/>
          <w:szCs w:val="28"/>
        </w:rPr>
        <w:t>apoderada legal</w:t>
      </w:r>
      <w:r w:rsidRPr="00E524D9">
        <w:rPr>
          <w:rFonts w:ascii="Arial" w:hAnsi="Arial" w:cs="Arial"/>
          <w:sz w:val="28"/>
          <w:szCs w:val="28"/>
        </w:rPr>
        <w:t xml:space="preserve"> </w:t>
      </w:r>
      <w:r w:rsidR="0050127A">
        <w:rPr>
          <w:rFonts w:ascii="Arial" w:hAnsi="Arial" w:cs="Arial"/>
          <w:b/>
          <w:color w:val="FF0000"/>
          <w:sz w:val="28"/>
          <w:szCs w:val="28"/>
        </w:rPr>
        <w:t>**********</w:t>
      </w:r>
      <w:r w:rsidRPr="00335A4C">
        <w:rPr>
          <w:rFonts w:ascii="Arial" w:hAnsi="Arial" w:cs="Arial"/>
          <w:b/>
          <w:sz w:val="28"/>
          <w:szCs w:val="20"/>
        </w:rPr>
        <w:t>,</w:t>
      </w:r>
      <w:r w:rsidRPr="00335A4C">
        <w:rPr>
          <w:rFonts w:ascii="Arial" w:hAnsi="Arial" w:cs="Arial"/>
          <w:sz w:val="28"/>
          <w:szCs w:val="20"/>
        </w:rPr>
        <w:t xml:space="preserve"> </w:t>
      </w:r>
      <w:r>
        <w:rPr>
          <w:rFonts w:ascii="Arial" w:hAnsi="Arial" w:cs="Arial"/>
          <w:sz w:val="28"/>
          <w:szCs w:val="20"/>
        </w:rPr>
        <w:t xml:space="preserve">en el entendido que este </w:t>
      </w:r>
      <w:r w:rsidRPr="000947CD">
        <w:rPr>
          <w:rFonts w:ascii="Arial" w:hAnsi="Arial" w:cs="Arial"/>
          <w:i/>
          <w:sz w:val="28"/>
          <w:szCs w:val="20"/>
        </w:rPr>
        <w:t>Ad quem</w:t>
      </w:r>
      <w:r>
        <w:rPr>
          <w:rFonts w:ascii="Arial" w:hAnsi="Arial" w:cs="Arial"/>
          <w:sz w:val="28"/>
          <w:szCs w:val="20"/>
        </w:rPr>
        <w:t xml:space="preserve"> mediante auto de </w:t>
      </w:r>
      <w:r w:rsidR="008F367B">
        <w:rPr>
          <w:rFonts w:ascii="Arial" w:hAnsi="Arial" w:cs="Arial"/>
          <w:color w:val="0000FF"/>
          <w:sz w:val="28"/>
          <w:szCs w:val="20"/>
        </w:rPr>
        <w:t>treinta</w:t>
      </w:r>
      <w:r w:rsidRPr="00335A4C">
        <w:rPr>
          <w:rFonts w:ascii="Arial" w:hAnsi="Arial" w:cs="Arial"/>
          <w:color w:val="0000FF"/>
          <w:sz w:val="28"/>
          <w:szCs w:val="20"/>
        </w:rPr>
        <w:t xml:space="preserve"> de </w:t>
      </w:r>
      <w:r w:rsidR="008F367B">
        <w:rPr>
          <w:rFonts w:ascii="Arial" w:hAnsi="Arial" w:cs="Arial"/>
          <w:color w:val="0000FF"/>
          <w:sz w:val="28"/>
          <w:szCs w:val="20"/>
        </w:rPr>
        <w:t>abril</w:t>
      </w:r>
      <w:r w:rsidRPr="00335A4C">
        <w:rPr>
          <w:rFonts w:ascii="Arial" w:hAnsi="Arial" w:cs="Arial"/>
          <w:color w:val="0000FF"/>
          <w:sz w:val="28"/>
          <w:szCs w:val="20"/>
        </w:rPr>
        <w:t xml:space="preserve"> de dos mil veinti</w:t>
      </w:r>
      <w:r w:rsidR="008F367B">
        <w:rPr>
          <w:rFonts w:ascii="Arial" w:hAnsi="Arial" w:cs="Arial"/>
          <w:color w:val="0000FF"/>
          <w:sz w:val="28"/>
          <w:szCs w:val="20"/>
        </w:rPr>
        <w:t>cuatro</w:t>
      </w:r>
      <w:r>
        <w:rPr>
          <w:rFonts w:ascii="Arial" w:hAnsi="Arial" w:cs="Arial"/>
          <w:sz w:val="28"/>
          <w:szCs w:val="20"/>
        </w:rPr>
        <w:t xml:space="preserve">, </w:t>
      </w:r>
      <w:r w:rsidRPr="000A3F6E">
        <w:rPr>
          <w:rFonts w:ascii="Arial" w:hAnsi="Arial" w:cs="Arial"/>
          <w:b/>
          <w:sz w:val="28"/>
          <w:szCs w:val="20"/>
        </w:rPr>
        <w:t>dejó insubsistente</w:t>
      </w:r>
      <w:r>
        <w:rPr>
          <w:rFonts w:ascii="Arial" w:hAnsi="Arial" w:cs="Arial"/>
          <w:sz w:val="28"/>
          <w:szCs w:val="20"/>
        </w:rPr>
        <w:t xml:space="preserve"> la sentencia de </w:t>
      </w:r>
      <w:r w:rsidRPr="00335A4C">
        <w:rPr>
          <w:rFonts w:ascii="Arial" w:hAnsi="Arial" w:cs="Arial"/>
          <w:color w:val="0000FF"/>
          <w:sz w:val="28"/>
          <w:szCs w:val="20"/>
        </w:rPr>
        <w:t xml:space="preserve">ocho de </w:t>
      </w:r>
      <w:r w:rsidR="008F367B">
        <w:rPr>
          <w:rFonts w:ascii="Arial" w:hAnsi="Arial" w:cs="Arial"/>
          <w:color w:val="0000FF"/>
          <w:sz w:val="28"/>
          <w:szCs w:val="20"/>
        </w:rPr>
        <w:t>marzo</w:t>
      </w:r>
      <w:r w:rsidRPr="00335A4C">
        <w:rPr>
          <w:rFonts w:ascii="Arial" w:hAnsi="Arial" w:cs="Arial"/>
          <w:color w:val="0000FF"/>
          <w:sz w:val="28"/>
          <w:szCs w:val="20"/>
        </w:rPr>
        <w:t xml:space="preserve"> </w:t>
      </w:r>
      <w:r w:rsidRPr="00335A4C">
        <w:rPr>
          <w:rFonts w:ascii="Arial" w:hAnsi="Arial" w:cs="Arial"/>
          <w:color w:val="0000FF"/>
          <w:sz w:val="28"/>
          <w:szCs w:val="20"/>
        </w:rPr>
        <w:lastRenderedPageBreak/>
        <w:t xml:space="preserve">de dos mil </w:t>
      </w:r>
      <w:r w:rsidR="008F367B" w:rsidRPr="00335A4C">
        <w:rPr>
          <w:rFonts w:ascii="Arial" w:hAnsi="Arial" w:cs="Arial"/>
          <w:color w:val="0000FF"/>
          <w:sz w:val="28"/>
          <w:szCs w:val="20"/>
        </w:rPr>
        <w:t>veinti</w:t>
      </w:r>
      <w:r w:rsidR="008F367B">
        <w:rPr>
          <w:rFonts w:ascii="Arial" w:hAnsi="Arial" w:cs="Arial"/>
          <w:color w:val="0000FF"/>
          <w:sz w:val="28"/>
          <w:szCs w:val="20"/>
        </w:rPr>
        <w:t>dós</w:t>
      </w:r>
      <w:r>
        <w:rPr>
          <w:rFonts w:ascii="Arial" w:hAnsi="Arial" w:cs="Arial"/>
          <w:sz w:val="28"/>
          <w:szCs w:val="20"/>
        </w:rPr>
        <w:t>, emitida en el presente toca, tal como se ordenó en dicho fallo protector.</w:t>
      </w:r>
    </w:p>
    <w:p w14:paraId="77031DDB" w14:textId="77777777" w:rsidR="005875C0" w:rsidRDefault="005875C0" w:rsidP="005875C0">
      <w:pPr>
        <w:spacing w:after="0" w:line="360" w:lineRule="auto"/>
        <w:ind w:firstLine="851"/>
        <w:jc w:val="both"/>
        <w:rPr>
          <w:rFonts w:ascii="Arial" w:hAnsi="Arial" w:cs="Arial"/>
          <w:sz w:val="28"/>
          <w:szCs w:val="20"/>
        </w:rPr>
      </w:pPr>
    </w:p>
    <w:p w14:paraId="54BBE3ED" w14:textId="3A50D639" w:rsidR="00AA7F6D" w:rsidRDefault="00AA7F6D" w:rsidP="005875C0">
      <w:pPr>
        <w:spacing w:after="0" w:line="360" w:lineRule="auto"/>
        <w:ind w:firstLine="851"/>
        <w:jc w:val="both"/>
        <w:rPr>
          <w:rFonts w:ascii="Arial" w:hAnsi="Arial" w:cs="Arial"/>
          <w:sz w:val="28"/>
          <w:szCs w:val="20"/>
        </w:rPr>
      </w:pPr>
      <w:r>
        <w:rPr>
          <w:rFonts w:ascii="Arial" w:hAnsi="Arial" w:cs="Arial"/>
          <w:sz w:val="28"/>
          <w:szCs w:val="20"/>
        </w:rPr>
        <w:t xml:space="preserve">Así pues, como se adelantó el Tribunal de Control Constitucional concedió el amparo y protección de la Justicia Federal a </w:t>
      </w:r>
      <w:r w:rsidR="008F367B">
        <w:rPr>
          <w:rFonts w:ascii="Arial" w:hAnsi="Arial" w:cs="Arial"/>
          <w:bCs/>
          <w:sz w:val="28"/>
          <w:szCs w:val="28"/>
        </w:rPr>
        <w:t>la persona moral “</w:t>
      </w:r>
      <w:r w:rsidR="0050127A">
        <w:rPr>
          <w:rFonts w:ascii="Arial" w:hAnsi="Arial" w:cs="Arial"/>
          <w:b/>
          <w:color w:val="FF0000"/>
          <w:sz w:val="28"/>
          <w:szCs w:val="28"/>
        </w:rPr>
        <w:t>**********</w:t>
      </w:r>
      <w:r w:rsidR="008F367B" w:rsidRPr="007B397C">
        <w:rPr>
          <w:rFonts w:ascii="Arial" w:hAnsi="Arial" w:cs="Arial"/>
          <w:b/>
          <w:sz w:val="28"/>
          <w:szCs w:val="28"/>
        </w:rPr>
        <w:t>,</w:t>
      </w:r>
      <w:r w:rsidR="008F367B" w:rsidRPr="007B397C">
        <w:rPr>
          <w:rFonts w:ascii="Arial" w:hAnsi="Arial" w:cs="Arial"/>
          <w:sz w:val="28"/>
          <w:szCs w:val="28"/>
        </w:rPr>
        <w:t xml:space="preserve"> </w:t>
      </w:r>
      <w:r w:rsidR="008F367B" w:rsidRPr="00E524D9">
        <w:rPr>
          <w:rFonts w:ascii="Arial" w:hAnsi="Arial" w:cs="Arial"/>
          <w:sz w:val="28"/>
          <w:szCs w:val="28"/>
        </w:rPr>
        <w:t xml:space="preserve">por conducto de su </w:t>
      </w:r>
      <w:r w:rsidR="008F367B">
        <w:rPr>
          <w:rFonts w:ascii="Arial" w:hAnsi="Arial" w:cs="Arial"/>
          <w:sz w:val="28"/>
          <w:szCs w:val="28"/>
        </w:rPr>
        <w:t>apoderada legal</w:t>
      </w:r>
      <w:r w:rsidR="008F367B" w:rsidRPr="00E524D9">
        <w:rPr>
          <w:rFonts w:ascii="Arial" w:hAnsi="Arial" w:cs="Arial"/>
          <w:sz w:val="28"/>
          <w:szCs w:val="28"/>
        </w:rPr>
        <w:t xml:space="preserve"> </w:t>
      </w:r>
      <w:r w:rsidR="0050127A">
        <w:rPr>
          <w:rFonts w:ascii="Arial" w:hAnsi="Arial" w:cs="Arial"/>
          <w:b/>
          <w:color w:val="FF0000"/>
          <w:sz w:val="28"/>
          <w:szCs w:val="28"/>
        </w:rPr>
        <w:t>**********</w:t>
      </w:r>
      <w:r w:rsidRPr="00E10F1D">
        <w:rPr>
          <w:rFonts w:ascii="Arial" w:hAnsi="Arial" w:cs="Arial"/>
          <w:b/>
          <w:sz w:val="28"/>
          <w:szCs w:val="20"/>
        </w:rPr>
        <w:t>,</w:t>
      </w:r>
      <w:r>
        <w:rPr>
          <w:rFonts w:ascii="Arial" w:hAnsi="Arial" w:cs="Arial"/>
          <w:sz w:val="28"/>
          <w:szCs w:val="20"/>
        </w:rPr>
        <w:t xml:space="preserve"> para los siguientes efectos:</w:t>
      </w:r>
    </w:p>
    <w:p w14:paraId="4D9D60AE" w14:textId="77777777" w:rsidR="005875C0" w:rsidRPr="00372213" w:rsidRDefault="005875C0" w:rsidP="005875C0">
      <w:pPr>
        <w:spacing w:after="0" w:line="360" w:lineRule="auto"/>
        <w:ind w:firstLine="851"/>
        <w:jc w:val="both"/>
        <w:rPr>
          <w:rFonts w:ascii="Arial" w:hAnsi="Arial" w:cs="Arial"/>
          <w:bCs/>
          <w:sz w:val="28"/>
          <w:szCs w:val="28"/>
        </w:rPr>
      </w:pPr>
    </w:p>
    <w:p w14:paraId="32E079F3" w14:textId="77777777" w:rsidR="008F367B" w:rsidRPr="0044193A" w:rsidRDefault="008F367B" w:rsidP="0044193A">
      <w:pPr>
        <w:autoSpaceDE w:val="0"/>
        <w:autoSpaceDN w:val="0"/>
        <w:adjustRightInd w:val="0"/>
        <w:spacing w:after="0" w:line="240" w:lineRule="auto"/>
        <w:ind w:left="567" w:right="618"/>
        <w:jc w:val="both"/>
        <w:rPr>
          <w:rFonts w:ascii="Arial Narrow" w:hAnsi="Arial Narrow"/>
          <w:i/>
          <w:sz w:val="24"/>
          <w:szCs w:val="24"/>
        </w:rPr>
      </w:pPr>
      <w:r w:rsidRPr="0044193A">
        <w:rPr>
          <w:rFonts w:ascii="Arial Narrow" w:eastAsia="Times New Roman" w:hAnsi="Arial Narrow" w:cs="ArialMT"/>
          <w:i/>
          <w:color w:val="000000"/>
          <w:sz w:val="24"/>
          <w:szCs w:val="24"/>
          <w:lang w:eastAsia="es-MX"/>
        </w:rPr>
        <w:t>“</w:t>
      </w:r>
      <w:r w:rsidRPr="0044193A">
        <w:rPr>
          <w:rFonts w:ascii="Arial Narrow" w:hAnsi="Arial Narrow"/>
          <w:i/>
          <w:sz w:val="24"/>
          <w:szCs w:val="24"/>
        </w:rPr>
        <w:t>1. Deje insubsistente la resolución de ocho de marzo de dos mil veintidós; y</w:t>
      </w:r>
    </w:p>
    <w:p w14:paraId="68B33046" w14:textId="3F9CCD63" w:rsidR="008F367B" w:rsidRPr="0044193A" w:rsidRDefault="008F367B" w:rsidP="0044193A">
      <w:pPr>
        <w:autoSpaceDE w:val="0"/>
        <w:autoSpaceDN w:val="0"/>
        <w:adjustRightInd w:val="0"/>
        <w:spacing w:after="0" w:line="240" w:lineRule="auto"/>
        <w:ind w:left="567" w:right="618"/>
        <w:jc w:val="both"/>
        <w:rPr>
          <w:rFonts w:ascii="Arial Narrow" w:hAnsi="Arial Narrow" w:cs="Arial"/>
          <w:i/>
          <w:color w:val="000000"/>
          <w:spacing w:val="-2"/>
          <w:sz w:val="24"/>
          <w:szCs w:val="24"/>
        </w:rPr>
      </w:pPr>
      <w:r w:rsidRPr="0044193A">
        <w:rPr>
          <w:rFonts w:ascii="Arial Narrow" w:hAnsi="Arial Narrow"/>
          <w:i/>
          <w:sz w:val="24"/>
          <w:szCs w:val="24"/>
        </w:rPr>
        <w:t xml:space="preserve">2. Emita otra en la que, prescinda de su consideración en el sentido de que en el caso se actualiza la causal de improcedencia prevista en los artículos 228 fracción VI y 229, fracción II del Código Procesal Administrativo para el Estado de San Luis Potosí, respecto de los actos consistentes en la resolución contenida en el oficio número </w:t>
      </w:r>
      <w:r w:rsidR="0050127A">
        <w:rPr>
          <w:rFonts w:ascii="Arial Narrow" w:hAnsi="Arial Narrow"/>
          <w:i/>
          <w:color w:val="FF0000"/>
          <w:sz w:val="24"/>
          <w:szCs w:val="24"/>
        </w:rPr>
        <w:t>**********</w:t>
      </w:r>
      <w:r w:rsidRPr="0044193A">
        <w:rPr>
          <w:rFonts w:ascii="Arial Narrow" w:hAnsi="Arial Narrow"/>
          <w:i/>
          <w:sz w:val="24"/>
          <w:szCs w:val="24"/>
        </w:rPr>
        <w:t>/2020 de once de marzo de dos mil veinte, emitida por el Director de Desarrollo Urbano y Catastro Municipal de Soledad de Graciano Sánchez, San Luis Potosí, a través de la cual resolvió no autorizar la Licencia de Uso de Suelo a la parte actora; y el Plan Estratégico de Población, San Luis Potosí – Soledad de Graciano Sánchez, publicado en el Periódico Oficial del Estado el veintiuno de agosto de dos mil tres; y</w:t>
      </w:r>
    </w:p>
    <w:p w14:paraId="3D4FD4D5" w14:textId="77777777" w:rsidR="008F367B" w:rsidRPr="0044193A" w:rsidRDefault="008F367B" w:rsidP="0044193A">
      <w:pPr>
        <w:autoSpaceDE w:val="0"/>
        <w:autoSpaceDN w:val="0"/>
        <w:adjustRightInd w:val="0"/>
        <w:spacing w:after="0" w:line="240" w:lineRule="auto"/>
        <w:ind w:left="567" w:right="618"/>
        <w:jc w:val="both"/>
        <w:rPr>
          <w:rFonts w:ascii="Arial Narrow" w:hAnsi="Arial Narrow" w:cs="Arial"/>
          <w:i/>
          <w:color w:val="000000"/>
          <w:spacing w:val="-2"/>
          <w:sz w:val="24"/>
          <w:szCs w:val="24"/>
        </w:rPr>
      </w:pPr>
      <w:r w:rsidRPr="0044193A">
        <w:rPr>
          <w:rFonts w:ascii="Arial Narrow" w:hAnsi="Arial Narrow"/>
          <w:i/>
          <w:sz w:val="24"/>
          <w:szCs w:val="24"/>
        </w:rPr>
        <w:t>3. Y hecho lo anterior, con plenitud de jurisdicción, resuelva lo que en derecho corresponda.</w:t>
      </w:r>
    </w:p>
    <w:p w14:paraId="3AA4BC55" w14:textId="36D5AD97" w:rsidR="008F367B" w:rsidRPr="0044193A" w:rsidRDefault="008F367B" w:rsidP="0044193A">
      <w:pPr>
        <w:spacing w:after="0" w:line="240" w:lineRule="auto"/>
        <w:ind w:left="567" w:right="618"/>
        <w:jc w:val="both"/>
        <w:rPr>
          <w:rFonts w:ascii="Arial Narrow" w:hAnsi="Arial Narrow" w:cs="Arial"/>
          <w:i/>
          <w:sz w:val="24"/>
          <w:szCs w:val="24"/>
        </w:rPr>
      </w:pPr>
      <w:r w:rsidRPr="0044193A">
        <w:rPr>
          <w:rFonts w:ascii="Arial Narrow" w:hAnsi="Arial Narrow" w:cs="Arial"/>
          <w:i/>
          <w:sz w:val="24"/>
          <w:szCs w:val="24"/>
        </w:rPr>
        <w:t xml:space="preserve">En esa medida, resulta innecesario el análisis de los restantes conceptos de violación, en los que la quejosa combate las consideraciones que hizo la autoridad del diverso acto impugnado en el juicio de nulidad consistente en la licencia de uso de suelo con número de folio </w:t>
      </w:r>
      <w:r w:rsidR="0050127A">
        <w:rPr>
          <w:rFonts w:ascii="Arial Narrow" w:hAnsi="Arial Narrow" w:cs="Arial"/>
          <w:i/>
          <w:color w:val="FF0000"/>
          <w:sz w:val="24"/>
          <w:szCs w:val="24"/>
        </w:rPr>
        <w:t>**********</w:t>
      </w:r>
      <w:r w:rsidRPr="0044193A">
        <w:rPr>
          <w:rFonts w:ascii="Arial Narrow" w:hAnsi="Arial Narrow" w:cs="Arial"/>
          <w:i/>
          <w:sz w:val="24"/>
          <w:szCs w:val="24"/>
        </w:rPr>
        <w:t>/2020, de dieciséis de julio de dos mil veinte, emitida por el Director de Desarrollo Urbano y Catastro Municipal de Soledad de Graciano Sánchez, San Luis Potosí, porque el análisis que hizo la autoridad en relación a dicho acto, partió de la premisa de que l aquejosa consintió el Plan Estratégico de Población, San Luis Potosí – Soledad de Graciano Sánchez, y por tanto, ante la concesión del amparo, dichas consideraciones quedan sin efecto.”</w:t>
      </w:r>
    </w:p>
    <w:p w14:paraId="709BF2EC" w14:textId="77777777" w:rsidR="00AA7F6D" w:rsidRPr="0044193A" w:rsidRDefault="00AA7F6D" w:rsidP="0044193A">
      <w:pPr>
        <w:spacing w:after="0" w:line="240" w:lineRule="auto"/>
        <w:ind w:firstLine="851"/>
        <w:jc w:val="both"/>
        <w:rPr>
          <w:rFonts w:ascii="Arial" w:hAnsi="Arial" w:cs="Arial"/>
          <w:sz w:val="24"/>
          <w:szCs w:val="24"/>
        </w:rPr>
      </w:pPr>
    </w:p>
    <w:p w14:paraId="1F8C01DD" w14:textId="3D630CB2" w:rsidR="004630EF" w:rsidRDefault="008F367B" w:rsidP="0044193A">
      <w:pPr>
        <w:spacing w:after="0" w:line="360" w:lineRule="auto"/>
        <w:ind w:firstLine="851"/>
        <w:jc w:val="both"/>
        <w:rPr>
          <w:rFonts w:ascii="Arial" w:hAnsi="Arial" w:cs="Arial"/>
          <w:color w:val="000000"/>
          <w:sz w:val="28"/>
          <w:szCs w:val="28"/>
          <w:lang w:val="es-ES" w:eastAsia="es-ES" w:bidi="es-ES"/>
        </w:rPr>
      </w:pPr>
      <w:r w:rsidRPr="003755C5">
        <w:rPr>
          <w:rFonts w:ascii="Arial" w:hAnsi="Arial" w:cs="Arial"/>
          <w:b/>
          <w:sz w:val="28"/>
          <w:szCs w:val="28"/>
        </w:rPr>
        <w:t>NOVENO</w:t>
      </w:r>
      <w:r w:rsidR="00AA7F6D" w:rsidRPr="003755C5">
        <w:rPr>
          <w:rFonts w:ascii="Arial" w:hAnsi="Arial" w:cs="Arial"/>
          <w:b/>
          <w:sz w:val="28"/>
          <w:szCs w:val="28"/>
        </w:rPr>
        <w:t>.</w:t>
      </w:r>
      <w:r w:rsidR="0082444D" w:rsidRPr="003755C5">
        <w:rPr>
          <w:rFonts w:ascii="Arial" w:hAnsi="Arial" w:cs="Arial"/>
          <w:b/>
          <w:sz w:val="28"/>
          <w:szCs w:val="28"/>
        </w:rPr>
        <w:t xml:space="preserve"> Estudio.</w:t>
      </w:r>
      <w:r w:rsidR="0082444D" w:rsidRPr="003755C5">
        <w:rPr>
          <w:rFonts w:ascii="Arial" w:hAnsi="Arial" w:cs="Arial"/>
          <w:sz w:val="28"/>
          <w:szCs w:val="28"/>
        </w:rPr>
        <w:t xml:space="preserve"> </w:t>
      </w:r>
      <w:r w:rsidR="00AE2703">
        <w:rPr>
          <w:rFonts w:ascii="Arial" w:hAnsi="Arial" w:cs="Arial"/>
          <w:sz w:val="28"/>
          <w:szCs w:val="28"/>
        </w:rPr>
        <w:t>E</w:t>
      </w:r>
      <w:r w:rsidR="0082444D" w:rsidRPr="003755C5">
        <w:rPr>
          <w:rFonts w:ascii="Arial" w:hAnsi="Arial" w:cs="Arial"/>
          <w:sz w:val="28"/>
          <w:szCs w:val="28"/>
        </w:rPr>
        <w:t xml:space="preserve">n acatamiento al fallo protector esta Sala Superior procede a </w:t>
      </w:r>
      <w:r w:rsidR="00B65706">
        <w:rPr>
          <w:rFonts w:ascii="Arial" w:hAnsi="Arial" w:cs="Arial"/>
          <w:sz w:val="28"/>
          <w:szCs w:val="28"/>
        </w:rPr>
        <w:t xml:space="preserve">resolver, la </w:t>
      </w:r>
      <w:r w:rsidR="0082444D" w:rsidRPr="003755C5">
        <w:rPr>
          <w:rFonts w:ascii="Arial" w:hAnsi="Arial" w:cs="Arial"/>
          <w:sz w:val="28"/>
          <w:szCs w:val="28"/>
        </w:rPr>
        <w:t>apelación interpuest</w:t>
      </w:r>
      <w:r w:rsidR="00B65706">
        <w:rPr>
          <w:rFonts w:ascii="Arial" w:hAnsi="Arial" w:cs="Arial"/>
          <w:sz w:val="28"/>
          <w:szCs w:val="28"/>
        </w:rPr>
        <w:t>a</w:t>
      </w:r>
      <w:r w:rsidR="0082444D" w:rsidRPr="003755C5">
        <w:rPr>
          <w:rFonts w:ascii="Arial" w:hAnsi="Arial" w:cs="Arial"/>
          <w:sz w:val="28"/>
          <w:szCs w:val="28"/>
        </w:rPr>
        <w:t xml:space="preserve"> por </w:t>
      </w:r>
      <w:r w:rsidR="0082444D" w:rsidRPr="003755C5">
        <w:rPr>
          <w:rFonts w:ascii="Arial" w:hAnsi="Arial" w:cs="Arial"/>
          <w:color w:val="000000"/>
          <w:sz w:val="28"/>
          <w:szCs w:val="28"/>
          <w:lang w:val="es-ES" w:eastAsia="es-ES" w:bidi="es-ES"/>
        </w:rPr>
        <w:t>la persona moral “</w:t>
      </w:r>
      <w:r w:rsidR="0050127A">
        <w:rPr>
          <w:rFonts w:ascii="Arial" w:hAnsi="Arial" w:cs="Arial"/>
          <w:b/>
          <w:color w:val="FF0000"/>
          <w:sz w:val="28"/>
          <w:szCs w:val="28"/>
        </w:rPr>
        <w:t>**********</w:t>
      </w:r>
      <w:r w:rsidR="0082444D" w:rsidRPr="003755C5">
        <w:rPr>
          <w:rFonts w:ascii="Arial" w:hAnsi="Arial" w:cs="Arial"/>
          <w:b/>
          <w:sz w:val="28"/>
          <w:szCs w:val="28"/>
        </w:rPr>
        <w:t>,</w:t>
      </w:r>
      <w:r w:rsidR="0082444D" w:rsidRPr="003755C5">
        <w:rPr>
          <w:rFonts w:ascii="Arial" w:hAnsi="Arial" w:cs="Arial"/>
          <w:sz w:val="28"/>
          <w:szCs w:val="28"/>
        </w:rPr>
        <w:t xml:space="preserve"> por conducto de su autorizado</w:t>
      </w:r>
      <w:r w:rsidR="0082444D" w:rsidRPr="003755C5">
        <w:rPr>
          <w:rFonts w:ascii="Arial" w:hAnsi="Arial" w:cs="Arial"/>
          <w:b/>
          <w:sz w:val="28"/>
          <w:szCs w:val="28"/>
        </w:rPr>
        <w:t xml:space="preserve"> </w:t>
      </w:r>
      <w:r w:rsidR="0050127A">
        <w:rPr>
          <w:rFonts w:ascii="Arial" w:hAnsi="Arial" w:cs="Arial"/>
          <w:b/>
          <w:color w:val="FF0000"/>
          <w:sz w:val="28"/>
          <w:szCs w:val="28"/>
        </w:rPr>
        <w:t>**********</w:t>
      </w:r>
      <w:r w:rsidR="0082444D" w:rsidRPr="003755C5">
        <w:rPr>
          <w:rFonts w:ascii="Arial" w:hAnsi="Arial" w:cs="Arial"/>
          <w:sz w:val="28"/>
          <w:szCs w:val="28"/>
        </w:rPr>
        <w:t>,</w:t>
      </w:r>
      <w:r w:rsidR="0050127A">
        <w:rPr>
          <w:rFonts w:ascii="Arial" w:hAnsi="Arial" w:cs="Arial"/>
          <w:b/>
          <w:color w:val="FF0000"/>
          <w:sz w:val="28"/>
          <w:szCs w:val="28"/>
        </w:rPr>
        <w:t>**********</w:t>
      </w:r>
      <w:r w:rsidR="0082444D" w:rsidRPr="003755C5">
        <w:rPr>
          <w:rFonts w:ascii="Arial" w:hAnsi="Arial" w:cs="Arial"/>
          <w:color w:val="000000"/>
          <w:sz w:val="28"/>
          <w:szCs w:val="28"/>
          <w:lang w:val="es-ES" w:eastAsia="es-ES" w:bidi="es-ES"/>
        </w:rPr>
        <w:t xml:space="preserve">en contra de la sentencia de </w:t>
      </w:r>
      <w:r w:rsidR="0082444D" w:rsidRPr="003755C5">
        <w:rPr>
          <w:rFonts w:ascii="Arial" w:hAnsi="Arial" w:cs="Arial"/>
          <w:color w:val="0000FF"/>
          <w:sz w:val="28"/>
          <w:szCs w:val="28"/>
          <w:lang w:val="es-ES" w:eastAsia="es-ES" w:bidi="es-ES"/>
        </w:rPr>
        <w:t>treinta de septiembre de dos mil veintiuno</w:t>
      </w:r>
      <w:r w:rsidR="0082444D" w:rsidRPr="003755C5">
        <w:rPr>
          <w:rFonts w:ascii="Arial" w:hAnsi="Arial" w:cs="Arial"/>
          <w:color w:val="000000"/>
          <w:sz w:val="28"/>
          <w:szCs w:val="28"/>
          <w:lang w:val="es-ES" w:eastAsia="es-ES" w:bidi="es-ES"/>
        </w:rPr>
        <w:t xml:space="preserve">, pronunciada por la Primera Sala Unitaria del Tribunal Estatal de Justicia Administrativa, al resolver el juicio contencioso administrativo número </w:t>
      </w:r>
      <w:r w:rsidR="0050127A">
        <w:rPr>
          <w:rFonts w:ascii="Arial" w:hAnsi="Arial" w:cs="Arial"/>
          <w:b/>
          <w:color w:val="FF0000"/>
          <w:sz w:val="28"/>
          <w:szCs w:val="28"/>
          <w:lang w:val="es-ES" w:eastAsia="es-ES" w:bidi="es-ES"/>
        </w:rPr>
        <w:t>**********</w:t>
      </w:r>
      <w:r w:rsidR="0082444D" w:rsidRPr="003755C5">
        <w:rPr>
          <w:rFonts w:ascii="Arial" w:hAnsi="Arial" w:cs="Arial"/>
          <w:b/>
          <w:color w:val="000000"/>
          <w:sz w:val="28"/>
          <w:szCs w:val="28"/>
          <w:lang w:val="es-ES" w:eastAsia="es-ES" w:bidi="es-ES"/>
        </w:rPr>
        <w:t>/2020/1</w:t>
      </w:r>
      <w:r w:rsidR="004630EF">
        <w:rPr>
          <w:rFonts w:ascii="Arial" w:hAnsi="Arial" w:cs="Arial"/>
          <w:b/>
          <w:color w:val="000000"/>
          <w:sz w:val="28"/>
          <w:szCs w:val="28"/>
          <w:lang w:val="es-ES" w:eastAsia="es-ES" w:bidi="es-ES"/>
        </w:rPr>
        <w:t>.</w:t>
      </w:r>
      <w:r w:rsidR="0082444D" w:rsidRPr="003755C5">
        <w:rPr>
          <w:rFonts w:ascii="Arial" w:hAnsi="Arial" w:cs="Arial"/>
          <w:color w:val="000000"/>
          <w:sz w:val="28"/>
          <w:szCs w:val="28"/>
          <w:lang w:val="es-ES" w:eastAsia="es-ES" w:bidi="es-ES"/>
        </w:rPr>
        <w:t xml:space="preserve"> </w:t>
      </w:r>
    </w:p>
    <w:p w14:paraId="0BCB579E" w14:textId="77777777" w:rsidR="0044193A" w:rsidRDefault="0044193A" w:rsidP="0044193A">
      <w:pPr>
        <w:spacing w:after="0" w:line="360" w:lineRule="auto"/>
        <w:ind w:firstLine="851"/>
        <w:jc w:val="both"/>
        <w:rPr>
          <w:rFonts w:ascii="Arial" w:hAnsi="Arial" w:cs="Arial"/>
          <w:color w:val="000000"/>
          <w:sz w:val="28"/>
          <w:szCs w:val="28"/>
          <w:lang w:val="es-ES" w:eastAsia="es-ES" w:bidi="es-ES"/>
        </w:rPr>
      </w:pPr>
    </w:p>
    <w:p w14:paraId="1D98FADB" w14:textId="197F68E3" w:rsidR="0082444D" w:rsidRDefault="004630EF" w:rsidP="0044193A">
      <w:pPr>
        <w:spacing w:after="0" w:line="360" w:lineRule="auto"/>
        <w:ind w:firstLine="851"/>
        <w:jc w:val="both"/>
        <w:rPr>
          <w:rFonts w:ascii="Arial" w:hAnsi="Arial" w:cs="Arial"/>
          <w:sz w:val="28"/>
          <w:szCs w:val="28"/>
        </w:rPr>
      </w:pPr>
      <w:r w:rsidRPr="003755C5">
        <w:rPr>
          <w:rFonts w:ascii="Arial" w:hAnsi="Arial" w:cs="Arial"/>
          <w:color w:val="000000"/>
          <w:sz w:val="28"/>
          <w:szCs w:val="28"/>
          <w:lang w:val="es-ES" w:eastAsia="es-ES" w:bidi="es-ES"/>
        </w:rPr>
        <w:t>Prescindiendo</w:t>
      </w:r>
      <w:r w:rsidR="006340A6">
        <w:rPr>
          <w:rFonts w:ascii="Arial" w:hAnsi="Arial" w:cs="Arial"/>
          <w:color w:val="000000"/>
          <w:sz w:val="28"/>
          <w:szCs w:val="28"/>
          <w:lang w:val="es-ES" w:eastAsia="es-ES" w:bidi="es-ES"/>
        </w:rPr>
        <w:t>, en acato al fallo protector,</w:t>
      </w:r>
      <w:r w:rsidRPr="003755C5">
        <w:rPr>
          <w:rFonts w:ascii="Arial" w:hAnsi="Arial" w:cs="Arial"/>
          <w:color w:val="000000"/>
          <w:sz w:val="28"/>
          <w:szCs w:val="28"/>
          <w:lang w:val="es-ES" w:eastAsia="es-ES" w:bidi="es-ES"/>
        </w:rPr>
        <w:t xml:space="preserve"> </w:t>
      </w:r>
      <w:r w:rsidR="003755C5" w:rsidRPr="003755C5">
        <w:rPr>
          <w:rFonts w:ascii="Arial" w:hAnsi="Arial" w:cs="Arial"/>
          <w:sz w:val="28"/>
          <w:szCs w:val="28"/>
        </w:rPr>
        <w:t>de que en el caso se actualiza</w:t>
      </w:r>
      <w:r w:rsidR="006340A6">
        <w:rPr>
          <w:rFonts w:ascii="Arial" w:hAnsi="Arial" w:cs="Arial"/>
          <w:sz w:val="28"/>
          <w:szCs w:val="28"/>
        </w:rPr>
        <w:t>n</w:t>
      </w:r>
      <w:r w:rsidR="003755C5" w:rsidRPr="003755C5">
        <w:rPr>
          <w:rFonts w:ascii="Arial" w:hAnsi="Arial" w:cs="Arial"/>
          <w:sz w:val="28"/>
          <w:szCs w:val="28"/>
        </w:rPr>
        <w:t xml:space="preserve"> la</w:t>
      </w:r>
      <w:r w:rsidR="006340A6">
        <w:rPr>
          <w:rFonts w:ascii="Arial" w:hAnsi="Arial" w:cs="Arial"/>
          <w:sz w:val="28"/>
          <w:szCs w:val="28"/>
        </w:rPr>
        <w:t>s</w:t>
      </w:r>
      <w:r w:rsidR="003755C5" w:rsidRPr="003755C5">
        <w:rPr>
          <w:rFonts w:ascii="Arial" w:hAnsi="Arial" w:cs="Arial"/>
          <w:sz w:val="28"/>
          <w:szCs w:val="28"/>
        </w:rPr>
        <w:t xml:space="preserve"> causal</w:t>
      </w:r>
      <w:r w:rsidR="006340A6">
        <w:rPr>
          <w:rFonts w:ascii="Arial" w:hAnsi="Arial" w:cs="Arial"/>
          <w:sz w:val="28"/>
          <w:szCs w:val="28"/>
        </w:rPr>
        <w:t>es</w:t>
      </w:r>
      <w:r w:rsidR="003755C5" w:rsidRPr="003755C5">
        <w:rPr>
          <w:rFonts w:ascii="Arial" w:hAnsi="Arial" w:cs="Arial"/>
          <w:sz w:val="28"/>
          <w:szCs w:val="28"/>
        </w:rPr>
        <w:t xml:space="preserve"> de improcedencia prevista</w:t>
      </w:r>
      <w:r w:rsidR="006340A6">
        <w:rPr>
          <w:rFonts w:ascii="Arial" w:hAnsi="Arial" w:cs="Arial"/>
          <w:sz w:val="28"/>
          <w:szCs w:val="28"/>
        </w:rPr>
        <w:t>s</w:t>
      </w:r>
      <w:r w:rsidR="003755C5" w:rsidRPr="003755C5">
        <w:rPr>
          <w:rFonts w:ascii="Arial" w:hAnsi="Arial" w:cs="Arial"/>
          <w:sz w:val="28"/>
          <w:szCs w:val="28"/>
        </w:rPr>
        <w:t xml:space="preserve"> en los artículos 228 fracción VI y 229, fracción II del Código Procesal Administrativo para el Estado de San Luis Potosí, respecto de los actos consistentes en la resolución contenida en el oficio número </w:t>
      </w:r>
      <w:r w:rsidR="0050127A">
        <w:rPr>
          <w:rFonts w:ascii="Arial" w:hAnsi="Arial" w:cs="Arial"/>
          <w:color w:val="FF0000"/>
          <w:sz w:val="28"/>
          <w:szCs w:val="28"/>
        </w:rPr>
        <w:t>**********</w:t>
      </w:r>
      <w:r w:rsidR="003755C5" w:rsidRPr="003755C5">
        <w:rPr>
          <w:rFonts w:ascii="Arial" w:hAnsi="Arial" w:cs="Arial"/>
          <w:sz w:val="28"/>
          <w:szCs w:val="28"/>
        </w:rPr>
        <w:t>/2020 de once de marzo de dos mil veinte, emitida por el Director de Desarrollo Urbano y Catastro Municipal de Soledad de Graciano Sánchez, San Luis Potosí; y el Plan Estratégico de Población, San Luis Potosí – Soledad de Graciano Sánchez, publicado en el Periódico Oficial del Estado el veintiuno de agosto de dos mil tres</w:t>
      </w:r>
      <w:r w:rsidR="003755C5">
        <w:rPr>
          <w:rFonts w:ascii="Arial" w:hAnsi="Arial" w:cs="Arial"/>
          <w:sz w:val="28"/>
          <w:szCs w:val="28"/>
        </w:rPr>
        <w:t>.</w:t>
      </w:r>
    </w:p>
    <w:p w14:paraId="12ED0398" w14:textId="77777777" w:rsidR="0044193A" w:rsidRDefault="0044193A" w:rsidP="0044193A">
      <w:pPr>
        <w:spacing w:after="0" w:line="360" w:lineRule="auto"/>
        <w:ind w:firstLine="851"/>
        <w:jc w:val="both"/>
        <w:rPr>
          <w:rFonts w:ascii="Arial" w:hAnsi="Arial" w:cs="Arial"/>
          <w:sz w:val="28"/>
          <w:szCs w:val="28"/>
        </w:rPr>
      </w:pPr>
    </w:p>
    <w:p w14:paraId="657687C4" w14:textId="479432A2" w:rsidR="006340A6" w:rsidRDefault="006340A6" w:rsidP="0044193A">
      <w:pPr>
        <w:spacing w:after="0" w:line="360" w:lineRule="auto"/>
        <w:ind w:firstLine="851"/>
        <w:jc w:val="both"/>
        <w:rPr>
          <w:rFonts w:ascii="Arial" w:hAnsi="Arial" w:cs="Arial"/>
          <w:sz w:val="28"/>
          <w:szCs w:val="28"/>
        </w:rPr>
      </w:pPr>
      <w:r>
        <w:rPr>
          <w:rFonts w:ascii="Arial" w:hAnsi="Arial" w:cs="Arial"/>
          <w:sz w:val="28"/>
          <w:szCs w:val="28"/>
        </w:rPr>
        <w:t xml:space="preserve">Pues como lo sostiene, el Tribunal Colegiado de Circuito, </w:t>
      </w:r>
      <w:r w:rsidRPr="006340A6">
        <w:rPr>
          <w:rFonts w:ascii="Arial" w:hAnsi="Arial" w:cs="Arial"/>
          <w:sz w:val="28"/>
          <w:szCs w:val="28"/>
          <w:lang w:val="es-ES_tradnl"/>
        </w:rPr>
        <w:t xml:space="preserve">en el caso, la actora manifestó tener conocimiento del oficio impugnado el </w:t>
      </w:r>
      <w:r w:rsidRPr="006340A6">
        <w:rPr>
          <w:rFonts w:ascii="Arial" w:hAnsi="Arial" w:cs="Arial"/>
          <w:b/>
          <w:sz w:val="28"/>
          <w:szCs w:val="28"/>
          <w:lang w:val="es-ES_tradnl"/>
        </w:rPr>
        <w:t>dieciocho de mayo de dos mil veinte,</w:t>
      </w:r>
      <w:r w:rsidRPr="006340A6">
        <w:rPr>
          <w:rFonts w:ascii="Arial" w:hAnsi="Arial" w:cs="Arial"/>
          <w:sz w:val="28"/>
          <w:szCs w:val="28"/>
          <w:lang w:val="es-ES_tradnl"/>
        </w:rPr>
        <w:t xml:space="preserve"> y la demanda de nulidad la presentó el once de agosto de ese año, por lo que concluyó que la demandad de nulidad si se presentó dentro de los treinta días hábiles a que hace referencia el artículo 24, fracción I, inciso a) del Código Procesal Administrativo para el Estado de San Luis Potosí, en virtud de que dicho plazo empezó a computarse al día siguiente hábil, esto es, </w:t>
      </w:r>
      <w:r w:rsidRPr="006340A6">
        <w:rPr>
          <w:rFonts w:ascii="Arial" w:hAnsi="Arial" w:cs="Arial"/>
          <w:sz w:val="28"/>
          <w:szCs w:val="28"/>
        </w:rPr>
        <w:t>el dos de julio de dos mil veinte, y feneció el doce de agosto del propio año.</w:t>
      </w:r>
    </w:p>
    <w:p w14:paraId="29AFA4BA" w14:textId="77777777" w:rsidR="0044193A" w:rsidRPr="006340A6" w:rsidRDefault="0044193A" w:rsidP="0044193A">
      <w:pPr>
        <w:spacing w:after="0" w:line="360" w:lineRule="auto"/>
        <w:ind w:firstLine="851"/>
        <w:jc w:val="both"/>
        <w:rPr>
          <w:rFonts w:ascii="Arial" w:hAnsi="Arial" w:cs="Arial"/>
          <w:sz w:val="28"/>
          <w:szCs w:val="28"/>
        </w:rPr>
      </w:pPr>
    </w:p>
    <w:p w14:paraId="2F85CDC2" w14:textId="79474CEC" w:rsidR="006340A6" w:rsidRPr="006340A6" w:rsidRDefault="006340A6" w:rsidP="0044193A">
      <w:pPr>
        <w:spacing w:after="0" w:line="360" w:lineRule="auto"/>
        <w:ind w:firstLine="851"/>
        <w:jc w:val="both"/>
        <w:rPr>
          <w:rFonts w:ascii="Arial" w:hAnsi="Arial" w:cs="Arial"/>
          <w:sz w:val="28"/>
          <w:szCs w:val="28"/>
        </w:rPr>
      </w:pPr>
      <w:r w:rsidRPr="006340A6">
        <w:rPr>
          <w:rFonts w:ascii="Arial" w:hAnsi="Arial" w:cs="Arial"/>
          <w:sz w:val="28"/>
          <w:szCs w:val="28"/>
        </w:rPr>
        <w:t xml:space="preserve"> Y por tanto, si la demanda de nulidad se presentó el </w:t>
      </w:r>
      <w:r w:rsidRPr="006340A6">
        <w:rPr>
          <w:rFonts w:ascii="Arial" w:hAnsi="Arial" w:cs="Arial"/>
          <w:b/>
          <w:bCs/>
          <w:sz w:val="28"/>
          <w:szCs w:val="28"/>
        </w:rPr>
        <w:t xml:space="preserve">once de agosto de dos mil veinte, </w:t>
      </w:r>
      <w:r w:rsidRPr="006340A6">
        <w:rPr>
          <w:rFonts w:ascii="Arial" w:hAnsi="Arial" w:cs="Arial"/>
          <w:sz w:val="28"/>
          <w:szCs w:val="28"/>
        </w:rPr>
        <w:t xml:space="preserve">contrario a lo considerado por </w:t>
      </w:r>
      <w:r>
        <w:rPr>
          <w:rFonts w:ascii="Arial" w:hAnsi="Arial" w:cs="Arial"/>
          <w:sz w:val="28"/>
          <w:szCs w:val="28"/>
        </w:rPr>
        <w:t xml:space="preserve">esta </w:t>
      </w:r>
      <w:r w:rsidRPr="006340A6">
        <w:rPr>
          <w:rFonts w:ascii="Arial" w:hAnsi="Arial" w:cs="Arial"/>
          <w:sz w:val="28"/>
          <w:szCs w:val="28"/>
        </w:rPr>
        <w:t xml:space="preserve">autoridad responsable, la presentación de la demanda de nulidad se presentó en tiempo y, por ende, no se puede considerar que los actos impugnados, sean actos consentidos en términos del artículo 228 fracción VI del Código Procesal Administrativo para el Estado de San Luis Potosí, por no haberlos impugnado mediante los recursos correspondientes. </w:t>
      </w:r>
    </w:p>
    <w:p w14:paraId="524F4A7D" w14:textId="77777777" w:rsidR="0044193A" w:rsidRDefault="0044193A" w:rsidP="0044193A">
      <w:pPr>
        <w:spacing w:after="0" w:line="360" w:lineRule="auto"/>
        <w:ind w:firstLine="851"/>
        <w:jc w:val="both"/>
        <w:rPr>
          <w:rFonts w:ascii="Arial" w:hAnsi="Arial" w:cs="Arial"/>
          <w:sz w:val="28"/>
          <w:szCs w:val="28"/>
        </w:rPr>
      </w:pPr>
    </w:p>
    <w:p w14:paraId="3B334B3E" w14:textId="3CB6F0F4" w:rsidR="006340A6" w:rsidRDefault="006340A6" w:rsidP="0044193A">
      <w:pPr>
        <w:spacing w:after="0" w:line="360" w:lineRule="auto"/>
        <w:ind w:firstLine="851"/>
        <w:jc w:val="both"/>
        <w:rPr>
          <w:rFonts w:ascii="Arial" w:hAnsi="Arial" w:cs="Arial"/>
          <w:sz w:val="28"/>
          <w:szCs w:val="28"/>
        </w:rPr>
      </w:pPr>
      <w:r w:rsidRPr="006340A6">
        <w:rPr>
          <w:rFonts w:ascii="Arial" w:hAnsi="Arial" w:cs="Arial"/>
          <w:sz w:val="28"/>
          <w:szCs w:val="28"/>
        </w:rPr>
        <w:lastRenderedPageBreak/>
        <w:t>Aunado a que la celebración del convenio a que se hizo referencia en el fallo dejado insubsi</w:t>
      </w:r>
      <w:r>
        <w:rPr>
          <w:rFonts w:ascii="Arial" w:hAnsi="Arial" w:cs="Arial"/>
          <w:sz w:val="28"/>
          <w:szCs w:val="28"/>
        </w:rPr>
        <w:t>s</w:t>
      </w:r>
      <w:r w:rsidRPr="006340A6">
        <w:rPr>
          <w:rFonts w:ascii="Arial" w:hAnsi="Arial" w:cs="Arial"/>
          <w:sz w:val="28"/>
          <w:szCs w:val="28"/>
        </w:rPr>
        <w:t xml:space="preserve">tente, no entraña el consentimiento de los actos impugnados. </w:t>
      </w:r>
    </w:p>
    <w:p w14:paraId="46E96BDC" w14:textId="77777777" w:rsidR="0044193A" w:rsidRPr="006340A6" w:rsidRDefault="0044193A" w:rsidP="0044193A">
      <w:pPr>
        <w:spacing w:after="0" w:line="360" w:lineRule="auto"/>
        <w:ind w:firstLine="851"/>
        <w:jc w:val="both"/>
        <w:rPr>
          <w:rFonts w:ascii="Arial" w:hAnsi="Arial" w:cs="Arial"/>
          <w:sz w:val="28"/>
          <w:szCs w:val="28"/>
        </w:rPr>
      </w:pPr>
    </w:p>
    <w:p w14:paraId="39DA531B" w14:textId="2DC446DA" w:rsidR="006340A6" w:rsidRDefault="006340A6" w:rsidP="0044193A">
      <w:pPr>
        <w:spacing w:after="0" w:line="360" w:lineRule="auto"/>
        <w:ind w:firstLine="851"/>
        <w:jc w:val="both"/>
        <w:rPr>
          <w:rFonts w:ascii="Arial" w:hAnsi="Arial" w:cs="Arial"/>
          <w:sz w:val="28"/>
          <w:szCs w:val="28"/>
        </w:rPr>
      </w:pPr>
      <w:r w:rsidRPr="006340A6">
        <w:rPr>
          <w:rFonts w:ascii="Arial" w:hAnsi="Arial" w:cs="Arial"/>
          <w:sz w:val="28"/>
          <w:szCs w:val="28"/>
        </w:rPr>
        <w:t xml:space="preserve">Porque el “Convenio de Reconocimiento de Obligación de Pago" con el Ayuntamiento de Soledad de Graciano Sánchez, San Luis Potosí, lo celebró la quejosa con dicha autoridad, el </w:t>
      </w:r>
      <w:r w:rsidRPr="006340A6">
        <w:rPr>
          <w:rFonts w:ascii="Arial" w:hAnsi="Arial" w:cs="Arial"/>
          <w:b/>
          <w:bCs/>
          <w:sz w:val="28"/>
          <w:szCs w:val="28"/>
        </w:rPr>
        <w:t>dieciséis de junio de dos mil veinte,</w:t>
      </w:r>
      <w:r w:rsidRPr="006340A6">
        <w:rPr>
          <w:rFonts w:ascii="Arial" w:hAnsi="Arial" w:cs="Arial"/>
          <w:bCs/>
          <w:sz w:val="28"/>
          <w:szCs w:val="28"/>
        </w:rPr>
        <w:t xml:space="preserve"> </w:t>
      </w:r>
      <w:r w:rsidRPr="006340A6">
        <w:rPr>
          <w:rFonts w:ascii="Arial" w:hAnsi="Arial" w:cs="Arial"/>
          <w:sz w:val="28"/>
          <w:szCs w:val="28"/>
        </w:rPr>
        <w:t xml:space="preserve">es decir, en el periodo en el que se encontraban suspendidas las actividades jurisdiccionales del tribunal responsable; por tanto, la quejosa no estaba en aptitud de impugnar jurisdiccionalmente el oficio de once de marzo de dos mil veinte, emitido por el Director de Desarrollo Urbano y Catastro Municipal de Soledad de Graciano Sánchez, en el que se mencionó el Plan del Centro de Población Estratégico San Luis Potosí – Soledad de Graciano Sánchez, publicado en el Periódico Oficial el veintiuno de agosto de dos mil tres, durante ese periodo, sino únicamente hasta que el Tribunal Estatal Justicia Administrativa reanudó sus actividades, es decir, a partir del primero de julio de </w:t>
      </w:r>
      <w:r w:rsidRPr="006340A6">
        <w:rPr>
          <w:rFonts w:ascii="Arial" w:hAnsi="Arial" w:cs="Arial"/>
          <w:iCs/>
          <w:sz w:val="28"/>
          <w:szCs w:val="28"/>
        </w:rPr>
        <w:t xml:space="preserve">dos </w:t>
      </w:r>
      <w:r w:rsidRPr="006340A6">
        <w:rPr>
          <w:rFonts w:ascii="Arial" w:hAnsi="Arial" w:cs="Arial"/>
          <w:sz w:val="28"/>
          <w:szCs w:val="28"/>
        </w:rPr>
        <w:t>mil veinte.</w:t>
      </w:r>
    </w:p>
    <w:p w14:paraId="03DBB795" w14:textId="77777777" w:rsidR="0044193A" w:rsidRPr="006340A6" w:rsidRDefault="0044193A" w:rsidP="0044193A">
      <w:pPr>
        <w:spacing w:after="0" w:line="360" w:lineRule="auto"/>
        <w:ind w:firstLine="851"/>
        <w:jc w:val="both"/>
        <w:rPr>
          <w:rFonts w:ascii="Arial" w:hAnsi="Arial" w:cs="Arial"/>
          <w:sz w:val="28"/>
          <w:szCs w:val="28"/>
          <w:lang w:val="es-ES_tradnl"/>
        </w:rPr>
      </w:pPr>
    </w:p>
    <w:p w14:paraId="07B2F486" w14:textId="77777777" w:rsidR="006340A6" w:rsidRDefault="006340A6" w:rsidP="0044193A">
      <w:pPr>
        <w:spacing w:after="0" w:line="360" w:lineRule="auto"/>
        <w:ind w:firstLine="851"/>
        <w:jc w:val="both"/>
        <w:rPr>
          <w:rFonts w:ascii="Arial" w:hAnsi="Arial" w:cs="Arial"/>
          <w:sz w:val="28"/>
          <w:szCs w:val="28"/>
          <w:lang w:val="es-ES_tradnl"/>
        </w:rPr>
      </w:pPr>
      <w:r w:rsidRPr="006340A6">
        <w:rPr>
          <w:rFonts w:ascii="Arial" w:hAnsi="Arial" w:cs="Arial"/>
          <w:sz w:val="28"/>
          <w:szCs w:val="28"/>
          <w:lang w:val="es-ES_tradnl"/>
        </w:rPr>
        <w:t>Y el hecho de que hubiese podido promover el juicio de amparo indirecto en contra de esa clausura, no puede llevar a tener por consentido el acto en el juicio contenciosos administrativo porque aquél juicio es optativo.</w:t>
      </w:r>
    </w:p>
    <w:p w14:paraId="1F1E8EBF" w14:textId="77777777" w:rsidR="0044193A" w:rsidRPr="006340A6" w:rsidRDefault="0044193A" w:rsidP="0044193A">
      <w:pPr>
        <w:spacing w:after="0" w:line="360" w:lineRule="auto"/>
        <w:ind w:firstLine="851"/>
        <w:jc w:val="both"/>
        <w:rPr>
          <w:rFonts w:ascii="Arial" w:hAnsi="Arial" w:cs="Arial"/>
          <w:sz w:val="28"/>
          <w:szCs w:val="28"/>
          <w:lang w:val="es-ES_tradnl"/>
        </w:rPr>
      </w:pPr>
    </w:p>
    <w:p w14:paraId="1BC2ABE0" w14:textId="77777777" w:rsidR="006340A6" w:rsidRDefault="006340A6" w:rsidP="0044193A">
      <w:pPr>
        <w:spacing w:after="0" w:line="360" w:lineRule="auto"/>
        <w:ind w:firstLine="851"/>
        <w:jc w:val="both"/>
        <w:rPr>
          <w:rFonts w:ascii="Arial" w:hAnsi="Arial" w:cs="Arial"/>
          <w:sz w:val="28"/>
          <w:szCs w:val="28"/>
        </w:rPr>
      </w:pPr>
      <w:r w:rsidRPr="006340A6">
        <w:rPr>
          <w:rFonts w:ascii="Arial" w:hAnsi="Arial" w:cs="Arial"/>
          <w:sz w:val="28"/>
          <w:szCs w:val="28"/>
          <w:lang w:val="es-ES_tradnl"/>
        </w:rPr>
        <w:t xml:space="preserve">Entonces, </w:t>
      </w:r>
      <w:r>
        <w:rPr>
          <w:rFonts w:ascii="Arial" w:hAnsi="Arial" w:cs="Arial"/>
          <w:sz w:val="28"/>
          <w:szCs w:val="28"/>
          <w:lang w:val="es-ES_tradnl"/>
        </w:rPr>
        <w:t xml:space="preserve">como ya se dijo, </w:t>
      </w:r>
      <w:r w:rsidRPr="006340A6">
        <w:rPr>
          <w:rFonts w:ascii="Arial" w:hAnsi="Arial" w:cs="Arial"/>
          <w:sz w:val="28"/>
          <w:szCs w:val="28"/>
          <w:lang w:val="es-ES_tradnl"/>
        </w:rPr>
        <w:t xml:space="preserve">determinó que la celebración de dicho convenio no puede reflejar una manifestación de la voluntad de la quejosa, respecto de los actos impugnados en el juicio de nulidad, porque como se explicó, la parte quejosa sí </w:t>
      </w:r>
      <w:r w:rsidRPr="006340A6">
        <w:rPr>
          <w:rFonts w:ascii="Arial" w:hAnsi="Arial" w:cs="Arial"/>
          <w:sz w:val="28"/>
          <w:szCs w:val="28"/>
          <w:lang w:val="es-ES_tradnl"/>
        </w:rPr>
        <w:lastRenderedPageBreak/>
        <w:t xml:space="preserve">promovió el juicio dentro del plazo que establece la ley aplicable, y además, la fecha en que celebró dicho convenio, la actora no estaba en aptitud de promover el juicio a efecto de combatir la cláusula a que alude o impugna el oficio en el que se le negó la licencia de uso de suelo y en el que se invocó el Plan del Centro de Población Estratégico San Luis Potosí – Soledad de Graciano Sánchez, porque como quedó de manifiesto con antelación, a la fecha en que se llevó a cabo la clausura y la data en que celebró el aludido convenio (quince y dieciséis de junio de dos mil veinte), se encontraba suspendidas las actividades jurisdiccionales del tribunal responsable, y por ende, durante ese periodo no corrieron plazos procesales, debido a la contingencia sanitaria emergente del país por el coronavirus COVID-19. </w:t>
      </w:r>
      <w:r w:rsidRPr="006340A6">
        <w:rPr>
          <w:rFonts w:ascii="Arial" w:hAnsi="Arial" w:cs="Arial"/>
          <w:sz w:val="28"/>
          <w:szCs w:val="28"/>
        </w:rPr>
        <w:t>Lo que conllevó además a determinar al Colegiado, que en el caso, no se actualiza la figura jurídica de la preclusión</w:t>
      </w:r>
      <w:r>
        <w:rPr>
          <w:rFonts w:ascii="Arial" w:hAnsi="Arial" w:cs="Arial"/>
          <w:sz w:val="28"/>
          <w:szCs w:val="28"/>
        </w:rPr>
        <w:t>.</w:t>
      </w:r>
    </w:p>
    <w:p w14:paraId="7256F107" w14:textId="77777777" w:rsidR="0044193A" w:rsidRDefault="0044193A" w:rsidP="0044193A">
      <w:pPr>
        <w:spacing w:after="0" w:line="360" w:lineRule="auto"/>
        <w:ind w:firstLine="851"/>
        <w:jc w:val="both"/>
        <w:rPr>
          <w:rFonts w:ascii="Arial" w:hAnsi="Arial" w:cs="Arial"/>
          <w:sz w:val="28"/>
          <w:szCs w:val="28"/>
        </w:rPr>
      </w:pPr>
    </w:p>
    <w:p w14:paraId="3246BC42" w14:textId="57BB886A" w:rsidR="00AD1B12" w:rsidRDefault="006340A6" w:rsidP="0044193A">
      <w:pPr>
        <w:spacing w:after="0" w:line="360" w:lineRule="auto"/>
        <w:ind w:firstLine="851"/>
        <w:jc w:val="both"/>
        <w:rPr>
          <w:rFonts w:ascii="Arial" w:hAnsi="Arial" w:cs="Arial"/>
          <w:iCs/>
          <w:sz w:val="28"/>
          <w:szCs w:val="28"/>
        </w:rPr>
      </w:pPr>
      <w:r>
        <w:rPr>
          <w:rFonts w:ascii="Arial" w:hAnsi="Arial" w:cs="Arial"/>
          <w:sz w:val="28"/>
          <w:szCs w:val="28"/>
        </w:rPr>
        <w:t>En estricto acato a lo anterior, se procede a resolver en consecuencia, y para tal fin, es pertinente</w:t>
      </w:r>
      <w:r w:rsidR="00AD1B12">
        <w:rPr>
          <w:rFonts w:ascii="Arial" w:hAnsi="Arial" w:cs="Arial"/>
          <w:sz w:val="28"/>
          <w:szCs w:val="28"/>
        </w:rPr>
        <w:t xml:space="preserve"> citar </w:t>
      </w:r>
      <w:r w:rsidR="00AD1B12">
        <w:rPr>
          <w:rFonts w:ascii="Arial" w:hAnsi="Arial" w:cs="Arial"/>
          <w:iCs/>
          <w:sz w:val="28"/>
          <w:szCs w:val="28"/>
        </w:rPr>
        <w:t xml:space="preserve">los </w:t>
      </w:r>
      <w:r w:rsidR="00AD1B12" w:rsidRPr="00BF4873">
        <w:rPr>
          <w:rFonts w:ascii="Arial" w:hAnsi="Arial" w:cs="Arial"/>
          <w:iCs/>
          <w:sz w:val="28"/>
          <w:szCs w:val="28"/>
        </w:rPr>
        <w:t>antecedentes relevantes del caso</w:t>
      </w:r>
      <w:r w:rsidR="00AD1B12">
        <w:rPr>
          <w:rFonts w:ascii="Arial" w:hAnsi="Arial" w:cs="Arial"/>
          <w:iCs/>
          <w:sz w:val="28"/>
          <w:szCs w:val="28"/>
        </w:rPr>
        <w:t xml:space="preserve">, los cuales </w:t>
      </w:r>
      <w:r w:rsidR="00AD1B12" w:rsidRPr="00BF4873">
        <w:rPr>
          <w:rFonts w:ascii="Arial" w:hAnsi="Arial" w:cs="Arial"/>
          <w:iCs/>
          <w:sz w:val="28"/>
          <w:szCs w:val="28"/>
        </w:rPr>
        <w:t xml:space="preserve">se narran </w:t>
      </w:r>
      <w:r w:rsidR="00AD1B12">
        <w:rPr>
          <w:rFonts w:ascii="Arial" w:hAnsi="Arial" w:cs="Arial"/>
          <w:iCs/>
          <w:sz w:val="28"/>
          <w:szCs w:val="28"/>
        </w:rPr>
        <w:t xml:space="preserve">sucintamente, mismos de los que </w:t>
      </w:r>
      <w:r w:rsidR="00AD1B12" w:rsidRPr="00BF4873">
        <w:rPr>
          <w:rFonts w:ascii="Arial" w:hAnsi="Arial" w:cs="Arial"/>
          <w:iCs/>
          <w:sz w:val="28"/>
          <w:szCs w:val="28"/>
        </w:rPr>
        <w:t>se desprenden de</w:t>
      </w:r>
      <w:r w:rsidR="00AD1B12">
        <w:rPr>
          <w:rFonts w:ascii="Arial" w:hAnsi="Arial" w:cs="Arial"/>
          <w:iCs/>
          <w:sz w:val="28"/>
          <w:szCs w:val="28"/>
        </w:rPr>
        <w:t xml:space="preserve"> la demanda contenciosa y</w:t>
      </w:r>
      <w:r w:rsidR="00AD1B12" w:rsidRPr="00BF4873">
        <w:rPr>
          <w:rFonts w:ascii="Arial" w:hAnsi="Arial" w:cs="Arial"/>
          <w:iCs/>
          <w:sz w:val="28"/>
          <w:szCs w:val="28"/>
        </w:rPr>
        <w:t xml:space="preserve"> los autos del expediente de origen:</w:t>
      </w:r>
    </w:p>
    <w:p w14:paraId="5EB0F73B" w14:textId="77777777" w:rsidR="00AD1B12" w:rsidRDefault="00AD1B12" w:rsidP="0044193A">
      <w:pPr>
        <w:spacing w:after="0" w:line="360" w:lineRule="auto"/>
        <w:ind w:firstLine="709"/>
        <w:jc w:val="both"/>
        <w:rPr>
          <w:rFonts w:ascii="Arial" w:hAnsi="Arial" w:cs="Arial"/>
          <w:b/>
          <w:bCs/>
          <w:iCs/>
          <w:sz w:val="28"/>
          <w:szCs w:val="28"/>
        </w:rPr>
      </w:pPr>
    </w:p>
    <w:p w14:paraId="460988AC" w14:textId="2C32D79F" w:rsidR="00AD1B12" w:rsidRDefault="00AD1B12" w:rsidP="0044193A">
      <w:pPr>
        <w:spacing w:after="0" w:line="360" w:lineRule="auto"/>
        <w:ind w:left="709" w:hanging="283"/>
        <w:jc w:val="both"/>
        <w:rPr>
          <w:rFonts w:ascii="Arial" w:hAnsi="Arial" w:cs="Arial"/>
          <w:bCs/>
          <w:iCs/>
          <w:sz w:val="28"/>
          <w:szCs w:val="28"/>
        </w:rPr>
      </w:pPr>
      <w:r w:rsidRPr="00EE0CBB">
        <w:rPr>
          <w:rFonts w:ascii="Arial" w:hAnsi="Arial" w:cs="Arial"/>
          <w:bCs/>
          <w:iCs/>
          <w:sz w:val="28"/>
          <w:szCs w:val="28"/>
        </w:rPr>
        <w:t xml:space="preserve">1. </w:t>
      </w:r>
      <w:r w:rsidR="0050127A">
        <w:rPr>
          <w:rFonts w:ascii="Arial" w:hAnsi="Arial" w:cs="Arial"/>
          <w:bCs/>
          <w:iCs/>
          <w:color w:val="FF0000"/>
          <w:sz w:val="28"/>
          <w:szCs w:val="28"/>
        </w:rPr>
        <w:t>**********</w:t>
      </w:r>
      <w:r w:rsidRPr="00EE0CBB">
        <w:rPr>
          <w:rFonts w:ascii="Arial" w:hAnsi="Arial" w:cs="Arial"/>
          <w:bCs/>
          <w:iCs/>
          <w:sz w:val="28"/>
          <w:szCs w:val="28"/>
        </w:rPr>
        <w:t xml:space="preserve">, es una sociedad mercantil constituida de conformidad con las leyes de los Estados Unidos Mexicanos, </w:t>
      </w:r>
      <w:r>
        <w:rPr>
          <w:rFonts w:ascii="Arial" w:hAnsi="Arial" w:cs="Arial"/>
          <w:bCs/>
          <w:iCs/>
          <w:sz w:val="28"/>
          <w:szCs w:val="28"/>
        </w:rPr>
        <w:t>su</w:t>
      </w:r>
      <w:r w:rsidRPr="00EE0CBB">
        <w:rPr>
          <w:rFonts w:ascii="Arial" w:hAnsi="Arial" w:cs="Arial"/>
          <w:bCs/>
          <w:iCs/>
          <w:sz w:val="28"/>
          <w:szCs w:val="28"/>
        </w:rPr>
        <w:t xml:space="preserve"> objeto social </w:t>
      </w:r>
      <w:r>
        <w:rPr>
          <w:rFonts w:ascii="Arial" w:hAnsi="Arial" w:cs="Arial"/>
          <w:bCs/>
          <w:iCs/>
          <w:sz w:val="28"/>
          <w:szCs w:val="28"/>
        </w:rPr>
        <w:t xml:space="preserve">consiste principalmente en </w:t>
      </w:r>
      <w:r w:rsidRPr="00EE0CBB">
        <w:rPr>
          <w:rFonts w:ascii="Arial" w:hAnsi="Arial" w:cs="Arial"/>
          <w:bCs/>
          <w:iCs/>
          <w:sz w:val="28"/>
          <w:szCs w:val="28"/>
        </w:rPr>
        <w:t>la realización de todo tipo de actos jurídico y/o materiales, convenios,</w:t>
      </w:r>
      <w:r>
        <w:rPr>
          <w:rFonts w:ascii="Arial" w:hAnsi="Arial" w:cs="Arial"/>
          <w:bCs/>
          <w:iCs/>
          <w:sz w:val="28"/>
          <w:szCs w:val="28"/>
        </w:rPr>
        <w:t xml:space="preserve"> </w:t>
      </w:r>
      <w:r w:rsidRPr="00EE0CBB">
        <w:rPr>
          <w:rFonts w:ascii="Arial" w:hAnsi="Arial" w:cs="Arial"/>
          <w:bCs/>
          <w:iCs/>
          <w:sz w:val="28"/>
          <w:szCs w:val="28"/>
        </w:rPr>
        <w:t>contratos, que sean necesarios, convenientes o accidentales, para</w:t>
      </w:r>
      <w:r>
        <w:rPr>
          <w:rFonts w:ascii="Arial" w:hAnsi="Arial" w:cs="Arial"/>
          <w:bCs/>
          <w:iCs/>
          <w:sz w:val="28"/>
          <w:szCs w:val="28"/>
        </w:rPr>
        <w:t xml:space="preserve"> </w:t>
      </w:r>
      <w:r w:rsidRPr="00EE0CBB">
        <w:rPr>
          <w:rFonts w:ascii="Arial" w:hAnsi="Arial" w:cs="Arial"/>
          <w:bCs/>
          <w:iCs/>
          <w:sz w:val="28"/>
          <w:szCs w:val="28"/>
        </w:rPr>
        <w:t xml:space="preserve">desarrollar cualquier tipo de actividad </w:t>
      </w:r>
      <w:r w:rsidRPr="0016337A">
        <w:rPr>
          <w:rFonts w:ascii="Arial" w:hAnsi="Arial" w:cs="Arial"/>
          <w:bCs/>
          <w:iCs/>
          <w:sz w:val="28"/>
          <w:szCs w:val="28"/>
        </w:rPr>
        <w:t>avícola, porcícola, ganadera o de cualquier otra especie animal cuya explotación está permitida por la Ley</w:t>
      </w:r>
      <w:r w:rsidRPr="0016337A">
        <w:rPr>
          <w:rStyle w:val="Refdenotaalpie"/>
          <w:rFonts w:ascii="Arial" w:hAnsi="Arial" w:cs="Arial"/>
          <w:bCs/>
          <w:iCs/>
          <w:sz w:val="28"/>
          <w:szCs w:val="28"/>
        </w:rPr>
        <w:footnoteReference w:id="12"/>
      </w:r>
      <w:r w:rsidRPr="0016337A">
        <w:rPr>
          <w:rFonts w:ascii="Arial" w:hAnsi="Arial" w:cs="Arial"/>
          <w:bCs/>
          <w:iCs/>
          <w:sz w:val="28"/>
          <w:szCs w:val="28"/>
        </w:rPr>
        <w:t>. El</w:t>
      </w:r>
      <w:r>
        <w:rPr>
          <w:rFonts w:ascii="Arial" w:hAnsi="Arial" w:cs="Arial"/>
          <w:bCs/>
          <w:iCs/>
          <w:sz w:val="28"/>
          <w:szCs w:val="28"/>
        </w:rPr>
        <w:t xml:space="preserve"> </w:t>
      </w:r>
      <w:r w:rsidRPr="00320C58">
        <w:rPr>
          <w:rFonts w:ascii="Arial" w:hAnsi="Arial" w:cs="Arial"/>
          <w:b/>
          <w:bCs/>
          <w:iCs/>
          <w:sz w:val="28"/>
          <w:szCs w:val="28"/>
        </w:rPr>
        <w:t>veintitrés de abril de mil novecientos noventa y cuatro</w:t>
      </w:r>
      <w:r>
        <w:rPr>
          <w:rFonts w:ascii="Arial" w:hAnsi="Arial" w:cs="Arial"/>
          <w:bCs/>
          <w:iCs/>
          <w:sz w:val="28"/>
          <w:szCs w:val="28"/>
        </w:rPr>
        <w:t xml:space="preserve"> </w:t>
      </w:r>
      <w:r w:rsidRPr="00EE0CBB">
        <w:rPr>
          <w:rFonts w:ascii="Arial" w:hAnsi="Arial" w:cs="Arial"/>
          <w:bCs/>
          <w:iCs/>
          <w:sz w:val="28"/>
          <w:szCs w:val="28"/>
        </w:rPr>
        <w:t>adquirió el</w:t>
      </w:r>
      <w:r>
        <w:rPr>
          <w:rFonts w:ascii="Arial" w:hAnsi="Arial" w:cs="Arial"/>
          <w:bCs/>
          <w:iCs/>
          <w:sz w:val="28"/>
          <w:szCs w:val="28"/>
        </w:rPr>
        <w:t xml:space="preserve"> </w:t>
      </w:r>
      <w:r w:rsidRPr="00EE0CBB">
        <w:rPr>
          <w:rFonts w:ascii="Arial" w:hAnsi="Arial" w:cs="Arial"/>
          <w:bCs/>
          <w:iCs/>
          <w:sz w:val="28"/>
          <w:szCs w:val="28"/>
        </w:rPr>
        <w:t xml:space="preserve">predio que se encuentra ubicado en </w:t>
      </w:r>
      <w:r w:rsidR="0050127A">
        <w:rPr>
          <w:rFonts w:ascii="Arial" w:hAnsi="Arial" w:cs="Arial"/>
          <w:bCs/>
          <w:iCs/>
          <w:color w:val="FF0000"/>
          <w:sz w:val="28"/>
          <w:szCs w:val="28"/>
        </w:rPr>
        <w:t>**********</w:t>
      </w:r>
      <w:r w:rsidRPr="00EE0CBB">
        <w:rPr>
          <w:rFonts w:ascii="Arial" w:hAnsi="Arial" w:cs="Arial"/>
          <w:bCs/>
          <w:iCs/>
          <w:sz w:val="28"/>
          <w:szCs w:val="28"/>
        </w:rPr>
        <w:t>, con</w:t>
      </w:r>
      <w:r>
        <w:rPr>
          <w:rFonts w:ascii="Arial" w:hAnsi="Arial" w:cs="Arial"/>
          <w:bCs/>
          <w:iCs/>
          <w:sz w:val="28"/>
          <w:szCs w:val="28"/>
        </w:rPr>
        <w:t xml:space="preserve"> el objeto de destinarlo a l</w:t>
      </w:r>
      <w:r w:rsidRPr="00EE0CBB">
        <w:rPr>
          <w:rFonts w:ascii="Arial" w:hAnsi="Arial" w:cs="Arial"/>
          <w:bCs/>
          <w:iCs/>
          <w:sz w:val="28"/>
          <w:szCs w:val="28"/>
        </w:rPr>
        <w:t xml:space="preserve">a producción avícola, tal </w:t>
      </w:r>
      <w:r w:rsidRPr="00EE0CBB">
        <w:rPr>
          <w:rFonts w:ascii="Arial" w:hAnsi="Arial" w:cs="Arial"/>
          <w:bCs/>
          <w:iCs/>
          <w:sz w:val="28"/>
          <w:szCs w:val="28"/>
        </w:rPr>
        <w:lastRenderedPageBreak/>
        <w:t>como se advierte de las cláusulas segunda y sexta del</w:t>
      </w:r>
      <w:r>
        <w:rPr>
          <w:rFonts w:ascii="Arial" w:hAnsi="Arial" w:cs="Arial"/>
          <w:bCs/>
          <w:iCs/>
          <w:sz w:val="28"/>
          <w:szCs w:val="28"/>
        </w:rPr>
        <w:t xml:space="preserve"> </w:t>
      </w:r>
      <w:r w:rsidRPr="00EE0CBB">
        <w:rPr>
          <w:rFonts w:ascii="Arial" w:hAnsi="Arial" w:cs="Arial"/>
          <w:bCs/>
          <w:iCs/>
          <w:sz w:val="28"/>
          <w:szCs w:val="28"/>
        </w:rPr>
        <w:t>instrumento notarial</w:t>
      </w:r>
      <w:r>
        <w:rPr>
          <w:rFonts w:ascii="Arial" w:hAnsi="Arial" w:cs="Arial"/>
          <w:bCs/>
          <w:iCs/>
          <w:sz w:val="28"/>
          <w:szCs w:val="28"/>
        </w:rPr>
        <w:t xml:space="preserve"> -que obra en copia certificada a fojas de la 59 a la 62</w:t>
      </w:r>
      <w:r>
        <w:rPr>
          <w:rStyle w:val="Refdenotaalpie"/>
          <w:rFonts w:ascii="Arial" w:hAnsi="Arial" w:cs="Arial"/>
          <w:bCs/>
          <w:iCs/>
          <w:sz w:val="28"/>
          <w:szCs w:val="28"/>
        </w:rPr>
        <w:footnoteReference w:id="13"/>
      </w:r>
      <w:r>
        <w:rPr>
          <w:rFonts w:ascii="Arial" w:hAnsi="Arial" w:cs="Arial"/>
          <w:bCs/>
          <w:iCs/>
          <w:sz w:val="28"/>
          <w:szCs w:val="28"/>
        </w:rPr>
        <w:t>-</w:t>
      </w:r>
      <w:r w:rsidRPr="00EE0CBB">
        <w:rPr>
          <w:rFonts w:ascii="Arial" w:hAnsi="Arial" w:cs="Arial"/>
          <w:bCs/>
          <w:iCs/>
          <w:sz w:val="28"/>
          <w:szCs w:val="28"/>
        </w:rPr>
        <w:t xml:space="preserve"> en </w:t>
      </w:r>
      <w:r>
        <w:rPr>
          <w:rFonts w:ascii="Arial" w:hAnsi="Arial" w:cs="Arial"/>
          <w:bCs/>
          <w:iCs/>
          <w:sz w:val="28"/>
          <w:szCs w:val="28"/>
        </w:rPr>
        <w:t>el cual consta dicha adquisición.</w:t>
      </w:r>
    </w:p>
    <w:p w14:paraId="76CCFA16" w14:textId="0E7FDC7C" w:rsidR="00AD1B12" w:rsidRDefault="00AD1B12" w:rsidP="0044193A">
      <w:pPr>
        <w:spacing w:after="0" w:line="360" w:lineRule="auto"/>
        <w:ind w:left="709" w:hanging="283"/>
        <w:jc w:val="both"/>
        <w:rPr>
          <w:rFonts w:ascii="Arial" w:hAnsi="Arial" w:cs="Arial"/>
          <w:bCs/>
          <w:iCs/>
          <w:sz w:val="28"/>
          <w:szCs w:val="28"/>
        </w:rPr>
      </w:pPr>
      <w:r>
        <w:rPr>
          <w:rFonts w:ascii="Arial" w:hAnsi="Arial" w:cs="Arial"/>
          <w:bCs/>
          <w:iCs/>
          <w:sz w:val="28"/>
          <w:szCs w:val="28"/>
        </w:rPr>
        <w:t xml:space="preserve">2. El </w:t>
      </w:r>
      <w:r w:rsidRPr="002534C8">
        <w:rPr>
          <w:rFonts w:ascii="Arial" w:hAnsi="Arial" w:cs="Arial"/>
          <w:b/>
          <w:bCs/>
          <w:iCs/>
          <w:sz w:val="28"/>
          <w:szCs w:val="28"/>
        </w:rPr>
        <w:t>cinco de febrero de dos mil veinte</w:t>
      </w:r>
      <w:r>
        <w:rPr>
          <w:rFonts w:ascii="Arial" w:hAnsi="Arial" w:cs="Arial"/>
          <w:bCs/>
          <w:iCs/>
          <w:sz w:val="28"/>
          <w:szCs w:val="28"/>
        </w:rPr>
        <w:t xml:space="preserve"> se erogó la cantidad de </w:t>
      </w:r>
      <w:r w:rsidRPr="00EE0CBB">
        <w:rPr>
          <w:rFonts w:ascii="Arial" w:hAnsi="Arial" w:cs="Arial"/>
          <w:bCs/>
          <w:iCs/>
          <w:sz w:val="28"/>
          <w:szCs w:val="28"/>
        </w:rPr>
        <w:t>$</w:t>
      </w:r>
      <w:r w:rsidR="0050127A">
        <w:rPr>
          <w:rFonts w:ascii="Arial" w:hAnsi="Arial" w:cs="Arial"/>
          <w:bCs/>
          <w:iCs/>
          <w:color w:val="FF0000"/>
          <w:sz w:val="28"/>
          <w:szCs w:val="28"/>
        </w:rPr>
        <w:t>**********</w:t>
      </w:r>
      <w:r w:rsidRPr="00EE0CBB">
        <w:rPr>
          <w:rFonts w:ascii="Arial" w:hAnsi="Arial" w:cs="Arial"/>
          <w:bCs/>
          <w:iCs/>
          <w:sz w:val="28"/>
          <w:szCs w:val="28"/>
        </w:rPr>
        <w:t xml:space="preserve"> para obtener Licencia de Uso de Suelo</w:t>
      </w:r>
      <w:r>
        <w:rPr>
          <w:rFonts w:ascii="Arial" w:hAnsi="Arial" w:cs="Arial"/>
          <w:bCs/>
          <w:iCs/>
          <w:sz w:val="28"/>
          <w:szCs w:val="28"/>
        </w:rPr>
        <w:t xml:space="preserve"> </w:t>
      </w:r>
      <w:r w:rsidRPr="00EE0CBB">
        <w:rPr>
          <w:rFonts w:ascii="Arial" w:hAnsi="Arial" w:cs="Arial"/>
          <w:bCs/>
          <w:iCs/>
          <w:sz w:val="28"/>
          <w:szCs w:val="28"/>
        </w:rPr>
        <w:t>para Funcionamiento por parte de la Dirección de Desarrollo Urbano y</w:t>
      </w:r>
      <w:r>
        <w:rPr>
          <w:rFonts w:ascii="Arial" w:hAnsi="Arial" w:cs="Arial"/>
          <w:bCs/>
          <w:iCs/>
          <w:sz w:val="28"/>
          <w:szCs w:val="28"/>
        </w:rPr>
        <w:t xml:space="preserve"> </w:t>
      </w:r>
      <w:r w:rsidRPr="00EE0CBB">
        <w:rPr>
          <w:rFonts w:ascii="Arial" w:hAnsi="Arial" w:cs="Arial"/>
          <w:bCs/>
          <w:iCs/>
          <w:sz w:val="28"/>
          <w:szCs w:val="28"/>
        </w:rPr>
        <w:t>Catastro Municipal del Municipio de Soledad de Graciano Sánchez, San</w:t>
      </w:r>
      <w:r>
        <w:rPr>
          <w:rFonts w:ascii="Arial" w:hAnsi="Arial" w:cs="Arial"/>
          <w:bCs/>
          <w:iCs/>
          <w:sz w:val="28"/>
          <w:szCs w:val="28"/>
        </w:rPr>
        <w:t xml:space="preserve"> Luis Potosí (foja 54).</w:t>
      </w:r>
    </w:p>
    <w:p w14:paraId="30A30266" w14:textId="77777777" w:rsidR="00AD1B12" w:rsidRDefault="00AD1B12" w:rsidP="0044193A">
      <w:pPr>
        <w:spacing w:after="0" w:line="360" w:lineRule="auto"/>
        <w:ind w:left="709" w:hanging="283"/>
        <w:jc w:val="both"/>
        <w:rPr>
          <w:rFonts w:ascii="Arial" w:hAnsi="Arial" w:cs="Arial"/>
          <w:bCs/>
          <w:iCs/>
          <w:sz w:val="28"/>
          <w:szCs w:val="28"/>
        </w:rPr>
      </w:pPr>
      <w:r>
        <w:rPr>
          <w:rFonts w:ascii="Arial" w:hAnsi="Arial" w:cs="Arial"/>
          <w:bCs/>
          <w:iCs/>
          <w:sz w:val="28"/>
          <w:szCs w:val="28"/>
        </w:rPr>
        <w:t xml:space="preserve">3. </w:t>
      </w:r>
      <w:r w:rsidRPr="00EE0CBB">
        <w:rPr>
          <w:rFonts w:ascii="Arial" w:hAnsi="Arial" w:cs="Arial"/>
          <w:bCs/>
          <w:iCs/>
          <w:sz w:val="28"/>
          <w:szCs w:val="28"/>
        </w:rPr>
        <w:t xml:space="preserve">No obstante </w:t>
      </w:r>
      <w:r>
        <w:rPr>
          <w:rFonts w:ascii="Arial" w:hAnsi="Arial" w:cs="Arial"/>
          <w:bCs/>
          <w:iCs/>
          <w:sz w:val="28"/>
          <w:szCs w:val="28"/>
        </w:rPr>
        <w:t xml:space="preserve">haber efectuado el pago de </w:t>
      </w:r>
      <w:r w:rsidRPr="00EE0CBB">
        <w:rPr>
          <w:rFonts w:ascii="Arial" w:hAnsi="Arial" w:cs="Arial"/>
          <w:bCs/>
          <w:iCs/>
          <w:sz w:val="28"/>
          <w:szCs w:val="28"/>
        </w:rPr>
        <w:t>derechos</w:t>
      </w:r>
      <w:r>
        <w:rPr>
          <w:rFonts w:ascii="Arial" w:hAnsi="Arial" w:cs="Arial"/>
          <w:bCs/>
          <w:iCs/>
          <w:sz w:val="28"/>
          <w:szCs w:val="28"/>
        </w:rPr>
        <w:t xml:space="preserve"> </w:t>
      </w:r>
      <w:r w:rsidRPr="00EE0CBB">
        <w:rPr>
          <w:rFonts w:ascii="Arial" w:hAnsi="Arial" w:cs="Arial"/>
          <w:bCs/>
          <w:iCs/>
          <w:sz w:val="28"/>
          <w:szCs w:val="28"/>
        </w:rPr>
        <w:t>por</w:t>
      </w:r>
      <w:r>
        <w:rPr>
          <w:rFonts w:ascii="Arial" w:hAnsi="Arial" w:cs="Arial"/>
          <w:bCs/>
          <w:iCs/>
          <w:sz w:val="28"/>
          <w:szCs w:val="28"/>
        </w:rPr>
        <w:t xml:space="preserve"> </w:t>
      </w:r>
      <w:r w:rsidRPr="00EE0CBB">
        <w:rPr>
          <w:rFonts w:ascii="Arial" w:hAnsi="Arial" w:cs="Arial"/>
          <w:bCs/>
          <w:iCs/>
          <w:sz w:val="28"/>
          <w:szCs w:val="28"/>
        </w:rPr>
        <w:t>la emisión</w:t>
      </w:r>
      <w:r>
        <w:rPr>
          <w:rFonts w:ascii="Arial" w:hAnsi="Arial" w:cs="Arial"/>
          <w:bCs/>
          <w:iCs/>
          <w:sz w:val="28"/>
          <w:szCs w:val="28"/>
        </w:rPr>
        <w:t xml:space="preserve"> </w:t>
      </w:r>
      <w:r w:rsidRPr="00EE0CBB">
        <w:rPr>
          <w:rFonts w:ascii="Arial" w:hAnsi="Arial" w:cs="Arial"/>
          <w:bCs/>
          <w:iCs/>
          <w:sz w:val="28"/>
          <w:szCs w:val="28"/>
        </w:rPr>
        <w:t>de</w:t>
      </w:r>
      <w:r>
        <w:rPr>
          <w:rFonts w:ascii="Arial" w:hAnsi="Arial" w:cs="Arial"/>
          <w:bCs/>
          <w:iCs/>
          <w:sz w:val="28"/>
          <w:szCs w:val="28"/>
        </w:rPr>
        <w:t xml:space="preserve"> </w:t>
      </w:r>
      <w:r w:rsidRPr="00EE0CBB">
        <w:rPr>
          <w:rFonts w:ascii="Arial" w:hAnsi="Arial" w:cs="Arial"/>
          <w:bCs/>
          <w:iCs/>
          <w:sz w:val="28"/>
          <w:szCs w:val="28"/>
        </w:rPr>
        <w:t>la</w:t>
      </w:r>
      <w:r>
        <w:rPr>
          <w:rFonts w:ascii="Arial" w:hAnsi="Arial" w:cs="Arial"/>
          <w:bCs/>
          <w:iCs/>
          <w:sz w:val="28"/>
          <w:szCs w:val="28"/>
        </w:rPr>
        <w:t xml:space="preserve"> </w:t>
      </w:r>
      <w:r w:rsidRPr="00EE0CBB">
        <w:rPr>
          <w:rFonts w:ascii="Arial" w:hAnsi="Arial" w:cs="Arial"/>
          <w:bCs/>
          <w:iCs/>
          <w:sz w:val="28"/>
          <w:szCs w:val="28"/>
        </w:rPr>
        <w:t>Licencia</w:t>
      </w:r>
      <w:r>
        <w:rPr>
          <w:rFonts w:ascii="Arial" w:hAnsi="Arial" w:cs="Arial"/>
          <w:bCs/>
          <w:iCs/>
          <w:sz w:val="28"/>
          <w:szCs w:val="28"/>
        </w:rPr>
        <w:t xml:space="preserve"> </w:t>
      </w:r>
      <w:r w:rsidRPr="00EE0CBB">
        <w:rPr>
          <w:rFonts w:ascii="Arial" w:hAnsi="Arial" w:cs="Arial"/>
          <w:bCs/>
          <w:iCs/>
          <w:sz w:val="28"/>
          <w:szCs w:val="28"/>
        </w:rPr>
        <w:t>de</w:t>
      </w:r>
      <w:r>
        <w:rPr>
          <w:rFonts w:ascii="Arial" w:hAnsi="Arial" w:cs="Arial"/>
          <w:bCs/>
          <w:iCs/>
          <w:sz w:val="28"/>
          <w:szCs w:val="28"/>
        </w:rPr>
        <w:t xml:space="preserve"> </w:t>
      </w:r>
      <w:r w:rsidRPr="00EE0CBB">
        <w:rPr>
          <w:rFonts w:ascii="Arial" w:hAnsi="Arial" w:cs="Arial"/>
          <w:bCs/>
          <w:iCs/>
          <w:sz w:val="28"/>
          <w:szCs w:val="28"/>
        </w:rPr>
        <w:t>Uso</w:t>
      </w:r>
      <w:r>
        <w:rPr>
          <w:rFonts w:ascii="Arial" w:hAnsi="Arial" w:cs="Arial"/>
          <w:bCs/>
          <w:iCs/>
          <w:sz w:val="28"/>
          <w:szCs w:val="28"/>
        </w:rPr>
        <w:t xml:space="preserve"> </w:t>
      </w:r>
      <w:r w:rsidRPr="00EE0CBB">
        <w:rPr>
          <w:rFonts w:ascii="Arial" w:hAnsi="Arial" w:cs="Arial"/>
          <w:bCs/>
          <w:iCs/>
          <w:sz w:val="28"/>
          <w:szCs w:val="28"/>
        </w:rPr>
        <w:t>de</w:t>
      </w:r>
      <w:r>
        <w:rPr>
          <w:rFonts w:ascii="Arial" w:hAnsi="Arial" w:cs="Arial"/>
          <w:bCs/>
          <w:iCs/>
          <w:sz w:val="28"/>
          <w:szCs w:val="28"/>
        </w:rPr>
        <w:t xml:space="preserve"> </w:t>
      </w:r>
      <w:r w:rsidRPr="00EE0CBB">
        <w:rPr>
          <w:rFonts w:ascii="Arial" w:hAnsi="Arial" w:cs="Arial"/>
          <w:bCs/>
          <w:iCs/>
          <w:sz w:val="28"/>
          <w:szCs w:val="28"/>
        </w:rPr>
        <w:t>Suelo</w:t>
      </w:r>
      <w:r>
        <w:rPr>
          <w:rFonts w:ascii="Arial" w:hAnsi="Arial" w:cs="Arial"/>
          <w:bCs/>
          <w:iCs/>
          <w:sz w:val="28"/>
          <w:szCs w:val="28"/>
        </w:rPr>
        <w:t xml:space="preserve"> </w:t>
      </w:r>
      <w:r w:rsidRPr="00EE0CBB">
        <w:rPr>
          <w:rFonts w:ascii="Arial" w:hAnsi="Arial" w:cs="Arial"/>
          <w:bCs/>
          <w:iCs/>
          <w:sz w:val="28"/>
          <w:szCs w:val="28"/>
        </w:rPr>
        <w:t>para</w:t>
      </w:r>
      <w:r>
        <w:rPr>
          <w:rFonts w:ascii="Arial" w:hAnsi="Arial" w:cs="Arial"/>
          <w:bCs/>
          <w:iCs/>
          <w:sz w:val="28"/>
          <w:szCs w:val="28"/>
        </w:rPr>
        <w:t xml:space="preserve"> </w:t>
      </w:r>
      <w:r w:rsidRPr="00EE0CBB">
        <w:rPr>
          <w:rFonts w:ascii="Arial" w:hAnsi="Arial" w:cs="Arial"/>
          <w:bCs/>
          <w:iCs/>
          <w:sz w:val="28"/>
          <w:szCs w:val="28"/>
        </w:rPr>
        <w:t xml:space="preserve">Funcionamiento la misma no </w:t>
      </w:r>
      <w:r>
        <w:rPr>
          <w:rFonts w:ascii="Arial" w:hAnsi="Arial" w:cs="Arial"/>
          <w:bCs/>
          <w:iCs/>
          <w:sz w:val="28"/>
          <w:szCs w:val="28"/>
        </w:rPr>
        <w:t xml:space="preserve">fue emitida, por lo que el </w:t>
      </w:r>
      <w:r w:rsidRPr="00885CE3">
        <w:rPr>
          <w:rFonts w:ascii="Arial" w:hAnsi="Arial" w:cs="Arial"/>
          <w:b/>
          <w:bCs/>
          <w:iCs/>
          <w:sz w:val="28"/>
          <w:szCs w:val="28"/>
        </w:rPr>
        <w:t>veintiocho de febrero de dos mil veinte</w:t>
      </w:r>
      <w:r w:rsidRPr="00EE0CBB">
        <w:rPr>
          <w:rFonts w:ascii="Arial" w:hAnsi="Arial" w:cs="Arial"/>
          <w:bCs/>
          <w:iCs/>
          <w:sz w:val="28"/>
          <w:szCs w:val="28"/>
        </w:rPr>
        <w:t>, se solicitó la autorización de dicha Licencia para el predio</w:t>
      </w:r>
      <w:r>
        <w:rPr>
          <w:rFonts w:ascii="Arial" w:hAnsi="Arial" w:cs="Arial"/>
          <w:bCs/>
          <w:iCs/>
          <w:sz w:val="28"/>
          <w:szCs w:val="28"/>
        </w:rPr>
        <w:t xml:space="preserve"> objeto de Litis.</w:t>
      </w:r>
    </w:p>
    <w:p w14:paraId="789FC5D0" w14:textId="06EC5F9F" w:rsidR="00AD1B12" w:rsidRDefault="00AD1B12" w:rsidP="0044193A">
      <w:pPr>
        <w:spacing w:after="0" w:line="360" w:lineRule="auto"/>
        <w:ind w:left="709" w:hanging="283"/>
        <w:jc w:val="both"/>
        <w:rPr>
          <w:rFonts w:ascii="Arial" w:hAnsi="Arial" w:cs="Arial"/>
          <w:bCs/>
          <w:iCs/>
          <w:sz w:val="28"/>
          <w:szCs w:val="28"/>
        </w:rPr>
      </w:pPr>
      <w:r>
        <w:rPr>
          <w:rFonts w:ascii="Arial" w:hAnsi="Arial" w:cs="Arial"/>
          <w:bCs/>
          <w:iCs/>
          <w:sz w:val="28"/>
          <w:szCs w:val="28"/>
        </w:rPr>
        <w:t xml:space="preserve">4. </w:t>
      </w:r>
      <w:r w:rsidRPr="00EE0CBB">
        <w:rPr>
          <w:rFonts w:ascii="Arial" w:hAnsi="Arial" w:cs="Arial"/>
          <w:bCs/>
          <w:iCs/>
          <w:sz w:val="28"/>
          <w:szCs w:val="28"/>
        </w:rPr>
        <w:t>Mediante</w:t>
      </w:r>
      <w:r>
        <w:rPr>
          <w:rFonts w:ascii="Arial" w:hAnsi="Arial" w:cs="Arial"/>
          <w:bCs/>
          <w:iCs/>
          <w:sz w:val="28"/>
          <w:szCs w:val="28"/>
        </w:rPr>
        <w:t xml:space="preserve"> </w:t>
      </w:r>
      <w:r w:rsidRPr="00EE0CBB">
        <w:rPr>
          <w:rFonts w:ascii="Arial" w:hAnsi="Arial" w:cs="Arial"/>
          <w:bCs/>
          <w:iCs/>
          <w:sz w:val="28"/>
          <w:szCs w:val="28"/>
        </w:rPr>
        <w:t>resolución</w:t>
      </w:r>
      <w:r>
        <w:rPr>
          <w:rFonts w:ascii="Arial" w:hAnsi="Arial" w:cs="Arial"/>
          <w:bCs/>
          <w:iCs/>
          <w:sz w:val="28"/>
          <w:szCs w:val="28"/>
        </w:rPr>
        <w:t xml:space="preserve"> </w:t>
      </w:r>
      <w:r w:rsidRPr="00EE0CBB">
        <w:rPr>
          <w:rFonts w:ascii="Arial" w:hAnsi="Arial" w:cs="Arial"/>
          <w:bCs/>
          <w:iCs/>
          <w:sz w:val="28"/>
          <w:szCs w:val="28"/>
        </w:rPr>
        <w:t>contenida</w:t>
      </w:r>
      <w:r>
        <w:rPr>
          <w:rFonts w:ascii="Arial" w:hAnsi="Arial" w:cs="Arial"/>
          <w:bCs/>
          <w:iCs/>
          <w:sz w:val="28"/>
          <w:szCs w:val="28"/>
        </w:rPr>
        <w:t xml:space="preserve"> </w:t>
      </w:r>
      <w:r w:rsidRPr="00EE0CBB">
        <w:rPr>
          <w:rFonts w:ascii="Arial" w:hAnsi="Arial" w:cs="Arial"/>
          <w:bCs/>
          <w:iCs/>
          <w:sz w:val="28"/>
          <w:szCs w:val="28"/>
        </w:rPr>
        <w:t>en</w:t>
      </w:r>
      <w:r>
        <w:rPr>
          <w:rFonts w:ascii="Arial" w:hAnsi="Arial" w:cs="Arial"/>
          <w:bCs/>
          <w:iCs/>
          <w:sz w:val="28"/>
          <w:szCs w:val="28"/>
        </w:rPr>
        <w:t xml:space="preserve"> </w:t>
      </w:r>
      <w:r w:rsidRPr="00EE0CBB">
        <w:rPr>
          <w:rFonts w:ascii="Arial" w:hAnsi="Arial" w:cs="Arial"/>
          <w:bCs/>
          <w:iCs/>
          <w:sz w:val="28"/>
          <w:szCs w:val="28"/>
        </w:rPr>
        <w:t>el</w:t>
      </w:r>
      <w:r>
        <w:rPr>
          <w:rFonts w:ascii="Arial" w:hAnsi="Arial" w:cs="Arial"/>
          <w:bCs/>
          <w:iCs/>
          <w:sz w:val="28"/>
          <w:szCs w:val="28"/>
        </w:rPr>
        <w:t xml:space="preserve"> </w:t>
      </w:r>
      <w:r w:rsidRPr="00EE0CBB">
        <w:rPr>
          <w:rFonts w:ascii="Arial" w:hAnsi="Arial" w:cs="Arial"/>
          <w:bCs/>
          <w:iCs/>
          <w:sz w:val="28"/>
          <w:szCs w:val="28"/>
        </w:rPr>
        <w:t>oficio</w:t>
      </w:r>
      <w:r>
        <w:rPr>
          <w:rFonts w:ascii="Arial" w:hAnsi="Arial" w:cs="Arial"/>
          <w:bCs/>
          <w:iCs/>
          <w:sz w:val="28"/>
          <w:szCs w:val="28"/>
        </w:rPr>
        <w:t xml:space="preserve"> </w:t>
      </w:r>
      <w:r w:rsidR="0050127A">
        <w:rPr>
          <w:rFonts w:ascii="Arial" w:hAnsi="Arial" w:cs="Arial"/>
          <w:bCs/>
          <w:iCs/>
          <w:color w:val="FF0000"/>
          <w:sz w:val="28"/>
          <w:szCs w:val="28"/>
        </w:rPr>
        <w:t>**********</w:t>
      </w:r>
      <w:r w:rsidRPr="00EE0CBB">
        <w:rPr>
          <w:rFonts w:ascii="Arial" w:hAnsi="Arial" w:cs="Arial"/>
          <w:bCs/>
          <w:iCs/>
          <w:sz w:val="28"/>
          <w:szCs w:val="28"/>
        </w:rPr>
        <w:t xml:space="preserve">de </w:t>
      </w:r>
      <w:r w:rsidRPr="002534C8">
        <w:rPr>
          <w:rFonts w:ascii="Arial" w:hAnsi="Arial" w:cs="Arial"/>
          <w:b/>
          <w:bCs/>
          <w:iCs/>
          <w:sz w:val="28"/>
          <w:szCs w:val="28"/>
        </w:rPr>
        <w:t>once de marzo de dos mil veinte</w:t>
      </w:r>
      <w:r>
        <w:rPr>
          <w:rFonts w:ascii="Arial" w:hAnsi="Arial" w:cs="Arial"/>
          <w:b/>
          <w:bCs/>
          <w:iCs/>
          <w:sz w:val="28"/>
          <w:szCs w:val="28"/>
        </w:rPr>
        <w:t xml:space="preserve"> </w:t>
      </w:r>
      <w:r w:rsidRPr="002534C8">
        <w:rPr>
          <w:rFonts w:ascii="Arial" w:hAnsi="Arial" w:cs="Arial"/>
          <w:bCs/>
          <w:iCs/>
          <w:sz w:val="28"/>
          <w:szCs w:val="28"/>
        </w:rPr>
        <w:t>(</w:t>
      </w:r>
      <w:r>
        <w:rPr>
          <w:rFonts w:ascii="Arial" w:hAnsi="Arial" w:cs="Arial"/>
          <w:bCs/>
          <w:iCs/>
          <w:sz w:val="28"/>
          <w:szCs w:val="28"/>
        </w:rPr>
        <w:t xml:space="preserve">foja 45), notificada el dieciocho </w:t>
      </w:r>
      <w:r w:rsidRPr="00EE0CBB">
        <w:rPr>
          <w:rFonts w:ascii="Arial" w:hAnsi="Arial" w:cs="Arial"/>
          <w:bCs/>
          <w:iCs/>
          <w:sz w:val="28"/>
          <w:szCs w:val="28"/>
        </w:rPr>
        <w:t xml:space="preserve">de mayo de </w:t>
      </w:r>
      <w:r>
        <w:rPr>
          <w:rFonts w:ascii="Arial" w:hAnsi="Arial" w:cs="Arial"/>
          <w:bCs/>
          <w:iCs/>
          <w:sz w:val="28"/>
          <w:szCs w:val="28"/>
        </w:rPr>
        <w:t>dos mil veinte</w:t>
      </w:r>
      <w:r w:rsidRPr="00EE0CBB">
        <w:rPr>
          <w:rFonts w:ascii="Arial" w:hAnsi="Arial" w:cs="Arial"/>
          <w:bCs/>
          <w:iCs/>
          <w:sz w:val="28"/>
          <w:szCs w:val="28"/>
        </w:rPr>
        <w:t>, el Director de Desarrollo Urbano</w:t>
      </w:r>
      <w:r>
        <w:rPr>
          <w:rFonts w:ascii="Arial" w:hAnsi="Arial" w:cs="Arial"/>
          <w:bCs/>
          <w:iCs/>
          <w:sz w:val="28"/>
          <w:szCs w:val="28"/>
        </w:rPr>
        <w:t xml:space="preserve"> </w:t>
      </w:r>
      <w:r w:rsidRPr="00EE0CBB">
        <w:rPr>
          <w:rFonts w:ascii="Arial" w:hAnsi="Arial" w:cs="Arial"/>
          <w:bCs/>
          <w:iCs/>
          <w:sz w:val="28"/>
          <w:szCs w:val="28"/>
        </w:rPr>
        <w:t>y Catastro Municipal del Municipio de Soledad de Graciano Sánchez, San</w:t>
      </w:r>
      <w:r>
        <w:rPr>
          <w:rFonts w:ascii="Arial" w:hAnsi="Arial" w:cs="Arial"/>
          <w:bCs/>
          <w:iCs/>
          <w:sz w:val="28"/>
          <w:szCs w:val="28"/>
        </w:rPr>
        <w:t xml:space="preserve"> </w:t>
      </w:r>
      <w:r w:rsidRPr="00EE0CBB">
        <w:rPr>
          <w:rFonts w:ascii="Arial" w:hAnsi="Arial" w:cs="Arial"/>
          <w:bCs/>
          <w:iCs/>
          <w:sz w:val="28"/>
          <w:szCs w:val="28"/>
        </w:rPr>
        <w:t>Luis Potosí, informó que no se autorizaba la Licencia de Uso de Suelo de</w:t>
      </w:r>
      <w:r>
        <w:rPr>
          <w:rFonts w:ascii="Arial" w:hAnsi="Arial" w:cs="Arial"/>
          <w:bCs/>
          <w:iCs/>
          <w:sz w:val="28"/>
          <w:szCs w:val="28"/>
        </w:rPr>
        <w:t xml:space="preserve"> </w:t>
      </w:r>
      <w:r w:rsidRPr="00EE0CBB">
        <w:rPr>
          <w:rFonts w:ascii="Arial" w:hAnsi="Arial" w:cs="Arial"/>
          <w:bCs/>
          <w:iCs/>
          <w:sz w:val="28"/>
          <w:szCs w:val="28"/>
        </w:rPr>
        <w:t>Funcionamiento para Granja Avícola, en vi</w:t>
      </w:r>
      <w:r>
        <w:rPr>
          <w:rFonts w:ascii="Arial" w:hAnsi="Arial" w:cs="Arial"/>
          <w:bCs/>
          <w:iCs/>
          <w:sz w:val="28"/>
          <w:szCs w:val="28"/>
        </w:rPr>
        <w:t xml:space="preserve">rtud de que no era factible en un “Área Silvestre” con </w:t>
      </w:r>
      <w:r w:rsidRPr="00EE0CBB">
        <w:rPr>
          <w:rFonts w:ascii="Arial" w:hAnsi="Arial" w:cs="Arial"/>
          <w:bCs/>
          <w:iCs/>
          <w:sz w:val="28"/>
          <w:szCs w:val="28"/>
        </w:rPr>
        <w:t xml:space="preserve">base en el Anexo 2 de las normas de Uso de Suelo vigentes, </w:t>
      </w:r>
      <w:r>
        <w:rPr>
          <w:rFonts w:ascii="Arial" w:hAnsi="Arial" w:cs="Arial"/>
          <w:bCs/>
          <w:iCs/>
          <w:sz w:val="28"/>
          <w:szCs w:val="28"/>
        </w:rPr>
        <w:t xml:space="preserve">de conformidad con el </w:t>
      </w:r>
      <w:r w:rsidRPr="00EE0CBB">
        <w:rPr>
          <w:rFonts w:ascii="Arial" w:hAnsi="Arial" w:cs="Arial"/>
          <w:bCs/>
          <w:iCs/>
          <w:sz w:val="28"/>
          <w:szCs w:val="28"/>
        </w:rPr>
        <w:t>Plan del Centro de Población Estratégico San Luis Potosí - Soledad de</w:t>
      </w:r>
      <w:r>
        <w:rPr>
          <w:rFonts w:ascii="Arial" w:hAnsi="Arial" w:cs="Arial"/>
          <w:bCs/>
          <w:iCs/>
          <w:sz w:val="28"/>
          <w:szCs w:val="28"/>
        </w:rPr>
        <w:t xml:space="preserve"> Graciano Sánchez.</w:t>
      </w:r>
    </w:p>
    <w:p w14:paraId="2474B6B3" w14:textId="560CAE4B" w:rsidR="00AD1B12" w:rsidRDefault="00AD1B12" w:rsidP="0044193A">
      <w:pPr>
        <w:spacing w:after="0" w:line="360" w:lineRule="auto"/>
        <w:ind w:left="709" w:hanging="283"/>
        <w:jc w:val="both"/>
        <w:rPr>
          <w:rFonts w:ascii="Arial" w:hAnsi="Arial" w:cs="Arial"/>
          <w:sz w:val="28"/>
          <w:szCs w:val="28"/>
        </w:rPr>
      </w:pPr>
      <w:r>
        <w:rPr>
          <w:rFonts w:ascii="Arial" w:hAnsi="Arial" w:cs="Arial"/>
          <w:bCs/>
          <w:iCs/>
          <w:sz w:val="28"/>
          <w:szCs w:val="28"/>
        </w:rPr>
        <w:t xml:space="preserve">5. </w:t>
      </w:r>
      <w:r w:rsidRPr="00EE0CBB">
        <w:rPr>
          <w:rFonts w:ascii="Arial" w:hAnsi="Arial" w:cs="Arial"/>
          <w:bCs/>
          <w:iCs/>
          <w:sz w:val="28"/>
          <w:szCs w:val="28"/>
        </w:rPr>
        <w:t xml:space="preserve">Mediante orden de inspección </w:t>
      </w:r>
      <w:r>
        <w:rPr>
          <w:rFonts w:ascii="Arial" w:hAnsi="Arial" w:cs="Arial"/>
          <w:bCs/>
          <w:iCs/>
          <w:sz w:val="28"/>
          <w:szCs w:val="28"/>
        </w:rPr>
        <w:t xml:space="preserve">número </w:t>
      </w:r>
      <w:r w:rsidRPr="00EE0CBB">
        <w:rPr>
          <w:rFonts w:ascii="Arial" w:hAnsi="Arial" w:cs="Arial"/>
          <w:bCs/>
          <w:iCs/>
          <w:sz w:val="28"/>
          <w:szCs w:val="28"/>
        </w:rPr>
        <w:t xml:space="preserve">022, de </w:t>
      </w:r>
      <w:r w:rsidRPr="00FD2A12">
        <w:rPr>
          <w:rFonts w:ascii="Arial" w:hAnsi="Arial" w:cs="Arial"/>
          <w:b/>
          <w:bCs/>
          <w:iCs/>
          <w:sz w:val="28"/>
          <w:szCs w:val="28"/>
        </w:rPr>
        <w:t>quince de junio de dos mil veinte</w:t>
      </w:r>
      <w:r w:rsidRPr="00EE0CBB">
        <w:rPr>
          <w:rFonts w:ascii="Arial" w:hAnsi="Arial" w:cs="Arial"/>
          <w:bCs/>
          <w:iCs/>
          <w:sz w:val="28"/>
          <w:szCs w:val="28"/>
        </w:rPr>
        <w:t>, la Directora de Comercio del Municipio de Soledad de</w:t>
      </w:r>
      <w:r>
        <w:rPr>
          <w:rFonts w:ascii="Arial" w:hAnsi="Arial" w:cs="Arial"/>
          <w:bCs/>
          <w:iCs/>
          <w:sz w:val="28"/>
          <w:szCs w:val="28"/>
        </w:rPr>
        <w:t xml:space="preserve"> </w:t>
      </w:r>
      <w:r w:rsidRPr="00EE0CBB">
        <w:rPr>
          <w:rFonts w:ascii="Arial" w:hAnsi="Arial" w:cs="Arial"/>
          <w:bCs/>
          <w:iCs/>
          <w:sz w:val="28"/>
          <w:szCs w:val="28"/>
        </w:rPr>
        <w:t>Graciano Sánchez, San Luis Potosí, ordenó la práctica de una visita de</w:t>
      </w:r>
      <w:r>
        <w:rPr>
          <w:rFonts w:ascii="Arial" w:hAnsi="Arial" w:cs="Arial"/>
          <w:bCs/>
          <w:iCs/>
          <w:sz w:val="28"/>
          <w:szCs w:val="28"/>
        </w:rPr>
        <w:t xml:space="preserve"> </w:t>
      </w:r>
      <w:r w:rsidRPr="00EE0CBB">
        <w:rPr>
          <w:rFonts w:ascii="Arial" w:hAnsi="Arial" w:cs="Arial"/>
          <w:bCs/>
          <w:iCs/>
          <w:sz w:val="28"/>
          <w:szCs w:val="28"/>
        </w:rPr>
        <w:t xml:space="preserve">inspección en </w:t>
      </w:r>
      <w:r w:rsidRPr="00EE0CBB">
        <w:rPr>
          <w:rFonts w:ascii="Arial" w:hAnsi="Arial" w:cs="Arial"/>
          <w:bCs/>
          <w:iCs/>
          <w:sz w:val="28"/>
          <w:szCs w:val="28"/>
        </w:rPr>
        <w:lastRenderedPageBreak/>
        <w:t xml:space="preserve">el inmueble ubicado en </w:t>
      </w:r>
      <w:r w:rsidR="0050127A">
        <w:rPr>
          <w:rFonts w:ascii="Arial" w:hAnsi="Arial" w:cs="Arial"/>
          <w:bCs/>
          <w:iCs/>
          <w:color w:val="FF0000"/>
          <w:sz w:val="28"/>
          <w:szCs w:val="28"/>
        </w:rPr>
        <w:t>**********</w:t>
      </w:r>
      <w:r w:rsidRPr="00EE0CBB">
        <w:rPr>
          <w:rFonts w:ascii="Arial" w:hAnsi="Arial" w:cs="Arial"/>
          <w:sz w:val="28"/>
          <w:szCs w:val="28"/>
        </w:rPr>
        <w:t xml:space="preserve">S.L.P. </w:t>
      </w:r>
      <w:r>
        <w:rPr>
          <w:rFonts w:ascii="Arial" w:hAnsi="Arial" w:cs="Arial"/>
          <w:sz w:val="28"/>
          <w:szCs w:val="28"/>
        </w:rPr>
        <w:t>-</w:t>
      </w:r>
      <w:r w:rsidRPr="00EE0CBB">
        <w:rPr>
          <w:rFonts w:ascii="Arial" w:hAnsi="Arial" w:cs="Arial"/>
          <w:sz w:val="28"/>
          <w:szCs w:val="28"/>
        </w:rPr>
        <w:t xml:space="preserve">inmueble </w:t>
      </w:r>
      <w:r>
        <w:rPr>
          <w:rFonts w:ascii="Arial" w:hAnsi="Arial" w:cs="Arial"/>
          <w:sz w:val="28"/>
          <w:szCs w:val="28"/>
        </w:rPr>
        <w:t>del que trata la Litis- (foja 57)</w:t>
      </w:r>
      <w:r w:rsidRPr="00EE0CBB">
        <w:rPr>
          <w:rFonts w:ascii="Arial" w:hAnsi="Arial" w:cs="Arial"/>
          <w:sz w:val="28"/>
          <w:szCs w:val="28"/>
        </w:rPr>
        <w:t>.</w:t>
      </w:r>
      <w:r>
        <w:rPr>
          <w:rFonts w:ascii="Arial" w:hAnsi="Arial" w:cs="Arial"/>
          <w:sz w:val="28"/>
          <w:szCs w:val="28"/>
        </w:rPr>
        <w:t xml:space="preserve"> M</w:t>
      </w:r>
      <w:r w:rsidRPr="00EE0CBB">
        <w:rPr>
          <w:rFonts w:ascii="Arial" w:hAnsi="Arial" w:cs="Arial"/>
          <w:sz w:val="28"/>
          <w:szCs w:val="28"/>
        </w:rPr>
        <w:t>ediante Acta Circunstanciada de Aplicación de Medidas</w:t>
      </w:r>
      <w:r>
        <w:rPr>
          <w:rFonts w:ascii="Arial" w:hAnsi="Arial" w:cs="Arial"/>
          <w:sz w:val="28"/>
          <w:szCs w:val="28"/>
        </w:rPr>
        <w:t xml:space="preserve"> </w:t>
      </w:r>
      <w:r w:rsidRPr="00EE0CBB">
        <w:rPr>
          <w:rFonts w:ascii="Arial" w:hAnsi="Arial" w:cs="Arial"/>
          <w:sz w:val="28"/>
          <w:szCs w:val="28"/>
        </w:rPr>
        <w:t>de Seguridad, un visitador adscrito al Municipio de Soledad de Graciano</w:t>
      </w:r>
      <w:r>
        <w:rPr>
          <w:rFonts w:ascii="Arial" w:hAnsi="Arial" w:cs="Arial"/>
          <w:sz w:val="28"/>
          <w:szCs w:val="28"/>
        </w:rPr>
        <w:t xml:space="preserve"> </w:t>
      </w:r>
      <w:r w:rsidRPr="00EE0CBB">
        <w:rPr>
          <w:rFonts w:ascii="Arial" w:hAnsi="Arial" w:cs="Arial"/>
          <w:sz w:val="28"/>
          <w:szCs w:val="28"/>
        </w:rPr>
        <w:t>Sánchez, San Luis Potosí, proced</w:t>
      </w:r>
      <w:r>
        <w:rPr>
          <w:rFonts w:ascii="Arial" w:hAnsi="Arial" w:cs="Arial"/>
          <w:sz w:val="28"/>
          <w:szCs w:val="28"/>
        </w:rPr>
        <w:t xml:space="preserve">ió a clausurar el inmueble </w:t>
      </w:r>
      <w:r w:rsidRPr="00EE0CBB">
        <w:rPr>
          <w:rFonts w:ascii="Arial" w:hAnsi="Arial" w:cs="Arial"/>
          <w:sz w:val="28"/>
          <w:szCs w:val="28"/>
        </w:rPr>
        <w:t xml:space="preserve">ubicado </w:t>
      </w:r>
      <w:r w:rsidR="0050127A">
        <w:rPr>
          <w:rFonts w:ascii="Arial" w:hAnsi="Arial" w:cs="Arial"/>
          <w:color w:val="FF0000"/>
          <w:sz w:val="28"/>
          <w:szCs w:val="28"/>
        </w:rPr>
        <w:t>**********</w:t>
      </w:r>
      <w:r w:rsidRPr="00EE0CBB">
        <w:rPr>
          <w:rFonts w:ascii="Arial" w:hAnsi="Arial" w:cs="Arial"/>
          <w:sz w:val="28"/>
          <w:szCs w:val="28"/>
        </w:rPr>
        <w:t>, al considerar</w:t>
      </w:r>
      <w:r>
        <w:rPr>
          <w:rFonts w:ascii="Arial" w:hAnsi="Arial" w:cs="Arial"/>
          <w:sz w:val="28"/>
          <w:szCs w:val="28"/>
        </w:rPr>
        <w:t xml:space="preserve"> se habían detectado infracciones al Reglamento de Actividades Comerciales y Servicios del Municipio de Soledad de Graciano Sánchez, específicamente se alcanza a leer que no contaba con licencia de funcionamiento expedida por la Dirección e Comercio de dicho Municipio, así como sus respectivos permisos de publicidad (foja 55)</w:t>
      </w:r>
      <w:r w:rsidRPr="00EE0CBB">
        <w:rPr>
          <w:rFonts w:ascii="Arial" w:hAnsi="Arial" w:cs="Arial"/>
          <w:sz w:val="28"/>
          <w:szCs w:val="28"/>
        </w:rPr>
        <w:t>.</w:t>
      </w:r>
      <w:r>
        <w:rPr>
          <w:rStyle w:val="Refdenotaalpie"/>
          <w:rFonts w:ascii="Arial" w:hAnsi="Arial" w:cs="Arial"/>
          <w:sz w:val="28"/>
          <w:szCs w:val="28"/>
        </w:rPr>
        <w:footnoteReference w:id="14"/>
      </w:r>
    </w:p>
    <w:p w14:paraId="2C91A780" w14:textId="4600E704" w:rsidR="00AD1B12" w:rsidRDefault="00AD1B12" w:rsidP="0044193A">
      <w:pPr>
        <w:spacing w:after="0" w:line="360" w:lineRule="auto"/>
        <w:ind w:left="709" w:hanging="283"/>
        <w:jc w:val="both"/>
        <w:rPr>
          <w:rFonts w:ascii="Arial" w:hAnsi="Arial" w:cs="Arial"/>
          <w:sz w:val="28"/>
          <w:szCs w:val="28"/>
        </w:rPr>
      </w:pPr>
      <w:r>
        <w:rPr>
          <w:rFonts w:ascii="Arial" w:hAnsi="Arial" w:cs="Arial"/>
          <w:sz w:val="28"/>
          <w:szCs w:val="28"/>
        </w:rPr>
        <w:t>6. El</w:t>
      </w:r>
      <w:r w:rsidRPr="00EE0CBB">
        <w:rPr>
          <w:rFonts w:ascii="Arial" w:hAnsi="Arial" w:cs="Arial"/>
          <w:sz w:val="28"/>
          <w:szCs w:val="28"/>
        </w:rPr>
        <w:t xml:space="preserve"> </w:t>
      </w:r>
      <w:r w:rsidRPr="00E93AF9">
        <w:rPr>
          <w:rFonts w:ascii="Arial" w:hAnsi="Arial" w:cs="Arial"/>
          <w:b/>
          <w:sz w:val="28"/>
          <w:szCs w:val="28"/>
        </w:rPr>
        <w:t xml:space="preserve">dieciséis de junio </w:t>
      </w:r>
      <w:r>
        <w:rPr>
          <w:rFonts w:ascii="Arial" w:hAnsi="Arial" w:cs="Arial"/>
          <w:b/>
          <w:sz w:val="28"/>
          <w:szCs w:val="28"/>
        </w:rPr>
        <w:t>siguiente</w:t>
      </w:r>
      <w:r>
        <w:rPr>
          <w:rFonts w:ascii="Arial" w:hAnsi="Arial" w:cs="Arial"/>
          <w:sz w:val="28"/>
          <w:szCs w:val="28"/>
        </w:rPr>
        <w:t xml:space="preserve"> se procedió a celebrar “Convenio de Reconocimiento de </w:t>
      </w:r>
      <w:r w:rsidRPr="00EE0CBB">
        <w:rPr>
          <w:rFonts w:ascii="Arial" w:hAnsi="Arial" w:cs="Arial"/>
          <w:sz w:val="28"/>
          <w:szCs w:val="28"/>
        </w:rPr>
        <w:t>Obligación</w:t>
      </w:r>
      <w:r>
        <w:rPr>
          <w:rFonts w:ascii="Arial" w:hAnsi="Arial" w:cs="Arial"/>
          <w:sz w:val="28"/>
          <w:szCs w:val="28"/>
        </w:rPr>
        <w:t xml:space="preserve"> </w:t>
      </w:r>
      <w:r w:rsidRPr="00EE0CBB">
        <w:rPr>
          <w:rFonts w:ascii="Arial" w:hAnsi="Arial" w:cs="Arial"/>
          <w:sz w:val="28"/>
          <w:szCs w:val="28"/>
        </w:rPr>
        <w:t>de</w:t>
      </w:r>
      <w:r>
        <w:rPr>
          <w:rFonts w:ascii="Arial" w:hAnsi="Arial" w:cs="Arial"/>
          <w:sz w:val="28"/>
          <w:szCs w:val="28"/>
        </w:rPr>
        <w:t xml:space="preserve"> </w:t>
      </w:r>
      <w:r w:rsidRPr="00EE0CBB">
        <w:rPr>
          <w:rFonts w:ascii="Arial" w:hAnsi="Arial" w:cs="Arial"/>
          <w:sz w:val="28"/>
          <w:szCs w:val="28"/>
        </w:rPr>
        <w:t>Pago” con el Ayuntamiento de Soledad de Graciano</w:t>
      </w:r>
      <w:r>
        <w:rPr>
          <w:rFonts w:ascii="Arial" w:hAnsi="Arial" w:cs="Arial"/>
          <w:sz w:val="28"/>
          <w:szCs w:val="28"/>
        </w:rPr>
        <w:t xml:space="preserve"> Sánchez, San Luis Potosí (fojas 48 a 50), en el cual reconoció la</w:t>
      </w:r>
      <w:r w:rsidRPr="00EE0CBB">
        <w:rPr>
          <w:rFonts w:ascii="Arial" w:hAnsi="Arial" w:cs="Arial"/>
          <w:sz w:val="28"/>
          <w:szCs w:val="28"/>
        </w:rPr>
        <w:t xml:space="preserve"> obligación de pago de derech</w:t>
      </w:r>
      <w:r>
        <w:rPr>
          <w:rFonts w:ascii="Arial" w:hAnsi="Arial" w:cs="Arial"/>
          <w:sz w:val="28"/>
          <w:szCs w:val="28"/>
        </w:rPr>
        <w:t xml:space="preserve">os por la licencia </w:t>
      </w:r>
      <w:r w:rsidRPr="00EE0CBB">
        <w:rPr>
          <w:rFonts w:ascii="Arial" w:hAnsi="Arial" w:cs="Arial"/>
          <w:sz w:val="28"/>
          <w:szCs w:val="28"/>
        </w:rPr>
        <w:t>de cambio de uso de suelo y el pago de refrendo de la licencia de</w:t>
      </w:r>
      <w:r>
        <w:rPr>
          <w:rFonts w:ascii="Arial" w:hAnsi="Arial" w:cs="Arial"/>
          <w:sz w:val="28"/>
          <w:szCs w:val="28"/>
        </w:rPr>
        <w:t xml:space="preserve"> </w:t>
      </w:r>
      <w:r w:rsidRPr="00EE0CBB">
        <w:rPr>
          <w:rFonts w:ascii="Arial" w:hAnsi="Arial" w:cs="Arial"/>
          <w:sz w:val="28"/>
          <w:szCs w:val="28"/>
        </w:rPr>
        <w:t xml:space="preserve">funcionamiento correspondiente al año </w:t>
      </w:r>
      <w:r>
        <w:rPr>
          <w:rFonts w:ascii="Arial" w:hAnsi="Arial" w:cs="Arial"/>
          <w:sz w:val="28"/>
          <w:szCs w:val="28"/>
        </w:rPr>
        <w:t xml:space="preserve">dos mil veinte y multa, comprometiéndose al pago de </w:t>
      </w:r>
      <w:r w:rsidRPr="00EE0CBB">
        <w:rPr>
          <w:rFonts w:ascii="Arial" w:hAnsi="Arial" w:cs="Arial"/>
          <w:sz w:val="28"/>
          <w:szCs w:val="28"/>
        </w:rPr>
        <w:t>la</w:t>
      </w:r>
      <w:r>
        <w:rPr>
          <w:rFonts w:ascii="Arial" w:hAnsi="Arial" w:cs="Arial"/>
          <w:sz w:val="28"/>
          <w:szCs w:val="28"/>
        </w:rPr>
        <w:t xml:space="preserve"> </w:t>
      </w:r>
      <w:r w:rsidRPr="00EE0CBB">
        <w:rPr>
          <w:rFonts w:ascii="Arial" w:hAnsi="Arial" w:cs="Arial"/>
          <w:sz w:val="28"/>
          <w:szCs w:val="28"/>
        </w:rPr>
        <w:t>cantidad de $</w:t>
      </w:r>
      <w:r w:rsidR="0050127A">
        <w:rPr>
          <w:rFonts w:ascii="Arial" w:hAnsi="Arial" w:cs="Arial"/>
          <w:color w:val="FF0000"/>
          <w:sz w:val="28"/>
          <w:szCs w:val="28"/>
        </w:rPr>
        <w:t>**********</w:t>
      </w:r>
      <w:r w:rsidRPr="00EE0CBB">
        <w:rPr>
          <w:rFonts w:ascii="Arial" w:hAnsi="Arial" w:cs="Arial"/>
          <w:sz w:val="28"/>
          <w:szCs w:val="28"/>
        </w:rPr>
        <w:t xml:space="preserve"> por concepto de licencia de cambio de uso de</w:t>
      </w:r>
      <w:r>
        <w:rPr>
          <w:rFonts w:ascii="Arial" w:hAnsi="Arial" w:cs="Arial"/>
          <w:sz w:val="28"/>
          <w:szCs w:val="28"/>
        </w:rPr>
        <w:t xml:space="preserve"> </w:t>
      </w:r>
      <w:r w:rsidRPr="00EE0CBB">
        <w:rPr>
          <w:rFonts w:ascii="Arial" w:hAnsi="Arial" w:cs="Arial"/>
          <w:sz w:val="28"/>
          <w:szCs w:val="28"/>
        </w:rPr>
        <w:t xml:space="preserve">suelo, refrendo licencia de funcionamiento </w:t>
      </w:r>
      <w:r>
        <w:rPr>
          <w:rFonts w:ascii="Arial" w:hAnsi="Arial" w:cs="Arial"/>
          <w:sz w:val="28"/>
          <w:szCs w:val="28"/>
        </w:rPr>
        <w:t xml:space="preserve">dos mil veinte y multa, misma que llevaría a cabo el diecinueve de junio de la propia anualidad. Cumplido </w:t>
      </w:r>
      <w:r w:rsidRPr="00E93AF9">
        <w:rPr>
          <w:rFonts w:ascii="Arial" w:hAnsi="Arial" w:cs="Arial"/>
          <w:sz w:val="28"/>
          <w:szCs w:val="28"/>
        </w:rPr>
        <w:t>lo anterior, fue refrendada su licencia de funcionamiento p</w:t>
      </w:r>
      <w:r>
        <w:rPr>
          <w:rFonts w:ascii="Arial" w:hAnsi="Arial" w:cs="Arial"/>
          <w:sz w:val="28"/>
          <w:szCs w:val="28"/>
        </w:rPr>
        <w:t xml:space="preserve">ara el ejercicio fiscal de dos mil veinte, como se aprecia en el sello de documento respectivo </w:t>
      </w:r>
      <w:r w:rsidRPr="00E93AF9">
        <w:rPr>
          <w:rFonts w:ascii="Arial" w:hAnsi="Arial" w:cs="Arial"/>
          <w:sz w:val="28"/>
          <w:szCs w:val="28"/>
        </w:rPr>
        <w:t>(foja 58)</w:t>
      </w:r>
      <w:r>
        <w:rPr>
          <w:rFonts w:ascii="Arial" w:hAnsi="Arial" w:cs="Arial"/>
          <w:sz w:val="28"/>
          <w:szCs w:val="28"/>
        </w:rPr>
        <w:t>.</w:t>
      </w:r>
    </w:p>
    <w:p w14:paraId="6AD3B55C" w14:textId="77777777" w:rsidR="00AD1B12" w:rsidRDefault="00AD1B12" w:rsidP="0044193A">
      <w:pPr>
        <w:spacing w:after="0" w:line="360" w:lineRule="auto"/>
        <w:ind w:left="709" w:hanging="283"/>
        <w:jc w:val="both"/>
        <w:rPr>
          <w:rFonts w:ascii="Arial" w:hAnsi="Arial" w:cs="Arial"/>
          <w:sz w:val="28"/>
          <w:szCs w:val="28"/>
        </w:rPr>
      </w:pPr>
      <w:r>
        <w:rPr>
          <w:rFonts w:ascii="Arial" w:hAnsi="Arial" w:cs="Arial"/>
          <w:sz w:val="28"/>
          <w:szCs w:val="28"/>
        </w:rPr>
        <w:t xml:space="preserve">8. </w:t>
      </w:r>
      <w:r w:rsidRPr="00EE0CBB">
        <w:rPr>
          <w:rFonts w:ascii="Arial" w:hAnsi="Arial" w:cs="Arial"/>
          <w:sz w:val="28"/>
          <w:szCs w:val="28"/>
        </w:rPr>
        <w:t xml:space="preserve">En </w:t>
      </w:r>
      <w:r w:rsidRPr="00E93AF9">
        <w:rPr>
          <w:rFonts w:ascii="Arial" w:hAnsi="Arial" w:cs="Arial"/>
          <w:b/>
          <w:sz w:val="28"/>
          <w:szCs w:val="28"/>
        </w:rPr>
        <w:t>veintidós de junio de dos mil veinte</w:t>
      </w:r>
      <w:r>
        <w:rPr>
          <w:rFonts w:ascii="Arial" w:hAnsi="Arial" w:cs="Arial"/>
          <w:sz w:val="28"/>
          <w:szCs w:val="28"/>
        </w:rPr>
        <w:t xml:space="preserve"> se d</w:t>
      </w:r>
      <w:r w:rsidRPr="00EE0CBB">
        <w:rPr>
          <w:rFonts w:ascii="Arial" w:hAnsi="Arial" w:cs="Arial"/>
          <w:sz w:val="28"/>
          <w:szCs w:val="28"/>
        </w:rPr>
        <w:t>io</w:t>
      </w:r>
      <w:r>
        <w:rPr>
          <w:rFonts w:ascii="Arial" w:hAnsi="Arial" w:cs="Arial"/>
          <w:sz w:val="28"/>
          <w:szCs w:val="28"/>
        </w:rPr>
        <w:t xml:space="preserve"> </w:t>
      </w:r>
      <w:r w:rsidRPr="00EE0CBB">
        <w:rPr>
          <w:rFonts w:ascii="Arial" w:hAnsi="Arial" w:cs="Arial"/>
          <w:sz w:val="28"/>
          <w:szCs w:val="28"/>
        </w:rPr>
        <w:t>contestación en tiempo y forma legales al Acta Circunstanciada de</w:t>
      </w:r>
      <w:r>
        <w:rPr>
          <w:rFonts w:ascii="Arial" w:hAnsi="Arial" w:cs="Arial"/>
          <w:sz w:val="28"/>
          <w:szCs w:val="28"/>
        </w:rPr>
        <w:t xml:space="preserve"> Inspección número</w:t>
      </w:r>
      <w:r w:rsidRPr="00EE0CBB">
        <w:rPr>
          <w:rFonts w:ascii="Arial" w:hAnsi="Arial" w:cs="Arial"/>
          <w:sz w:val="28"/>
          <w:szCs w:val="28"/>
        </w:rPr>
        <w:t xml:space="preserve"> 22, así como al Acta Circunstanciada de Aplicación de</w:t>
      </w:r>
      <w:r>
        <w:rPr>
          <w:rFonts w:ascii="Arial" w:hAnsi="Arial" w:cs="Arial"/>
          <w:sz w:val="28"/>
          <w:szCs w:val="28"/>
        </w:rPr>
        <w:t xml:space="preserve"> </w:t>
      </w:r>
      <w:r w:rsidRPr="00EE0CBB">
        <w:rPr>
          <w:rFonts w:ascii="Arial" w:hAnsi="Arial" w:cs="Arial"/>
          <w:sz w:val="28"/>
          <w:szCs w:val="28"/>
        </w:rPr>
        <w:t xml:space="preserve">Medidas de Seguridad </w:t>
      </w:r>
      <w:r>
        <w:rPr>
          <w:rFonts w:ascii="Arial" w:hAnsi="Arial" w:cs="Arial"/>
          <w:sz w:val="28"/>
          <w:szCs w:val="28"/>
        </w:rPr>
        <w:t>que derivó</w:t>
      </w:r>
      <w:r w:rsidRPr="00EE0CBB">
        <w:rPr>
          <w:rFonts w:ascii="Arial" w:hAnsi="Arial" w:cs="Arial"/>
          <w:sz w:val="28"/>
          <w:szCs w:val="28"/>
        </w:rPr>
        <w:t xml:space="preserve">, </w:t>
      </w:r>
      <w:r>
        <w:rPr>
          <w:rFonts w:ascii="Arial" w:hAnsi="Arial" w:cs="Arial"/>
          <w:sz w:val="28"/>
          <w:szCs w:val="28"/>
        </w:rPr>
        <w:t xml:space="preserve">en la cual se manifestó </w:t>
      </w:r>
      <w:r w:rsidRPr="00EE0CBB">
        <w:rPr>
          <w:rFonts w:ascii="Arial" w:hAnsi="Arial" w:cs="Arial"/>
          <w:sz w:val="28"/>
          <w:szCs w:val="28"/>
        </w:rPr>
        <w:t xml:space="preserve">que la </w:t>
      </w:r>
      <w:r w:rsidRPr="00EE0CBB">
        <w:rPr>
          <w:rFonts w:ascii="Arial" w:hAnsi="Arial" w:cs="Arial"/>
          <w:sz w:val="28"/>
          <w:szCs w:val="28"/>
        </w:rPr>
        <w:lastRenderedPageBreak/>
        <w:t>actividad que lleva a</w:t>
      </w:r>
      <w:r>
        <w:rPr>
          <w:rFonts w:ascii="Arial" w:hAnsi="Arial" w:cs="Arial"/>
          <w:sz w:val="28"/>
          <w:szCs w:val="28"/>
        </w:rPr>
        <w:t xml:space="preserve"> </w:t>
      </w:r>
      <w:r w:rsidRPr="00EE0CBB">
        <w:rPr>
          <w:rFonts w:ascii="Arial" w:hAnsi="Arial" w:cs="Arial"/>
          <w:sz w:val="28"/>
          <w:szCs w:val="28"/>
        </w:rPr>
        <w:t xml:space="preserve">cabo </w:t>
      </w:r>
      <w:r>
        <w:rPr>
          <w:rFonts w:ascii="Arial" w:hAnsi="Arial" w:cs="Arial"/>
          <w:sz w:val="28"/>
          <w:szCs w:val="28"/>
        </w:rPr>
        <w:t xml:space="preserve">la actora </w:t>
      </w:r>
      <w:r w:rsidRPr="00EE0CBB">
        <w:rPr>
          <w:rFonts w:ascii="Arial" w:hAnsi="Arial" w:cs="Arial"/>
          <w:sz w:val="28"/>
          <w:szCs w:val="28"/>
        </w:rPr>
        <w:t>no corresponde a una actividad “agroindustrial”</w:t>
      </w:r>
      <w:r>
        <w:rPr>
          <w:rFonts w:ascii="Arial" w:hAnsi="Arial" w:cs="Arial"/>
          <w:sz w:val="28"/>
          <w:szCs w:val="28"/>
        </w:rPr>
        <w:t xml:space="preserve"> (fojas 97 a 99)</w:t>
      </w:r>
      <w:r w:rsidRPr="00EE0CBB">
        <w:rPr>
          <w:rFonts w:ascii="Arial" w:hAnsi="Arial" w:cs="Arial"/>
          <w:sz w:val="28"/>
          <w:szCs w:val="28"/>
        </w:rPr>
        <w:t>.</w:t>
      </w:r>
      <w:r>
        <w:rPr>
          <w:rFonts w:ascii="Arial" w:hAnsi="Arial" w:cs="Arial"/>
          <w:sz w:val="28"/>
          <w:szCs w:val="28"/>
        </w:rPr>
        <w:t xml:space="preserve"> </w:t>
      </w:r>
    </w:p>
    <w:p w14:paraId="56E17EC9" w14:textId="683ED590" w:rsidR="00AD1B12" w:rsidRDefault="00AD1B12" w:rsidP="0044193A">
      <w:pPr>
        <w:spacing w:after="0" w:line="360" w:lineRule="auto"/>
        <w:ind w:left="709" w:hanging="283"/>
        <w:jc w:val="both"/>
        <w:rPr>
          <w:rFonts w:ascii="Arial" w:hAnsi="Arial" w:cs="Arial"/>
          <w:sz w:val="28"/>
          <w:szCs w:val="28"/>
        </w:rPr>
      </w:pPr>
      <w:r>
        <w:rPr>
          <w:rFonts w:ascii="Arial" w:hAnsi="Arial" w:cs="Arial"/>
          <w:sz w:val="28"/>
          <w:szCs w:val="28"/>
        </w:rPr>
        <w:t xml:space="preserve">9. El </w:t>
      </w:r>
      <w:r w:rsidRPr="003B332F">
        <w:rPr>
          <w:rFonts w:ascii="Arial" w:hAnsi="Arial" w:cs="Arial"/>
          <w:b/>
          <w:sz w:val="28"/>
          <w:szCs w:val="28"/>
        </w:rPr>
        <w:t xml:space="preserve">tres de agosto de </w:t>
      </w:r>
      <w:r>
        <w:rPr>
          <w:rFonts w:ascii="Arial" w:hAnsi="Arial" w:cs="Arial"/>
          <w:b/>
          <w:sz w:val="28"/>
          <w:szCs w:val="28"/>
        </w:rPr>
        <w:t>dos mil veinte</w:t>
      </w:r>
      <w:r>
        <w:rPr>
          <w:rFonts w:ascii="Arial" w:hAnsi="Arial" w:cs="Arial"/>
          <w:sz w:val="28"/>
          <w:szCs w:val="28"/>
        </w:rPr>
        <w:t xml:space="preserve"> le fue entregada </w:t>
      </w:r>
      <w:r w:rsidRPr="00EE0CBB">
        <w:rPr>
          <w:rFonts w:ascii="Arial" w:hAnsi="Arial" w:cs="Arial"/>
          <w:sz w:val="28"/>
          <w:szCs w:val="28"/>
        </w:rPr>
        <w:t xml:space="preserve">la Licencia de uso de suelo de funcionamiento de </w:t>
      </w:r>
      <w:r>
        <w:rPr>
          <w:rFonts w:ascii="Arial" w:hAnsi="Arial" w:cs="Arial"/>
          <w:sz w:val="28"/>
          <w:szCs w:val="28"/>
        </w:rPr>
        <w:t>dieciséis d</w:t>
      </w:r>
      <w:r w:rsidRPr="00EE0CBB">
        <w:rPr>
          <w:rFonts w:ascii="Arial" w:hAnsi="Arial" w:cs="Arial"/>
          <w:sz w:val="28"/>
          <w:szCs w:val="28"/>
        </w:rPr>
        <w:t>e</w:t>
      </w:r>
      <w:r>
        <w:rPr>
          <w:rFonts w:ascii="Arial" w:hAnsi="Arial" w:cs="Arial"/>
          <w:sz w:val="28"/>
          <w:szCs w:val="28"/>
        </w:rPr>
        <w:t xml:space="preserve"> </w:t>
      </w:r>
      <w:r w:rsidRPr="00EE0CBB">
        <w:rPr>
          <w:rFonts w:ascii="Arial" w:hAnsi="Arial" w:cs="Arial"/>
          <w:sz w:val="28"/>
          <w:szCs w:val="28"/>
        </w:rPr>
        <w:t>julio de</w:t>
      </w:r>
      <w:r>
        <w:rPr>
          <w:rFonts w:ascii="Arial" w:hAnsi="Arial" w:cs="Arial"/>
          <w:sz w:val="28"/>
          <w:szCs w:val="28"/>
        </w:rPr>
        <w:t xml:space="preserve"> dos mil veinte</w:t>
      </w:r>
      <w:r w:rsidRPr="00EE0CBB">
        <w:rPr>
          <w:rFonts w:ascii="Arial" w:hAnsi="Arial" w:cs="Arial"/>
          <w:sz w:val="28"/>
          <w:szCs w:val="28"/>
        </w:rPr>
        <w:t xml:space="preserve">, con número de folio </w:t>
      </w:r>
      <w:r w:rsidR="0050127A">
        <w:rPr>
          <w:rFonts w:ascii="Arial" w:hAnsi="Arial" w:cs="Arial"/>
          <w:color w:val="FF0000"/>
          <w:sz w:val="28"/>
          <w:szCs w:val="28"/>
        </w:rPr>
        <w:t>**********</w:t>
      </w:r>
      <w:r w:rsidRPr="00EE0CBB">
        <w:rPr>
          <w:rFonts w:ascii="Arial" w:hAnsi="Arial" w:cs="Arial"/>
          <w:sz w:val="28"/>
          <w:szCs w:val="28"/>
        </w:rPr>
        <w:t xml:space="preserve"> emitida por el</w:t>
      </w:r>
      <w:r>
        <w:rPr>
          <w:rFonts w:ascii="Arial" w:hAnsi="Arial" w:cs="Arial"/>
          <w:sz w:val="28"/>
          <w:szCs w:val="28"/>
        </w:rPr>
        <w:t xml:space="preserve"> </w:t>
      </w:r>
      <w:r w:rsidRPr="00EE0CBB">
        <w:rPr>
          <w:rFonts w:ascii="Arial" w:hAnsi="Arial" w:cs="Arial"/>
          <w:sz w:val="28"/>
          <w:szCs w:val="28"/>
        </w:rPr>
        <w:t>Director de Desarrollo Urbano y Catastro Municipal del Municipio de</w:t>
      </w:r>
      <w:r>
        <w:rPr>
          <w:rFonts w:ascii="Arial" w:hAnsi="Arial" w:cs="Arial"/>
          <w:sz w:val="28"/>
          <w:szCs w:val="28"/>
        </w:rPr>
        <w:t xml:space="preserve"> </w:t>
      </w:r>
      <w:r w:rsidRPr="00EE0CBB">
        <w:rPr>
          <w:rFonts w:ascii="Arial" w:hAnsi="Arial" w:cs="Arial"/>
          <w:sz w:val="28"/>
          <w:szCs w:val="28"/>
        </w:rPr>
        <w:t>Soledad de Gra</w:t>
      </w:r>
      <w:r>
        <w:rPr>
          <w:rFonts w:ascii="Arial" w:hAnsi="Arial" w:cs="Arial"/>
          <w:sz w:val="28"/>
          <w:szCs w:val="28"/>
        </w:rPr>
        <w:t xml:space="preserve">ciano Sánchez, San Luis Potosí.  </w:t>
      </w:r>
      <w:r w:rsidRPr="00EE0CBB">
        <w:rPr>
          <w:rFonts w:ascii="Arial" w:hAnsi="Arial" w:cs="Arial"/>
          <w:sz w:val="28"/>
          <w:szCs w:val="28"/>
        </w:rPr>
        <w:t>De dicha Licencia de uso</w:t>
      </w:r>
      <w:r>
        <w:rPr>
          <w:rFonts w:ascii="Arial" w:hAnsi="Arial" w:cs="Arial"/>
          <w:sz w:val="28"/>
          <w:szCs w:val="28"/>
        </w:rPr>
        <w:t xml:space="preserve"> de suelo de funcionamiento, se </w:t>
      </w:r>
      <w:r w:rsidRPr="00EE0CBB">
        <w:rPr>
          <w:rFonts w:ascii="Arial" w:hAnsi="Arial" w:cs="Arial"/>
          <w:sz w:val="28"/>
          <w:szCs w:val="28"/>
        </w:rPr>
        <w:t xml:space="preserve">desprende que </w:t>
      </w:r>
      <w:r>
        <w:rPr>
          <w:rFonts w:ascii="Arial" w:hAnsi="Arial" w:cs="Arial"/>
          <w:sz w:val="28"/>
          <w:szCs w:val="28"/>
        </w:rPr>
        <w:t xml:space="preserve">se </w:t>
      </w:r>
      <w:r w:rsidRPr="00EE0CBB">
        <w:rPr>
          <w:rFonts w:ascii="Arial" w:hAnsi="Arial" w:cs="Arial"/>
          <w:sz w:val="28"/>
          <w:szCs w:val="28"/>
        </w:rPr>
        <w:t>clasific</w:t>
      </w:r>
      <w:r>
        <w:rPr>
          <w:rFonts w:ascii="Arial" w:hAnsi="Arial" w:cs="Arial"/>
          <w:sz w:val="28"/>
          <w:szCs w:val="28"/>
        </w:rPr>
        <w:t>ó</w:t>
      </w:r>
      <w:r w:rsidRPr="00EE0CBB">
        <w:rPr>
          <w:rFonts w:ascii="Arial" w:hAnsi="Arial" w:cs="Arial"/>
          <w:sz w:val="28"/>
          <w:szCs w:val="28"/>
        </w:rPr>
        <w:t xml:space="preserve"> el inmueble </w:t>
      </w:r>
      <w:r>
        <w:rPr>
          <w:rFonts w:ascii="Arial" w:hAnsi="Arial" w:cs="Arial"/>
          <w:sz w:val="28"/>
          <w:szCs w:val="28"/>
        </w:rPr>
        <w:t xml:space="preserve">materia de Litis </w:t>
      </w:r>
      <w:r w:rsidRPr="00EE0CBB">
        <w:rPr>
          <w:rFonts w:ascii="Arial" w:hAnsi="Arial" w:cs="Arial"/>
          <w:sz w:val="28"/>
          <w:szCs w:val="28"/>
        </w:rPr>
        <w:t>con un uso de suelo perteneciente al</w:t>
      </w:r>
      <w:r>
        <w:rPr>
          <w:rFonts w:ascii="Arial" w:hAnsi="Arial" w:cs="Arial"/>
          <w:sz w:val="28"/>
          <w:szCs w:val="28"/>
        </w:rPr>
        <w:t xml:space="preserve"> </w:t>
      </w:r>
      <w:r w:rsidRPr="00EE0CBB">
        <w:rPr>
          <w:rFonts w:ascii="Arial" w:hAnsi="Arial" w:cs="Arial"/>
          <w:sz w:val="28"/>
          <w:szCs w:val="28"/>
        </w:rPr>
        <w:t>grupo de “Industria”, subgrupo “Agroindustria”, destinada al uso de</w:t>
      </w:r>
      <w:r>
        <w:rPr>
          <w:rFonts w:ascii="Arial" w:hAnsi="Arial" w:cs="Arial"/>
          <w:sz w:val="28"/>
          <w:szCs w:val="28"/>
        </w:rPr>
        <w:t xml:space="preserve"> “Granja Avícola”; </w:t>
      </w:r>
      <w:r w:rsidRPr="00EE0CBB">
        <w:rPr>
          <w:rFonts w:ascii="Arial" w:hAnsi="Arial" w:cs="Arial"/>
          <w:sz w:val="28"/>
          <w:szCs w:val="28"/>
        </w:rPr>
        <w:t>en términos de lo dispuesto en el Plan del Centro</w:t>
      </w:r>
      <w:r>
        <w:rPr>
          <w:rFonts w:ascii="Arial" w:hAnsi="Arial" w:cs="Arial"/>
          <w:sz w:val="28"/>
          <w:szCs w:val="28"/>
        </w:rPr>
        <w:t xml:space="preserve"> </w:t>
      </w:r>
      <w:r w:rsidRPr="00EE0CBB">
        <w:rPr>
          <w:rFonts w:ascii="Arial" w:hAnsi="Arial" w:cs="Arial"/>
          <w:sz w:val="28"/>
          <w:szCs w:val="28"/>
        </w:rPr>
        <w:t>de Población Estratégico San Luis Potosí - Soledad de Graciano Sánchez.</w:t>
      </w:r>
    </w:p>
    <w:p w14:paraId="23C9C24F" w14:textId="77777777" w:rsidR="00AD1B12" w:rsidRDefault="00AD1B12" w:rsidP="0044193A">
      <w:pPr>
        <w:spacing w:after="0" w:line="360" w:lineRule="auto"/>
        <w:ind w:left="709" w:hanging="283"/>
        <w:jc w:val="both"/>
        <w:rPr>
          <w:rFonts w:ascii="Arial" w:hAnsi="Arial" w:cs="Arial"/>
          <w:sz w:val="28"/>
          <w:szCs w:val="28"/>
        </w:rPr>
      </w:pPr>
      <w:r>
        <w:rPr>
          <w:rFonts w:ascii="Arial" w:hAnsi="Arial" w:cs="Arial"/>
          <w:sz w:val="28"/>
          <w:szCs w:val="28"/>
        </w:rPr>
        <w:t>10</w:t>
      </w:r>
      <w:r w:rsidRPr="00EE0CBB">
        <w:rPr>
          <w:rFonts w:ascii="Arial" w:hAnsi="Arial" w:cs="Arial"/>
          <w:sz w:val="28"/>
          <w:szCs w:val="28"/>
        </w:rPr>
        <w:t>. Inconforme con lo anterior, e</w:t>
      </w:r>
      <w:r>
        <w:rPr>
          <w:rFonts w:ascii="Arial" w:hAnsi="Arial" w:cs="Arial"/>
          <w:sz w:val="28"/>
          <w:szCs w:val="28"/>
        </w:rPr>
        <w:t xml:space="preserve">l </w:t>
      </w:r>
      <w:r w:rsidRPr="003B332F">
        <w:rPr>
          <w:rFonts w:ascii="Arial" w:hAnsi="Arial" w:cs="Arial"/>
          <w:b/>
          <w:sz w:val="28"/>
          <w:szCs w:val="28"/>
        </w:rPr>
        <w:t>once de agosto de</w:t>
      </w:r>
      <w:r>
        <w:rPr>
          <w:rFonts w:ascii="Arial" w:hAnsi="Arial" w:cs="Arial"/>
          <w:b/>
          <w:sz w:val="28"/>
          <w:szCs w:val="28"/>
        </w:rPr>
        <w:t xml:space="preserve"> dos mil veinte</w:t>
      </w:r>
      <w:r>
        <w:rPr>
          <w:rFonts w:ascii="Arial" w:hAnsi="Arial" w:cs="Arial"/>
          <w:sz w:val="28"/>
          <w:szCs w:val="28"/>
        </w:rPr>
        <w:t xml:space="preserve"> </w:t>
      </w:r>
      <w:r w:rsidRPr="00EE0CBB">
        <w:rPr>
          <w:rFonts w:ascii="Arial" w:hAnsi="Arial" w:cs="Arial"/>
          <w:sz w:val="28"/>
          <w:szCs w:val="28"/>
        </w:rPr>
        <w:t xml:space="preserve">promovió </w:t>
      </w:r>
      <w:r>
        <w:rPr>
          <w:rFonts w:ascii="Arial" w:hAnsi="Arial" w:cs="Arial"/>
          <w:sz w:val="28"/>
          <w:szCs w:val="28"/>
        </w:rPr>
        <w:t xml:space="preserve">la </w:t>
      </w:r>
      <w:r w:rsidRPr="00EE0CBB">
        <w:rPr>
          <w:rFonts w:ascii="Arial" w:hAnsi="Arial" w:cs="Arial"/>
          <w:sz w:val="28"/>
          <w:szCs w:val="28"/>
        </w:rPr>
        <w:t xml:space="preserve">demanda </w:t>
      </w:r>
      <w:r>
        <w:rPr>
          <w:rFonts w:ascii="Arial" w:hAnsi="Arial" w:cs="Arial"/>
          <w:sz w:val="28"/>
          <w:szCs w:val="28"/>
        </w:rPr>
        <w:t xml:space="preserve">contenciosa en </w:t>
      </w:r>
      <w:r w:rsidRPr="00EE0CBB">
        <w:rPr>
          <w:rFonts w:ascii="Arial" w:hAnsi="Arial" w:cs="Arial"/>
          <w:sz w:val="28"/>
          <w:szCs w:val="28"/>
        </w:rPr>
        <w:t>contra de los actos</w:t>
      </w:r>
      <w:r>
        <w:rPr>
          <w:rFonts w:ascii="Arial" w:hAnsi="Arial" w:cs="Arial"/>
          <w:sz w:val="28"/>
          <w:szCs w:val="28"/>
        </w:rPr>
        <w:t xml:space="preserve"> consistentes en:</w:t>
      </w:r>
    </w:p>
    <w:p w14:paraId="0E3009A6" w14:textId="77777777" w:rsidR="00AD1B12" w:rsidRPr="00451BD7" w:rsidRDefault="00AD1B12" w:rsidP="00AD1B12">
      <w:pPr>
        <w:spacing w:after="120" w:line="240" w:lineRule="auto"/>
        <w:ind w:left="709"/>
        <w:contextualSpacing/>
        <w:jc w:val="both"/>
        <w:rPr>
          <w:rFonts w:ascii="Arial Narrow" w:hAnsi="Arial Narrow" w:cs="Arial"/>
          <w:b/>
          <w:i/>
          <w:sz w:val="28"/>
          <w:szCs w:val="28"/>
          <w:lang w:val="es-ES"/>
        </w:rPr>
      </w:pPr>
      <w:r w:rsidRPr="00451BD7">
        <w:rPr>
          <w:rFonts w:ascii="Arial Narrow" w:hAnsi="Arial Narrow" w:cs="Arial"/>
          <w:b/>
          <w:i/>
          <w:sz w:val="28"/>
          <w:szCs w:val="28"/>
          <w:lang w:val="es-ES"/>
        </w:rPr>
        <w:t>“II. ACTOS Y RESOLUCIONES IMPUGNADAS</w:t>
      </w:r>
    </w:p>
    <w:p w14:paraId="63EEDA94" w14:textId="3D841A0D" w:rsidR="00AD1B12" w:rsidRPr="0044193A" w:rsidRDefault="00AD1B12" w:rsidP="0044193A">
      <w:pPr>
        <w:numPr>
          <w:ilvl w:val="0"/>
          <w:numId w:val="1"/>
        </w:numPr>
        <w:spacing w:after="0" w:line="240" w:lineRule="auto"/>
        <w:ind w:left="1423" w:hanging="357"/>
        <w:contextualSpacing/>
        <w:jc w:val="both"/>
        <w:rPr>
          <w:rFonts w:ascii="Arial Narrow" w:eastAsia="Times New Roman" w:hAnsi="Arial Narrow" w:cs="Arial"/>
          <w:i/>
          <w:sz w:val="24"/>
          <w:szCs w:val="24"/>
          <w:lang w:val="es-ES" w:eastAsia="es-ES"/>
        </w:rPr>
      </w:pPr>
      <w:r w:rsidRPr="0044193A">
        <w:rPr>
          <w:rFonts w:ascii="Arial Narrow" w:eastAsia="Times New Roman" w:hAnsi="Arial Narrow" w:cs="Arial"/>
          <w:i/>
          <w:sz w:val="24"/>
          <w:szCs w:val="24"/>
          <w:lang w:val="es-ES" w:eastAsia="es-ES"/>
        </w:rPr>
        <w:t xml:space="preserve">La resolución contenida en el oficio número </w:t>
      </w:r>
      <w:r w:rsidR="0050127A">
        <w:rPr>
          <w:rFonts w:ascii="Arial Narrow" w:eastAsia="Times New Roman" w:hAnsi="Arial Narrow" w:cs="Arial"/>
          <w:i/>
          <w:color w:val="FF0000"/>
          <w:sz w:val="24"/>
          <w:szCs w:val="24"/>
          <w:lang w:val="es-ES" w:eastAsia="es-ES"/>
        </w:rPr>
        <w:t>**********</w:t>
      </w:r>
      <w:r w:rsidRPr="0044193A">
        <w:rPr>
          <w:rFonts w:ascii="Arial Narrow" w:eastAsia="Times New Roman" w:hAnsi="Arial Narrow" w:cs="Arial"/>
          <w:i/>
          <w:sz w:val="24"/>
          <w:szCs w:val="24"/>
          <w:lang w:val="es-ES" w:eastAsia="es-ES"/>
        </w:rPr>
        <w:t>, de once de marzo de dos mil veinte, emitida por el Director de Desarrollo Urbano y Catastro Municipal de Soledad de Graciano Sánchez, San Luis Potosí, a través de la cual resolvió no autorizar la licencia de uso de suelo a la parte actora;</w:t>
      </w:r>
    </w:p>
    <w:p w14:paraId="5D443F39" w14:textId="77777777" w:rsidR="00AD1B12" w:rsidRPr="0044193A" w:rsidRDefault="00AD1B12" w:rsidP="0044193A">
      <w:pPr>
        <w:numPr>
          <w:ilvl w:val="0"/>
          <w:numId w:val="1"/>
        </w:numPr>
        <w:spacing w:after="0" w:line="240" w:lineRule="auto"/>
        <w:ind w:left="1423" w:hanging="357"/>
        <w:contextualSpacing/>
        <w:jc w:val="both"/>
        <w:rPr>
          <w:rFonts w:ascii="Arial Narrow" w:eastAsia="Times New Roman" w:hAnsi="Arial Narrow" w:cs="Arial"/>
          <w:i/>
          <w:sz w:val="24"/>
          <w:szCs w:val="24"/>
          <w:lang w:val="es-ES" w:eastAsia="es-ES"/>
        </w:rPr>
      </w:pPr>
      <w:r w:rsidRPr="0044193A">
        <w:rPr>
          <w:rFonts w:ascii="Arial Narrow" w:eastAsia="Times New Roman" w:hAnsi="Arial Narrow" w:cs="Arial"/>
          <w:i/>
          <w:sz w:val="24"/>
          <w:szCs w:val="24"/>
          <w:lang w:val="es-ES" w:eastAsia="es-ES"/>
        </w:rPr>
        <w:t xml:space="preserve">Plan estratégico de población, San Luis Potosí, Soledad de Graciano Sánchez, publicado en el Periódico Oficial del Estado el veintiuno de agosto de dos mil tres, como primer acto de aplicación; </w:t>
      </w:r>
    </w:p>
    <w:p w14:paraId="1E3A5749" w14:textId="0249ADF2" w:rsidR="00AD1B12" w:rsidRPr="0044193A" w:rsidRDefault="00AD1B12" w:rsidP="0044193A">
      <w:pPr>
        <w:numPr>
          <w:ilvl w:val="0"/>
          <w:numId w:val="1"/>
        </w:numPr>
        <w:spacing w:after="0" w:line="240" w:lineRule="auto"/>
        <w:ind w:left="1423" w:hanging="357"/>
        <w:contextualSpacing/>
        <w:jc w:val="both"/>
        <w:rPr>
          <w:rFonts w:ascii="Arial Narrow" w:eastAsia="Times New Roman" w:hAnsi="Arial Narrow" w:cs="Arial"/>
          <w:i/>
          <w:sz w:val="24"/>
          <w:szCs w:val="24"/>
          <w:lang w:val="es-ES" w:eastAsia="es-ES"/>
        </w:rPr>
      </w:pPr>
      <w:r w:rsidRPr="0044193A">
        <w:rPr>
          <w:rFonts w:ascii="Arial Narrow" w:eastAsia="Times New Roman" w:hAnsi="Arial Narrow" w:cs="Arial"/>
          <w:i/>
          <w:sz w:val="24"/>
          <w:szCs w:val="24"/>
          <w:lang w:val="es-ES" w:eastAsia="es-ES"/>
        </w:rPr>
        <w:t xml:space="preserve">Licencia de uso de suelo con número de folio </w:t>
      </w:r>
      <w:r w:rsidR="0050127A">
        <w:rPr>
          <w:rFonts w:ascii="Arial Narrow" w:eastAsia="Times New Roman" w:hAnsi="Arial Narrow" w:cs="Arial"/>
          <w:i/>
          <w:color w:val="FF0000"/>
          <w:sz w:val="24"/>
          <w:szCs w:val="24"/>
          <w:lang w:val="es-ES" w:eastAsia="es-ES"/>
        </w:rPr>
        <w:t>**********</w:t>
      </w:r>
      <w:r w:rsidRPr="0044193A">
        <w:rPr>
          <w:rFonts w:ascii="Arial Narrow" w:eastAsia="Times New Roman" w:hAnsi="Arial Narrow" w:cs="Arial"/>
          <w:i/>
          <w:sz w:val="24"/>
          <w:szCs w:val="24"/>
          <w:lang w:val="es-ES" w:eastAsia="es-ES"/>
        </w:rPr>
        <w:t xml:space="preserve"> </w:t>
      </w:r>
      <w:r w:rsidR="0050127A">
        <w:rPr>
          <w:rFonts w:ascii="Arial Narrow" w:eastAsia="Times New Roman" w:hAnsi="Arial Narrow" w:cs="Arial"/>
          <w:i/>
          <w:color w:val="FF0000"/>
          <w:sz w:val="24"/>
          <w:szCs w:val="24"/>
          <w:lang w:val="es-ES" w:eastAsia="es-ES"/>
        </w:rPr>
        <w:t>**********</w:t>
      </w:r>
      <w:r w:rsidRPr="0044193A">
        <w:rPr>
          <w:rFonts w:ascii="Arial Narrow" w:eastAsia="Times New Roman" w:hAnsi="Arial Narrow" w:cs="Arial"/>
          <w:i/>
          <w:sz w:val="24"/>
          <w:szCs w:val="24"/>
          <w:lang w:val="es-ES" w:eastAsia="es-ES"/>
        </w:rPr>
        <w:t>, de dieciséis de julio de dos mil veinte, emitida por el Director de Desarrollo Urbano y Catastro Municipal de Soledad de Graciano Sánchez, San Luis Potosí; y</w:t>
      </w:r>
    </w:p>
    <w:p w14:paraId="3F333C60" w14:textId="77777777" w:rsidR="00AD1B12" w:rsidRPr="0044193A" w:rsidRDefault="00AD1B12" w:rsidP="0044193A">
      <w:pPr>
        <w:numPr>
          <w:ilvl w:val="0"/>
          <w:numId w:val="1"/>
        </w:numPr>
        <w:spacing w:after="0" w:line="240" w:lineRule="auto"/>
        <w:ind w:left="1423" w:hanging="357"/>
        <w:contextualSpacing/>
        <w:jc w:val="both"/>
        <w:rPr>
          <w:rFonts w:ascii="Arial Narrow" w:eastAsia="Times New Roman" w:hAnsi="Arial Narrow" w:cs="Arial"/>
          <w:i/>
          <w:sz w:val="24"/>
          <w:szCs w:val="24"/>
          <w:lang w:val="es-ES" w:eastAsia="es-ES"/>
        </w:rPr>
      </w:pPr>
      <w:r w:rsidRPr="0044193A">
        <w:rPr>
          <w:rFonts w:ascii="Arial Narrow" w:eastAsia="Times New Roman" w:hAnsi="Arial Narrow" w:cs="Arial"/>
          <w:i/>
          <w:sz w:val="24"/>
          <w:szCs w:val="24"/>
          <w:lang w:val="es-ES" w:eastAsia="es-ES"/>
        </w:rPr>
        <w:t>Convenio de reconocimiento de obligación de pago celebrado por el Ayuntamiento de Soledad de Graciano Sánchez, San Luis Potosí, representado por el Tesorero Municipal y la persona moral actora el 16 de junio de 2020.”</w:t>
      </w:r>
    </w:p>
    <w:p w14:paraId="506D3BF3" w14:textId="77777777" w:rsidR="00AD1B12" w:rsidRPr="00451BD7" w:rsidRDefault="00AD1B12" w:rsidP="00AD1B12">
      <w:pPr>
        <w:spacing w:after="120" w:line="240" w:lineRule="auto"/>
        <w:ind w:left="1428"/>
        <w:contextualSpacing/>
        <w:jc w:val="both"/>
        <w:rPr>
          <w:rFonts w:ascii="Arial Narrow" w:eastAsia="Times New Roman" w:hAnsi="Arial Narrow" w:cs="Arial"/>
          <w:i/>
          <w:sz w:val="28"/>
          <w:szCs w:val="28"/>
          <w:lang w:val="es-ES" w:eastAsia="es-ES"/>
        </w:rPr>
      </w:pPr>
    </w:p>
    <w:p w14:paraId="2B9FF2D6" w14:textId="77777777" w:rsidR="00AD1B12" w:rsidRDefault="00AD1B12" w:rsidP="0044193A">
      <w:pPr>
        <w:spacing w:after="0" w:line="360" w:lineRule="auto"/>
        <w:ind w:left="709" w:hanging="283"/>
        <w:jc w:val="both"/>
        <w:rPr>
          <w:rFonts w:ascii="Arial" w:hAnsi="Arial" w:cs="Arial"/>
          <w:sz w:val="28"/>
          <w:szCs w:val="28"/>
        </w:rPr>
      </w:pPr>
      <w:r>
        <w:rPr>
          <w:rFonts w:ascii="Arial" w:hAnsi="Arial" w:cs="Arial"/>
          <w:sz w:val="28"/>
          <w:szCs w:val="28"/>
        </w:rPr>
        <w:t>11. La</w:t>
      </w:r>
      <w:r w:rsidRPr="00EE0CBB">
        <w:rPr>
          <w:rFonts w:ascii="Arial" w:hAnsi="Arial" w:cs="Arial"/>
          <w:sz w:val="28"/>
          <w:szCs w:val="28"/>
        </w:rPr>
        <w:t xml:space="preserve"> demanda de nulidad f</w:t>
      </w:r>
      <w:r>
        <w:rPr>
          <w:rFonts w:ascii="Arial" w:hAnsi="Arial" w:cs="Arial"/>
          <w:sz w:val="28"/>
          <w:szCs w:val="28"/>
        </w:rPr>
        <w:t xml:space="preserve">ue registrada bajo el número de </w:t>
      </w:r>
      <w:r w:rsidRPr="00EE0CBB">
        <w:rPr>
          <w:rFonts w:ascii="Arial" w:hAnsi="Arial" w:cs="Arial"/>
          <w:sz w:val="28"/>
          <w:szCs w:val="28"/>
        </w:rPr>
        <w:t xml:space="preserve">expediente 541/2020/1 del índice de la Primera Sala Unitaria </w:t>
      </w:r>
      <w:r>
        <w:rPr>
          <w:rFonts w:ascii="Arial" w:hAnsi="Arial" w:cs="Arial"/>
          <w:sz w:val="28"/>
          <w:szCs w:val="28"/>
        </w:rPr>
        <w:t xml:space="preserve">del Tribunal Estatal de Justicia Administrativa, </w:t>
      </w:r>
      <w:r>
        <w:rPr>
          <w:rFonts w:ascii="Arial" w:hAnsi="Arial" w:cs="Arial"/>
          <w:sz w:val="28"/>
          <w:szCs w:val="28"/>
        </w:rPr>
        <w:lastRenderedPageBreak/>
        <w:t>que m</w:t>
      </w:r>
      <w:r w:rsidRPr="00EE0CBB">
        <w:rPr>
          <w:rFonts w:ascii="Arial" w:hAnsi="Arial" w:cs="Arial"/>
          <w:sz w:val="28"/>
          <w:szCs w:val="28"/>
        </w:rPr>
        <w:t xml:space="preserve">ediante </w:t>
      </w:r>
      <w:r>
        <w:rPr>
          <w:rFonts w:ascii="Arial" w:hAnsi="Arial" w:cs="Arial"/>
          <w:sz w:val="28"/>
          <w:szCs w:val="28"/>
        </w:rPr>
        <w:t xml:space="preserve">el </w:t>
      </w:r>
      <w:r w:rsidRPr="00EE0CBB">
        <w:rPr>
          <w:rFonts w:ascii="Arial" w:hAnsi="Arial" w:cs="Arial"/>
          <w:sz w:val="28"/>
          <w:szCs w:val="28"/>
        </w:rPr>
        <w:t xml:space="preserve">acuerdo de </w:t>
      </w:r>
      <w:r w:rsidRPr="00451BD7">
        <w:rPr>
          <w:rFonts w:ascii="Arial" w:hAnsi="Arial" w:cs="Arial"/>
          <w:b/>
          <w:sz w:val="28"/>
          <w:szCs w:val="28"/>
        </w:rPr>
        <w:t xml:space="preserve">once de septiembre de </w:t>
      </w:r>
      <w:r>
        <w:rPr>
          <w:rFonts w:ascii="Arial" w:hAnsi="Arial" w:cs="Arial"/>
          <w:b/>
          <w:sz w:val="28"/>
          <w:szCs w:val="28"/>
        </w:rPr>
        <w:t xml:space="preserve">dos mi veinte </w:t>
      </w:r>
      <w:r>
        <w:rPr>
          <w:rFonts w:ascii="Arial" w:hAnsi="Arial" w:cs="Arial"/>
          <w:sz w:val="28"/>
          <w:szCs w:val="28"/>
        </w:rPr>
        <w:t xml:space="preserve">la </w:t>
      </w:r>
      <w:r w:rsidRPr="00EE0CBB">
        <w:rPr>
          <w:rFonts w:ascii="Arial" w:hAnsi="Arial" w:cs="Arial"/>
          <w:sz w:val="28"/>
          <w:szCs w:val="28"/>
        </w:rPr>
        <w:t>admitió a trámite, puntualizando que en relación con el</w:t>
      </w:r>
      <w:r>
        <w:rPr>
          <w:rFonts w:ascii="Arial" w:hAnsi="Arial" w:cs="Arial"/>
          <w:sz w:val="28"/>
          <w:szCs w:val="28"/>
        </w:rPr>
        <w:t xml:space="preserve"> </w:t>
      </w:r>
      <w:r w:rsidRPr="00EE0CBB">
        <w:rPr>
          <w:rFonts w:ascii="Arial" w:hAnsi="Arial" w:cs="Arial"/>
          <w:sz w:val="28"/>
          <w:szCs w:val="28"/>
        </w:rPr>
        <w:t>Convenio de reconocimiento de obligación de pago no ha lugar a tenerlo</w:t>
      </w:r>
      <w:r>
        <w:rPr>
          <w:rFonts w:ascii="Arial" w:hAnsi="Arial" w:cs="Arial"/>
          <w:sz w:val="28"/>
          <w:szCs w:val="28"/>
        </w:rPr>
        <w:t xml:space="preserve"> </w:t>
      </w:r>
      <w:r w:rsidRPr="00EE0CBB">
        <w:rPr>
          <w:rFonts w:ascii="Arial" w:hAnsi="Arial" w:cs="Arial"/>
          <w:sz w:val="28"/>
          <w:szCs w:val="28"/>
        </w:rPr>
        <w:t xml:space="preserve">como </w:t>
      </w:r>
      <w:r>
        <w:rPr>
          <w:rFonts w:ascii="Arial" w:hAnsi="Arial" w:cs="Arial"/>
          <w:sz w:val="28"/>
          <w:szCs w:val="28"/>
        </w:rPr>
        <w:t xml:space="preserve">acto </w:t>
      </w:r>
      <w:r w:rsidRPr="00EE0CBB">
        <w:rPr>
          <w:rFonts w:ascii="Arial" w:hAnsi="Arial" w:cs="Arial"/>
          <w:sz w:val="28"/>
          <w:szCs w:val="28"/>
        </w:rPr>
        <w:t>impugnado, toda vez que el mismo no encuadra dentro de los</w:t>
      </w:r>
      <w:r>
        <w:rPr>
          <w:rFonts w:ascii="Arial" w:hAnsi="Arial" w:cs="Arial"/>
          <w:sz w:val="28"/>
          <w:szCs w:val="28"/>
        </w:rPr>
        <w:t xml:space="preserve"> </w:t>
      </w:r>
      <w:r w:rsidRPr="00EE0CBB">
        <w:rPr>
          <w:rFonts w:ascii="Arial" w:hAnsi="Arial" w:cs="Arial"/>
          <w:sz w:val="28"/>
          <w:szCs w:val="28"/>
        </w:rPr>
        <w:t>supuestos de procedenci</w:t>
      </w:r>
      <w:r>
        <w:rPr>
          <w:rFonts w:ascii="Arial" w:hAnsi="Arial" w:cs="Arial"/>
          <w:sz w:val="28"/>
          <w:szCs w:val="28"/>
        </w:rPr>
        <w:t>a establecidos por el numeral 7°</w:t>
      </w:r>
      <w:r w:rsidRPr="00EE0CBB">
        <w:rPr>
          <w:rFonts w:ascii="Arial" w:hAnsi="Arial" w:cs="Arial"/>
          <w:sz w:val="28"/>
          <w:szCs w:val="28"/>
        </w:rPr>
        <w:t xml:space="preserve"> de la Ley</w:t>
      </w:r>
      <w:r>
        <w:rPr>
          <w:rFonts w:ascii="Arial" w:hAnsi="Arial" w:cs="Arial"/>
          <w:sz w:val="28"/>
          <w:szCs w:val="28"/>
        </w:rPr>
        <w:t xml:space="preserve"> </w:t>
      </w:r>
      <w:r w:rsidRPr="00EE0CBB">
        <w:rPr>
          <w:rFonts w:ascii="Arial" w:hAnsi="Arial" w:cs="Arial"/>
          <w:sz w:val="28"/>
          <w:szCs w:val="28"/>
        </w:rPr>
        <w:t>Orgánica de es</w:t>
      </w:r>
      <w:r>
        <w:rPr>
          <w:rFonts w:ascii="Arial" w:hAnsi="Arial" w:cs="Arial"/>
          <w:sz w:val="28"/>
          <w:szCs w:val="28"/>
        </w:rPr>
        <w:t>te</w:t>
      </w:r>
      <w:r w:rsidRPr="00EE0CBB">
        <w:rPr>
          <w:rFonts w:ascii="Arial" w:hAnsi="Arial" w:cs="Arial"/>
          <w:sz w:val="28"/>
          <w:szCs w:val="28"/>
        </w:rPr>
        <w:t xml:space="preserve"> Tribunal, al no h</w:t>
      </w:r>
      <w:r>
        <w:rPr>
          <w:rFonts w:ascii="Arial" w:hAnsi="Arial" w:cs="Arial"/>
          <w:sz w:val="28"/>
          <w:szCs w:val="28"/>
        </w:rPr>
        <w:t xml:space="preserve">aber sido emitido como un acto o </w:t>
      </w:r>
      <w:r w:rsidRPr="00EE0CBB">
        <w:rPr>
          <w:rFonts w:ascii="Arial" w:hAnsi="Arial" w:cs="Arial"/>
          <w:sz w:val="28"/>
          <w:szCs w:val="28"/>
        </w:rPr>
        <w:t>resolución por parte de la autoridad, sino como un acuerdo entre ambas</w:t>
      </w:r>
      <w:r>
        <w:rPr>
          <w:rFonts w:ascii="Arial" w:hAnsi="Arial" w:cs="Arial"/>
          <w:sz w:val="28"/>
          <w:szCs w:val="28"/>
        </w:rPr>
        <w:t xml:space="preserve"> </w:t>
      </w:r>
      <w:r w:rsidRPr="00EE0CBB">
        <w:rPr>
          <w:rFonts w:ascii="Arial" w:hAnsi="Arial" w:cs="Arial"/>
          <w:sz w:val="28"/>
          <w:szCs w:val="28"/>
        </w:rPr>
        <w:t>partes.</w:t>
      </w:r>
      <w:r>
        <w:rPr>
          <w:rFonts w:ascii="Arial" w:hAnsi="Arial" w:cs="Arial"/>
          <w:sz w:val="28"/>
          <w:szCs w:val="28"/>
        </w:rPr>
        <w:t xml:space="preserve"> Asimismo, en el mismo auto se requirió a la actora para que exhibiera la solicitud de la copia del expediente administrativo presentad ante la autoridad demandada, para estar en aptitud legal de requerirla, so pena de desechar la prueba de mérito (foja 104).</w:t>
      </w:r>
    </w:p>
    <w:p w14:paraId="3233CBEB" w14:textId="77777777" w:rsidR="00AD1B12" w:rsidRDefault="00AD1B12" w:rsidP="0044193A">
      <w:pPr>
        <w:spacing w:after="0" w:line="360" w:lineRule="auto"/>
        <w:ind w:left="709" w:hanging="283"/>
        <w:jc w:val="both"/>
        <w:rPr>
          <w:rFonts w:ascii="Arial" w:hAnsi="Arial" w:cs="Arial"/>
          <w:sz w:val="28"/>
          <w:szCs w:val="28"/>
        </w:rPr>
      </w:pPr>
      <w:r>
        <w:rPr>
          <w:rFonts w:ascii="Arial" w:hAnsi="Arial" w:cs="Arial"/>
          <w:sz w:val="28"/>
          <w:szCs w:val="28"/>
        </w:rPr>
        <w:t xml:space="preserve">12. Mediante proveído de catorce de octubre de dos mil veinte (foja 287 y 288) se explicó a la actora por que correspondía exhibir la solicitud de la copia del expediente administrativo, determinación que fue recurrida mediante reclamación resuelto el quince de enero de dos mil veintiuno en la que  quedó firme dicho aspecto procesal. </w:t>
      </w:r>
    </w:p>
    <w:p w14:paraId="0822B77D" w14:textId="77777777" w:rsidR="00AD1B12" w:rsidRDefault="00AD1B12" w:rsidP="0044193A">
      <w:pPr>
        <w:spacing w:after="0" w:line="360" w:lineRule="auto"/>
        <w:ind w:left="709" w:hanging="283"/>
        <w:jc w:val="both"/>
        <w:rPr>
          <w:rFonts w:ascii="Arial" w:hAnsi="Arial" w:cs="Arial"/>
          <w:sz w:val="28"/>
          <w:szCs w:val="28"/>
        </w:rPr>
      </w:pPr>
      <w:r w:rsidRPr="00EE0CBB">
        <w:rPr>
          <w:rFonts w:ascii="Arial" w:hAnsi="Arial" w:cs="Arial"/>
          <w:sz w:val="28"/>
          <w:szCs w:val="28"/>
        </w:rPr>
        <w:t>1</w:t>
      </w:r>
      <w:r>
        <w:rPr>
          <w:rFonts w:ascii="Arial" w:hAnsi="Arial" w:cs="Arial"/>
          <w:sz w:val="28"/>
          <w:szCs w:val="28"/>
        </w:rPr>
        <w:t>3</w:t>
      </w:r>
      <w:r w:rsidRPr="00EE0CBB">
        <w:rPr>
          <w:rFonts w:ascii="Arial" w:hAnsi="Arial" w:cs="Arial"/>
          <w:sz w:val="28"/>
          <w:szCs w:val="28"/>
        </w:rPr>
        <w:t>. E</w:t>
      </w:r>
      <w:r>
        <w:rPr>
          <w:rFonts w:ascii="Arial" w:hAnsi="Arial" w:cs="Arial"/>
          <w:sz w:val="28"/>
          <w:szCs w:val="28"/>
        </w:rPr>
        <w:t xml:space="preserve">l </w:t>
      </w:r>
      <w:r w:rsidRPr="00451BD7">
        <w:rPr>
          <w:rFonts w:ascii="Arial" w:hAnsi="Arial" w:cs="Arial"/>
          <w:b/>
          <w:sz w:val="28"/>
          <w:szCs w:val="28"/>
        </w:rPr>
        <w:t>treinta de septiembre de dos mil veintiuno</w:t>
      </w:r>
      <w:r>
        <w:rPr>
          <w:rFonts w:ascii="Arial" w:hAnsi="Arial" w:cs="Arial"/>
          <w:sz w:val="28"/>
          <w:szCs w:val="28"/>
        </w:rPr>
        <w:t xml:space="preserve">, la Magistrada Titular </w:t>
      </w:r>
      <w:r w:rsidRPr="00EE0CBB">
        <w:rPr>
          <w:rFonts w:ascii="Arial" w:hAnsi="Arial" w:cs="Arial"/>
          <w:sz w:val="28"/>
          <w:szCs w:val="28"/>
        </w:rPr>
        <w:t>de la Primera Sala Unitaria del Tribunal Estatal de Justicia Administrativa</w:t>
      </w:r>
      <w:r>
        <w:rPr>
          <w:rFonts w:ascii="Arial" w:hAnsi="Arial" w:cs="Arial"/>
          <w:sz w:val="28"/>
          <w:szCs w:val="28"/>
        </w:rPr>
        <w:t xml:space="preserve"> </w:t>
      </w:r>
      <w:r w:rsidRPr="00EE0CBB">
        <w:rPr>
          <w:rFonts w:ascii="Arial" w:hAnsi="Arial" w:cs="Arial"/>
          <w:sz w:val="28"/>
          <w:szCs w:val="28"/>
        </w:rPr>
        <w:t xml:space="preserve">emitió </w:t>
      </w:r>
      <w:r>
        <w:rPr>
          <w:rFonts w:ascii="Arial" w:hAnsi="Arial" w:cs="Arial"/>
          <w:sz w:val="28"/>
          <w:szCs w:val="28"/>
        </w:rPr>
        <w:t xml:space="preserve">la </w:t>
      </w:r>
      <w:r w:rsidRPr="00EE0CBB">
        <w:rPr>
          <w:rFonts w:ascii="Arial" w:hAnsi="Arial" w:cs="Arial"/>
          <w:sz w:val="28"/>
          <w:szCs w:val="28"/>
        </w:rPr>
        <w:t>sentencia</w:t>
      </w:r>
      <w:r>
        <w:rPr>
          <w:rFonts w:ascii="Arial" w:hAnsi="Arial" w:cs="Arial"/>
          <w:sz w:val="28"/>
          <w:szCs w:val="28"/>
        </w:rPr>
        <w:t xml:space="preserve"> materia de la presente apelación.</w:t>
      </w:r>
    </w:p>
    <w:p w14:paraId="4C213DA5" w14:textId="77777777" w:rsidR="00AD1B12" w:rsidRDefault="00AD1B12" w:rsidP="0044193A">
      <w:pPr>
        <w:spacing w:after="0" w:line="360" w:lineRule="auto"/>
        <w:ind w:firstLine="851"/>
        <w:jc w:val="both"/>
        <w:rPr>
          <w:rFonts w:ascii="Arial" w:hAnsi="Arial" w:cs="Arial"/>
          <w:sz w:val="28"/>
          <w:szCs w:val="28"/>
        </w:rPr>
      </w:pPr>
    </w:p>
    <w:p w14:paraId="459872D8" w14:textId="5705F0B0" w:rsidR="004630EF" w:rsidRPr="003755C5" w:rsidRDefault="00AD1B12" w:rsidP="0044193A">
      <w:pPr>
        <w:spacing w:after="0" w:line="360" w:lineRule="auto"/>
        <w:ind w:firstLine="851"/>
        <w:jc w:val="both"/>
        <w:rPr>
          <w:rFonts w:ascii="Arial" w:hAnsi="Arial" w:cs="Arial"/>
          <w:sz w:val="28"/>
          <w:szCs w:val="28"/>
        </w:rPr>
      </w:pPr>
      <w:r w:rsidRPr="00AD1B12">
        <w:rPr>
          <w:rFonts w:ascii="Arial" w:hAnsi="Arial" w:cs="Arial"/>
          <w:sz w:val="28"/>
          <w:szCs w:val="28"/>
        </w:rPr>
        <w:t>Ahora bien,</w:t>
      </w:r>
      <w:r>
        <w:rPr>
          <w:rFonts w:ascii="Arial" w:hAnsi="Arial" w:cs="Arial"/>
          <w:b/>
          <w:sz w:val="28"/>
          <w:szCs w:val="28"/>
        </w:rPr>
        <w:t xml:space="preserve"> </w:t>
      </w:r>
      <w:r w:rsidRPr="00C55C5C">
        <w:rPr>
          <w:rFonts w:ascii="Arial" w:hAnsi="Arial" w:cs="Arial"/>
          <w:sz w:val="28"/>
          <w:szCs w:val="28"/>
        </w:rPr>
        <w:t>l</w:t>
      </w:r>
      <w:r w:rsidR="004630EF" w:rsidRPr="00C55C5C">
        <w:rPr>
          <w:rFonts w:ascii="Arial" w:hAnsi="Arial" w:cs="Arial"/>
          <w:bCs/>
          <w:iCs/>
          <w:sz w:val="28"/>
          <w:szCs w:val="28"/>
        </w:rPr>
        <w:t>os</w:t>
      </w:r>
      <w:r w:rsidR="004630EF" w:rsidRPr="00C828DA">
        <w:rPr>
          <w:rFonts w:ascii="Arial" w:hAnsi="Arial" w:cs="Arial"/>
          <w:bCs/>
          <w:iCs/>
          <w:sz w:val="28"/>
          <w:szCs w:val="28"/>
        </w:rPr>
        <w:t xml:space="preserve"> agravios vertidos por la parte apelante son </w:t>
      </w:r>
      <w:r w:rsidR="004630EF">
        <w:rPr>
          <w:rFonts w:ascii="Arial" w:hAnsi="Arial" w:cs="Arial"/>
          <w:b/>
          <w:bCs/>
          <w:iCs/>
          <w:sz w:val="28"/>
          <w:szCs w:val="28"/>
        </w:rPr>
        <w:t>infundados</w:t>
      </w:r>
      <w:r w:rsidR="004630EF" w:rsidRPr="00C828DA">
        <w:rPr>
          <w:rFonts w:ascii="Arial" w:hAnsi="Arial" w:cs="Arial"/>
          <w:b/>
          <w:bCs/>
          <w:iCs/>
          <w:sz w:val="28"/>
          <w:szCs w:val="28"/>
        </w:rPr>
        <w:t>,</w:t>
      </w:r>
      <w:r w:rsidR="004630EF" w:rsidRPr="00C828DA">
        <w:rPr>
          <w:rFonts w:ascii="Arial" w:hAnsi="Arial" w:cs="Arial"/>
          <w:bCs/>
          <w:iCs/>
          <w:sz w:val="28"/>
          <w:szCs w:val="28"/>
        </w:rPr>
        <w:t xml:space="preserve"> por ende, insuficientes para revocar o modificar la resolución apelada.</w:t>
      </w:r>
    </w:p>
    <w:p w14:paraId="15368801" w14:textId="77777777" w:rsidR="00177FB2" w:rsidRDefault="00177FB2" w:rsidP="0044193A">
      <w:pPr>
        <w:spacing w:after="0" w:line="360" w:lineRule="auto"/>
        <w:ind w:firstLine="708"/>
        <w:jc w:val="both"/>
        <w:rPr>
          <w:rFonts w:ascii="Arial" w:hAnsi="Arial" w:cs="Arial"/>
          <w:b/>
          <w:sz w:val="28"/>
          <w:szCs w:val="28"/>
        </w:rPr>
      </w:pPr>
    </w:p>
    <w:p w14:paraId="434443B1" w14:textId="769EF6E6" w:rsidR="00177FB2" w:rsidRDefault="00177FB2" w:rsidP="0044193A">
      <w:pPr>
        <w:pStyle w:val="Prrafodelista"/>
        <w:widowControl w:val="0"/>
        <w:spacing w:after="0" w:line="360" w:lineRule="auto"/>
        <w:ind w:left="0" w:firstLine="851"/>
        <w:jc w:val="both"/>
        <w:rPr>
          <w:rFonts w:ascii="Arial" w:hAnsi="Arial" w:cs="Arial"/>
          <w:sz w:val="28"/>
          <w:szCs w:val="28"/>
        </w:rPr>
      </w:pPr>
      <w:r>
        <w:rPr>
          <w:rFonts w:ascii="Arial" w:hAnsi="Arial" w:cs="Arial"/>
          <w:bCs/>
          <w:iCs/>
          <w:sz w:val="28"/>
          <w:szCs w:val="28"/>
        </w:rPr>
        <w:t>E</w:t>
      </w:r>
      <w:r w:rsidRPr="00EC6FB2">
        <w:rPr>
          <w:rFonts w:ascii="Arial" w:hAnsi="Arial" w:cs="Arial"/>
          <w:bCs/>
          <w:iCs/>
          <w:sz w:val="28"/>
          <w:szCs w:val="28"/>
        </w:rPr>
        <w:t xml:space="preserve">n la sentencia de </w:t>
      </w:r>
      <w:r>
        <w:rPr>
          <w:rFonts w:ascii="Arial" w:hAnsi="Arial" w:cs="Arial"/>
          <w:bCs/>
          <w:color w:val="0000FF"/>
          <w:sz w:val="28"/>
          <w:szCs w:val="28"/>
        </w:rPr>
        <w:t>treinta</w:t>
      </w:r>
      <w:r w:rsidRPr="00EC6FB2">
        <w:rPr>
          <w:rFonts w:ascii="Arial" w:hAnsi="Arial" w:cs="Arial"/>
          <w:bCs/>
          <w:color w:val="0000FF"/>
          <w:sz w:val="28"/>
          <w:szCs w:val="28"/>
        </w:rPr>
        <w:t xml:space="preserve"> de </w:t>
      </w:r>
      <w:r>
        <w:rPr>
          <w:rFonts w:ascii="Arial" w:hAnsi="Arial" w:cs="Arial"/>
          <w:bCs/>
          <w:color w:val="0000FF"/>
          <w:sz w:val="28"/>
          <w:szCs w:val="28"/>
        </w:rPr>
        <w:t>septiembre</w:t>
      </w:r>
      <w:r w:rsidRPr="00EC6FB2">
        <w:rPr>
          <w:rFonts w:ascii="Arial" w:hAnsi="Arial" w:cs="Arial"/>
          <w:bCs/>
          <w:color w:val="0000FF"/>
          <w:sz w:val="28"/>
          <w:szCs w:val="28"/>
        </w:rPr>
        <w:t xml:space="preserve"> de dos mil veinti</w:t>
      </w:r>
      <w:r>
        <w:rPr>
          <w:rFonts w:ascii="Arial" w:hAnsi="Arial" w:cs="Arial"/>
          <w:bCs/>
          <w:color w:val="0000FF"/>
          <w:sz w:val="28"/>
          <w:szCs w:val="28"/>
        </w:rPr>
        <w:t>uno</w:t>
      </w:r>
      <w:r w:rsidRPr="00EC6FB2">
        <w:rPr>
          <w:rFonts w:ascii="Arial" w:hAnsi="Arial" w:cs="Arial"/>
          <w:bCs/>
          <w:color w:val="000000"/>
          <w:sz w:val="28"/>
          <w:szCs w:val="28"/>
        </w:rPr>
        <w:t xml:space="preserve">, dictada por la </w:t>
      </w:r>
      <w:r>
        <w:rPr>
          <w:rFonts w:ascii="Arial" w:hAnsi="Arial" w:cs="Arial"/>
          <w:bCs/>
          <w:color w:val="0000FF"/>
          <w:sz w:val="28"/>
          <w:szCs w:val="28"/>
        </w:rPr>
        <w:t>Primera</w:t>
      </w:r>
      <w:r w:rsidRPr="00EC6FB2">
        <w:rPr>
          <w:rFonts w:ascii="Arial" w:hAnsi="Arial" w:cs="Arial"/>
          <w:bCs/>
          <w:color w:val="000000"/>
          <w:sz w:val="28"/>
          <w:szCs w:val="28"/>
        </w:rPr>
        <w:t xml:space="preserve"> Sala Unitaria en </w:t>
      </w:r>
      <w:r w:rsidRPr="00EC6FB2">
        <w:rPr>
          <w:rFonts w:ascii="Arial" w:hAnsi="Arial" w:cs="Arial"/>
          <w:sz w:val="28"/>
          <w:szCs w:val="28"/>
        </w:rPr>
        <w:t xml:space="preserve">los autos del expediente </w:t>
      </w:r>
      <w:r w:rsidR="0050127A">
        <w:rPr>
          <w:rFonts w:ascii="Arial" w:hAnsi="Arial" w:cs="Arial"/>
          <w:color w:val="FF0000"/>
          <w:sz w:val="28"/>
          <w:szCs w:val="28"/>
        </w:rPr>
        <w:t>**********</w:t>
      </w:r>
      <w:r w:rsidRPr="00EC6FB2">
        <w:rPr>
          <w:rFonts w:ascii="Arial" w:hAnsi="Arial" w:cs="Arial"/>
          <w:sz w:val="28"/>
          <w:szCs w:val="28"/>
        </w:rPr>
        <w:t>/202</w:t>
      </w:r>
      <w:r>
        <w:rPr>
          <w:rFonts w:ascii="Arial" w:hAnsi="Arial" w:cs="Arial"/>
          <w:sz w:val="28"/>
          <w:szCs w:val="28"/>
        </w:rPr>
        <w:t>0</w:t>
      </w:r>
      <w:r w:rsidRPr="00EC6FB2">
        <w:rPr>
          <w:rFonts w:ascii="Arial" w:hAnsi="Arial" w:cs="Arial"/>
          <w:sz w:val="28"/>
          <w:szCs w:val="28"/>
        </w:rPr>
        <w:t>-</w:t>
      </w:r>
      <w:r>
        <w:rPr>
          <w:rFonts w:ascii="Arial" w:hAnsi="Arial" w:cs="Arial"/>
          <w:sz w:val="28"/>
          <w:szCs w:val="28"/>
        </w:rPr>
        <w:t>1</w:t>
      </w:r>
      <w:r w:rsidRPr="00EC6FB2">
        <w:rPr>
          <w:rFonts w:ascii="Arial" w:hAnsi="Arial" w:cs="Arial"/>
          <w:sz w:val="28"/>
          <w:szCs w:val="28"/>
        </w:rPr>
        <w:t xml:space="preserve">, </w:t>
      </w:r>
      <w:r>
        <w:rPr>
          <w:rFonts w:ascii="Arial" w:hAnsi="Arial" w:cs="Arial"/>
          <w:sz w:val="28"/>
          <w:szCs w:val="28"/>
        </w:rPr>
        <w:t xml:space="preserve">decretó el sobreseimiento del juicio respecto de los actos impugnados consistentes en </w:t>
      </w:r>
      <w:r w:rsidRPr="003755C5">
        <w:rPr>
          <w:rFonts w:ascii="Arial" w:hAnsi="Arial" w:cs="Arial"/>
          <w:sz w:val="28"/>
          <w:szCs w:val="28"/>
        </w:rPr>
        <w:t xml:space="preserve">la resolución contenida en el oficio número </w:t>
      </w:r>
      <w:r w:rsidR="0050127A">
        <w:rPr>
          <w:rFonts w:ascii="Arial" w:hAnsi="Arial" w:cs="Arial"/>
          <w:color w:val="FF0000"/>
          <w:sz w:val="28"/>
          <w:szCs w:val="28"/>
        </w:rPr>
        <w:t>**********</w:t>
      </w:r>
      <w:r w:rsidRPr="003755C5">
        <w:rPr>
          <w:rFonts w:ascii="Arial" w:hAnsi="Arial" w:cs="Arial"/>
          <w:sz w:val="28"/>
          <w:szCs w:val="28"/>
        </w:rPr>
        <w:t xml:space="preserve">/2020 de once de marzo de dos mil veinte, emitida por el Director de Desarrollo </w:t>
      </w:r>
      <w:r w:rsidRPr="003755C5">
        <w:rPr>
          <w:rFonts w:ascii="Arial" w:hAnsi="Arial" w:cs="Arial"/>
          <w:sz w:val="28"/>
          <w:szCs w:val="28"/>
        </w:rPr>
        <w:lastRenderedPageBreak/>
        <w:t>Urbano y Catastro Municipal de Soledad de Graciano Sánchez, San Luis Potosí; y el Plan Estratégico de Población, San Luis Potosí – Soledad de Graciano Sánchez, publicado en el Periódico Oficial del Estado el veintiuno de agosto de dos mil tres</w:t>
      </w:r>
      <w:r>
        <w:rPr>
          <w:rFonts w:ascii="Arial" w:hAnsi="Arial" w:cs="Arial"/>
          <w:sz w:val="28"/>
          <w:szCs w:val="28"/>
        </w:rPr>
        <w:t>, al tenor de las siguientes consideraciones:</w:t>
      </w:r>
    </w:p>
    <w:p w14:paraId="2CE5C0F5" w14:textId="77777777" w:rsidR="00177FB2" w:rsidRDefault="00177FB2" w:rsidP="0044193A">
      <w:pPr>
        <w:pStyle w:val="Prrafodelista"/>
        <w:widowControl w:val="0"/>
        <w:spacing w:after="0" w:line="360" w:lineRule="auto"/>
        <w:ind w:left="0" w:firstLine="851"/>
        <w:jc w:val="both"/>
        <w:rPr>
          <w:rFonts w:ascii="Arial" w:hAnsi="Arial" w:cs="Arial"/>
          <w:sz w:val="28"/>
          <w:szCs w:val="28"/>
        </w:rPr>
      </w:pPr>
    </w:p>
    <w:p w14:paraId="05284C47" w14:textId="77777777" w:rsidR="00177FB2" w:rsidRPr="009844D1" w:rsidRDefault="00177FB2" w:rsidP="00177FB2">
      <w:pPr>
        <w:spacing w:after="0" w:line="240" w:lineRule="auto"/>
        <w:ind w:left="567" w:right="618"/>
        <w:jc w:val="both"/>
        <w:rPr>
          <w:rFonts w:ascii="Arial Narrow" w:hAnsi="Arial Narrow" w:cs="Arial"/>
          <w:bCs/>
          <w:i/>
          <w:iCs/>
          <w:sz w:val="24"/>
          <w:szCs w:val="24"/>
        </w:rPr>
      </w:pPr>
      <w:r w:rsidRPr="009844D1">
        <w:rPr>
          <w:rFonts w:ascii="Arial Narrow" w:hAnsi="Arial Narrow" w:cs="Arial"/>
          <w:b/>
          <w:bCs/>
          <w:i/>
          <w:iCs/>
          <w:sz w:val="24"/>
          <w:szCs w:val="24"/>
        </w:rPr>
        <w:t>“QUINTO</w:t>
      </w:r>
      <w:r w:rsidRPr="009844D1">
        <w:rPr>
          <w:rFonts w:ascii="Arial Narrow" w:hAnsi="Arial Narrow" w:cs="Arial"/>
          <w:b/>
          <w:bCs/>
          <w:i/>
          <w:sz w:val="24"/>
          <w:szCs w:val="24"/>
        </w:rPr>
        <w:t>.-</w:t>
      </w:r>
      <w:r w:rsidRPr="009844D1">
        <w:rPr>
          <w:rFonts w:ascii="Arial Narrow" w:hAnsi="Arial Narrow" w:cs="Arial"/>
          <w:bCs/>
          <w:i/>
          <w:sz w:val="24"/>
          <w:szCs w:val="24"/>
        </w:rPr>
        <w:t xml:space="preserve"> </w:t>
      </w:r>
      <w:r w:rsidRPr="009844D1">
        <w:rPr>
          <w:rFonts w:ascii="Arial Narrow" w:hAnsi="Arial Narrow" w:cs="Arial"/>
          <w:bCs/>
          <w:i/>
          <w:iCs/>
          <w:sz w:val="24"/>
          <w:szCs w:val="24"/>
        </w:rPr>
        <w:t>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14:paraId="7602E807" w14:textId="77777777" w:rsidR="00177FB2" w:rsidRPr="009844D1" w:rsidRDefault="00177FB2" w:rsidP="00177FB2">
      <w:pPr>
        <w:spacing w:after="0" w:line="240" w:lineRule="auto"/>
        <w:ind w:left="567" w:right="618"/>
        <w:jc w:val="both"/>
        <w:rPr>
          <w:rFonts w:ascii="Arial Narrow" w:hAnsi="Arial Narrow" w:cs="Arial"/>
          <w:bCs/>
          <w:i/>
          <w:iCs/>
          <w:sz w:val="24"/>
          <w:szCs w:val="24"/>
        </w:rPr>
      </w:pPr>
    </w:p>
    <w:p w14:paraId="688C4323"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bCs/>
          <w:i/>
          <w:iCs/>
          <w:sz w:val="24"/>
          <w:szCs w:val="24"/>
        </w:rPr>
        <w:t xml:space="preserve">Bajo esa </w:t>
      </w:r>
      <w:r w:rsidRPr="009844D1">
        <w:rPr>
          <w:rFonts w:ascii="Arial Narrow" w:hAnsi="Arial Narrow" w:cs="Arial"/>
          <w:i/>
          <w:sz w:val="24"/>
          <w:szCs w:val="24"/>
        </w:rPr>
        <w:t>tesitura, es criterio de esta Primera Sala Unitaria, que en el presente juicio se actualizan las causales de improcedencia y sobreseimiento previstas en los artículos 228, fracción IX y 229, fracción II del Código Procesal Administrativo para el Estado de San Luis Potosí, que disponen lo siguiente:</w:t>
      </w:r>
    </w:p>
    <w:p w14:paraId="67F87373" w14:textId="77777777" w:rsidR="00177FB2" w:rsidRPr="009844D1" w:rsidRDefault="00177FB2" w:rsidP="00177FB2">
      <w:pPr>
        <w:spacing w:after="0" w:line="240" w:lineRule="auto"/>
        <w:ind w:left="567" w:right="618"/>
        <w:jc w:val="both"/>
        <w:rPr>
          <w:rFonts w:ascii="Arial Narrow" w:hAnsi="Arial Narrow" w:cs="Arial"/>
          <w:b/>
          <w:i/>
          <w:sz w:val="24"/>
          <w:szCs w:val="24"/>
        </w:rPr>
      </w:pPr>
    </w:p>
    <w:p w14:paraId="4171E588" w14:textId="77777777" w:rsidR="00177FB2" w:rsidRPr="009844D1" w:rsidRDefault="00177FB2" w:rsidP="00177FB2">
      <w:pPr>
        <w:spacing w:after="0" w:line="240" w:lineRule="auto"/>
        <w:ind w:left="567" w:right="618"/>
        <w:jc w:val="both"/>
        <w:rPr>
          <w:rFonts w:cs="Calibri"/>
          <w:i/>
          <w:sz w:val="24"/>
          <w:szCs w:val="24"/>
        </w:rPr>
      </w:pPr>
      <w:r w:rsidRPr="009844D1">
        <w:rPr>
          <w:rFonts w:cs="Calibri"/>
          <w:b/>
          <w:i/>
          <w:sz w:val="24"/>
          <w:szCs w:val="24"/>
        </w:rPr>
        <w:t>““ARTÍCULO 228.</w:t>
      </w:r>
      <w:r w:rsidRPr="009844D1">
        <w:rPr>
          <w:rFonts w:cs="Calibri"/>
          <w:i/>
          <w:sz w:val="24"/>
          <w:szCs w:val="24"/>
        </w:rPr>
        <w:t xml:space="preserve"> Es improcedente el juicio ante el Tribunal contra actos:</w:t>
      </w:r>
    </w:p>
    <w:p w14:paraId="497F7BAE" w14:textId="77777777" w:rsidR="00177FB2" w:rsidRPr="009844D1" w:rsidRDefault="00177FB2" w:rsidP="00177FB2">
      <w:pPr>
        <w:spacing w:after="0" w:line="240" w:lineRule="auto"/>
        <w:ind w:left="567" w:right="618"/>
        <w:jc w:val="both"/>
        <w:rPr>
          <w:rFonts w:cs="Calibri"/>
          <w:i/>
          <w:sz w:val="24"/>
          <w:szCs w:val="24"/>
        </w:rPr>
      </w:pPr>
      <w:r w:rsidRPr="009844D1">
        <w:rPr>
          <w:rFonts w:cs="Calibri"/>
          <w:i/>
          <w:sz w:val="24"/>
          <w:szCs w:val="24"/>
        </w:rPr>
        <w:t>…</w:t>
      </w:r>
    </w:p>
    <w:p w14:paraId="3AB8A3EB" w14:textId="77777777" w:rsidR="00177FB2" w:rsidRPr="009844D1" w:rsidRDefault="00177FB2" w:rsidP="00177FB2">
      <w:pPr>
        <w:spacing w:after="0" w:line="240" w:lineRule="auto"/>
        <w:ind w:left="567" w:right="618"/>
        <w:jc w:val="both"/>
        <w:rPr>
          <w:rFonts w:cs="Calibri"/>
          <w:i/>
          <w:sz w:val="24"/>
          <w:szCs w:val="24"/>
        </w:rPr>
      </w:pPr>
    </w:p>
    <w:p w14:paraId="587542D0" w14:textId="77777777" w:rsidR="00177FB2" w:rsidRPr="009844D1" w:rsidRDefault="00177FB2" w:rsidP="00177FB2">
      <w:pPr>
        <w:spacing w:after="0" w:line="240" w:lineRule="auto"/>
        <w:ind w:left="567" w:right="618"/>
        <w:jc w:val="both"/>
        <w:rPr>
          <w:rFonts w:cs="Calibri"/>
          <w:i/>
          <w:sz w:val="24"/>
          <w:szCs w:val="24"/>
        </w:rPr>
      </w:pPr>
      <w:r w:rsidRPr="009844D1">
        <w:rPr>
          <w:rFonts w:cs="Calibri"/>
          <w:b/>
          <w:i/>
          <w:sz w:val="24"/>
          <w:szCs w:val="24"/>
        </w:rPr>
        <w:t>IX.</w:t>
      </w:r>
      <w:r w:rsidRPr="009844D1">
        <w:rPr>
          <w:rFonts w:cs="Calibri"/>
          <w:i/>
          <w:sz w:val="24"/>
          <w:szCs w:val="24"/>
        </w:rPr>
        <w:t xml:space="preserve"> Contra actos cuyos efectos legales o materiales hayan cesado o que no puedan surtirse efectos por haber dejado de existir el objeto o materia del mismo;</w:t>
      </w:r>
    </w:p>
    <w:p w14:paraId="25911A9A" w14:textId="77777777" w:rsidR="00177FB2" w:rsidRPr="009844D1" w:rsidRDefault="00177FB2" w:rsidP="00177FB2">
      <w:pPr>
        <w:spacing w:after="0" w:line="240" w:lineRule="auto"/>
        <w:ind w:left="567" w:right="618"/>
        <w:jc w:val="both"/>
        <w:rPr>
          <w:rFonts w:cs="Calibri"/>
          <w:i/>
          <w:sz w:val="24"/>
          <w:szCs w:val="24"/>
        </w:rPr>
      </w:pPr>
      <w:r w:rsidRPr="009844D1">
        <w:rPr>
          <w:rFonts w:cs="Calibri"/>
          <w:i/>
          <w:sz w:val="24"/>
          <w:szCs w:val="24"/>
        </w:rPr>
        <w:t>(…)</w:t>
      </w:r>
      <w:r w:rsidRPr="009844D1">
        <w:rPr>
          <w:rFonts w:cs="Calibri"/>
          <w:b/>
          <w:i/>
          <w:sz w:val="24"/>
          <w:szCs w:val="24"/>
        </w:rPr>
        <w:t>”</w:t>
      </w:r>
    </w:p>
    <w:p w14:paraId="4AB65525" w14:textId="77777777" w:rsidR="00177FB2" w:rsidRPr="009844D1" w:rsidRDefault="00177FB2" w:rsidP="00177FB2">
      <w:pPr>
        <w:spacing w:after="0" w:line="240" w:lineRule="auto"/>
        <w:ind w:left="567" w:right="618"/>
        <w:jc w:val="both"/>
        <w:rPr>
          <w:rFonts w:cs="Calibri"/>
          <w:b/>
          <w:i/>
          <w:sz w:val="24"/>
          <w:szCs w:val="24"/>
        </w:rPr>
      </w:pPr>
    </w:p>
    <w:p w14:paraId="4FED460E" w14:textId="77777777" w:rsidR="00177FB2" w:rsidRPr="009844D1" w:rsidRDefault="00177FB2" w:rsidP="00177FB2">
      <w:pPr>
        <w:spacing w:after="0" w:line="240" w:lineRule="auto"/>
        <w:ind w:left="567" w:right="618"/>
        <w:jc w:val="both"/>
        <w:rPr>
          <w:rFonts w:cs="Calibri"/>
          <w:i/>
          <w:sz w:val="24"/>
          <w:szCs w:val="24"/>
        </w:rPr>
      </w:pPr>
      <w:r w:rsidRPr="009844D1">
        <w:rPr>
          <w:rFonts w:cs="Calibri"/>
          <w:b/>
          <w:i/>
          <w:sz w:val="24"/>
          <w:szCs w:val="24"/>
        </w:rPr>
        <w:t>“ARTÍCULO 229.</w:t>
      </w:r>
      <w:r w:rsidRPr="009844D1">
        <w:rPr>
          <w:rFonts w:cs="Calibri"/>
          <w:i/>
          <w:sz w:val="24"/>
          <w:szCs w:val="24"/>
        </w:rPr>
        <w:t xml:space="preserve"> Procede el sobreseimiento del juicio: </w:t>
      </w:r>
    </w:p>
    <w:p w14:paraId="5CA56A37" w14:textId="77777777" w:rsidR="00177FB2" w:rsidRPr="009844D1" w:rsidRDefault="00177FB2" w:rsidP="00177FB2">
      <w:pPr>
        <w:spacing w:after="0" w:line="240" w:lineRule="auto"/>
        <w:ind w:left="567" w:right="618"/>
        <w:jc w:val="both"/>
        <w:rPr>
          <w:rFonts w:cs="Calibri"/>
          <w:i/>
          <w:sz w:val="24"/>
          <w:szCs w:val="24"/>
        </w:rPr>
      </w:pPr>
      <w:r w:rsidRPr="009844D1">
        <w:rPr>
          <w:rFonts w:cs="Calibri"/>
          <w:i/>
          <w:sz w:val="24"/>
          <w:szCs w:val="24"/>
        </w:rPr>
        <w:t>…</w:t>
      </w:r>
    </w:p>
    <w:p w14:paraId="50E8A5BB" w14:textId="77777777" w:rsidR="00177FB2" w:rsidRPr="009844D1" w:rsidRDefault="00177FB2" w:rsidP="00177FB2">
      <w:pPr>
        <w:spacing w:after="0" w:line="240" w:lineRule="auto"/>
        <w:ind w:left="567" w:right="618"/>
        <w:jc w:val="both"/>
        <w:rPr>
          <w:rFonts w:cs="Calibri"/>
          <w:b/>
          <w:i/>
          <w:sz w:val="24"/>
          <w:szCs w:val="24"/>
        </w:rPr>
      </w:pPr>
    </w:p>
    <w:p w14:paraId="082AEA67" w14:textId="77777777" w:rsidR="00177FB2" w:rsidRPr="009844D1" w:rsidRDefault="00177FB2" w:rsidP="00177FB2">
      <w:pPr>
        <w:spacing w:after="0" w:line="240" w:lineRule="auto"/>
        <w:ind w:left="567" w:right="618"/>
        <w:jc w:val="both"/>
        <w:rPr>
          <w:rFonts w:cs="Calibri"/>
          <w:i/>
          <w:sz w:val="24"/>
          <w:szCs w:val="24"/>
        </w:rPr>
      </w:pPr>
      <w:r w:rsidRPr="009844D1">
        <w:rPr>
          <w:rFonts w:cs="Calibri"/>
          <w:b/>
          <w:i/>
          <w:sz w:val="24"/>
          <w:szCs w:val="24"/>
        </w:rPr>
        <w:t>II.</w:t>
      </w:r>
      <w:r w:rsidRPr="009844D1">
        <w:rPr>
          <w:rFonts w:cs="Calibri"/>
          <w:i/>
          <w:sz w:val="24"/>
          <w:szCs w:val="24"/>
        </w:rPr>
        <w:t xml:space="preserve"> Cuando durante la tramitación del procedimiento sobreviniere alguna de las causas de improcedencia a que se refiere el artículo anterior;</w:t>
      </w:r>
    </w:p>
    <w:p w14:paraId="716F215F" w14:textId="77777777" w:rsidR="00177FB2" w:rsidRPr="009844D1" w:rsidRDefault="00177FB2" w:rsidP="00177FB2">
      <w:pPr>
        <w:spacing w:after="0" w:line="240" w:lineRule="auto"/>
        <w:ind w:left="567" w:right="618"/>
        <w:jc w:val="both"/>
        <w:rPr>
          <w:rFonts w:cs="Calibri"/>
          <w:i/>
          <w:sz w:val="24"/>
          <w:szCs w:val="24"/>
        </w:rPr>
      </w:pPr>
      <w:r w:rsidRPr="009844D1">
        <w:rPr>
          <w:rFonts w:cs="Calibri"/>
          <w:i/>
          <w:sz w:val="24"/>
          <w:szCs w:val="24"/>
        </w:rPr>
        <w:t>(…)</w:t>
      </w:r>
      <w:r w:rsidRPr="009844D1">
        <w:rPr>
          <w:rFonts w:cs="Calibri"/>
          <w:b/>
          <w:i/>
          <w:sz w:val="24"/>
          <w:szCs w:val="24"/>
        </w:rPr>
        <w:t>””</w:t>
      </w:r>
    </w:p>
    <w:p w14:paraId="4F601CF1" w14:textId="77777777" w:rsidR="00177FB2" w:rsidRPr="009844D1" w:rsidRDefault="00177FB2" w:rsidP="00177FB2">
      <w:pPr>
        <w:spacing w:after="0" w:line="240" w:lineRule="auto"/>
        <w:ind w:left="567" w:right="618"/>
        <w:jc w:val="both"/>
        <w:rPr>
          <w:rFonts w:ascii="Arial Narrow" w:hAnsi="Arial Narrow" w:cs="Arial"/>
          <w:b/>
          <w:bCs/>
          <w:i/>
          <w:iCs/>
          <w:sz w:val="24"/>
          <w:szCs w:val="24"/>
        </w:rPr>
      </w:pPr>
    </w:p>
    <w:p w14:paraId="354324E4" w14:textId="77777777" w:rsidR="00177FB2" w:rsidRPr="009844D1" w:rsidRDefault="00177FB2" w:rsidP="00177FB2">
      <w:pPr>
        <w:spacing w:after="0" w:line="240" w:lineRule="auto"/>
        <w:ind w:left="567" w:right="618"/>
        <w:jc w:val="both"/>
        <w:rPr>
          <w:rFonts w:ascii="Arial Narrow" w:hAnsi="Arial Narrow" w:cs="Arial"/>
          <w:bCs/>
          <w:i/>
          <w:iCs/>
          <w:sz w:val="24"/>
          <w:szCs w:val="24"/>
        </w:rPr>
      </w:pPr>
      <w:r w:rsidRPr="009844D1">
        <w:rPr>
          <w:rFonts w:ascii="Arial Narrow" w:hAnsi="Arial Narrow" w:cs="Arial"/>
          <w:bCs/>
          <w:i/>
          <w:iCs/>
          <w:sz w:val="24"/>
          <w:szCs w:val="24"/>
        </w:rPr>
        <w:t>De los preceptos transcritos, se advierte que el juicio contencioso administrativo es improcedente, entre otros supuestos, en contra de los actos cuyos efectos legales o materiales hayan cesado. Además se desprende que es procedente sobreseer el juicio contencioso administrativo, cuando durante el juicio sobreviniere alguna de las causas de improcedencia.</w:t>
      </w:r>
    </w:p>
    <w:p w14:paraId="6BEB0269"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31C87034" w14:textId="327DE23E"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La pretensión de la parte actora en el presente juicio, entre otras, consiste en que se </w:t>
      </w:r>
      <w:r w:rsidRPr="009844D1">
        <w:rPr>
          <w:rFonts w:ascii="Arial Narrow" w:hAnsi="Arial Narrow" w:cs="Arial"/>
          <w:b/>
          <w:i/>
          <w:sz w:val="24"/>
          <w:szCs w:val="24"/>
        </w:rPr>
        <w:t xml:space="preserve">declare la nulidad </w:t>
      </w:r>
      <w:r w:rsidRPr="009844D1">
        <w:rPr>
          <w:rFonts w:ascii="Arial Narrow" w:hAnsi="Arial Narrow" w:cs="Arial"/>
          <w:i/>
          <w:sz w:val="24"/>
          <w:szCs w:val="24"/>
        </w:rPr>
        <w:t xml:space="preserve">de la resolución contenida en el oficio número </w:t>
      </w:r>
      <w:r w:rsidR="0050127A">
        <w:rPr>
          <w:rFonts w:ascii="Arial Narrow" w:hAnsi="Arial Narrow" w:cs="Arial"/>
          <w:b/>
          <w:i/>
          <w:color w:val="FF0000"/>
          <w:sz w:val="24"/>
          <w:szCs w:val="24"/>
        </w:rPr>
        <w:t>**********</w:t>
      </w:r>
      <w:r w:rsidRPr="009844D1">
        <w:rPr>
          <w:rFonts w:ascii="Arial Narrow" w:hAnsi="Arial Narrow" w:cs="Arial"/>
          <w:i/>
          <w:sz w:val="24"/>
          <w:szCs w:val="24"/>
        </w:rPr>
        <w:t xml:space="preserve"> de </w:t>
      </w:r>
      <w:r w:rsidRPr="009844D1">
        <w:rPr>
          <w:rFonts w:ascii="Arial Narrow" w:hAnsi="Arial Narrow" w:cs="Arial"/>
          <w:i/>
          <w:color w:val="0033CC"/>
          <w:sz w:val="24"/>
          <w:szCs w:val="24"/>
        </w:rPr>
        <w:t xml:space="preserve">once de marzo de dos mil veinte </w:t>
      </w:r>
      <w:r w:rsidRPr="009844D1">
        <w:rPr>
          <w:rFonts w:ascii="Arial Narrow" w:hAnsi="Arial Narrow" w:cs="Arial"/>
          <w:i/>
          <w:sz w:val="24"/>
          <w:szCs w:val="24"/>
        </w:rPr>
        <w:t>–visible en autos a folio</w:t>
      </w:r>
      <w:r w:rsidRPr="009844D1">
        <w:rPr>
          <w:rFonts w:ascii="Arial Narrow" w:hAnsi="Arial Narrow" w:cs="Arial"/>
          <w:bCs/>
          <w:i/>
          <w:iCs/>
          <w:color w:val="0033CC"/>
          <w:sz w:val="24"/>
          <w:szCs w:val="24"/>
        </w:rPr>
        <w:t xml:space="preserve"> 046</w:t>
      </w:r>
      <w:r w:rsidRPr="009844D1">
        <w:rPr>
          <w:rFonts w:ascii="Arial Narrow" w:hAnsi="Arial Narrow" w:cs="Arial"/>
          <w:i/>
          <w:sz w:val="24"/>
          <w:szCs w:val="24"/>
        </w:rPr>
        <w:t>-, a través de la</w:t>
      </w:r>
      <w:r w:rsidRPr="009844D1">
        <w:rPr>
          <w:rFonts w:ascii="Arial Narrow" w:hAnsi="Arial Narrow" w:cs="Arial"/>
          <w:b/>
          <w:i/>
          <w:sz w:val="24"/>
          <w:szCs w:val="24"/>
        </w:rPr>
        <w:t xml:space="preserve"> </w:t>
      </w:r>
      <w:r w:rsidRPr="009844D1">
        <w:rPr>
          <w:rFonts w:ascii="Arial Narrow" w:hAnsi="Arial Narrow" w:cs="Arial"/>
          <w:i/>
          <w:sz w:val="24"/>
          <w:szCs w:val="24"/>
        </w:rPr>
        <w:t>cual el</w:t>
      </w:r>
      <w:r w:rsidRPr="009844D1">
        <w:rPr>
          <w:rFonts w:ascii="Arial Narrow" w:hAnsi="Arial Narrow" w:cs="Arial"/>
          <w:b/>
          <w:i/>
          <w:sz w:val="24"/>
          <w:szCs w:val="24"/>
        </w:rPr>
        <w:t xml:space="preserve"> </w:t>
      </w:r>
      <w:r w:rsidRPr="009844D1">
        <w:rPr>
          <w:rFonts w:ascii="Arial Narrow" w:hAnsi="Arial Narrow" w:cs="Arial"/>
          <w:bCs/>
          <w:i/>
          <w:iCs/>
          <w:color w:val="0033CC"/>
          <w:sz w:val="24"/>
          <w:szCs w:val="24"/>
        </w:rPr>
        <w:t xml:space="preserve">Director de Desarrollo Urbano y Catastro Municipal de </w:t>
      </w:r>
      <w:r w:rsidRPr="009844D1">
        <w:rPr>
          <w:rFonts w:ascii="Arial Narrow" w:hAnsi="Arial Narrow" w:cs="Arial"/>
          <w:bCs/>
          <w:i/>
          <w:iCs/>
          <w:color w:val="0033CC"/>
          <w:sz w:val="24"/>
          <w:szCs w:val="24"/>
        </w:rPr>
        <w:lastRenderedPageBreak/>
        <w:t>Soledad de Graciano Sánchez, San Luis Potosí</w:t>
      </w:r>
      <w:r w:rsidRPr="009844D1">
        <w:rPr>
          <w:rFonts w:ascii="Arial Narrow" w:hAnsi="Arial Narrow" w:cs="Arial"/>
          <w:i/>
          <w:sz w:val="24"/>
          <w:szCs w:val="24"/>
        </w:rPr>
        <w:t>,</w:t>
      </w:r>
      <w:r w:rsidRPr="009844D1">
        <w:rPr>
          <w:rFonts w:ascii="Arial Narrow" w:hAnsi="Arial Narrow" w:cs="Arial"/>
          <w:bCs/>
          <w:i/>
          <w:iCs/>
          <w:color w:val="0033CC"/>
          <w:sz w:val="24"/>
          <w:szCs w:val="24"/>
        </w:rPr>
        <w:t xml:space="preserve"> </w:t>
      </w:r>
      <w:r w:rsidRPr="009844D1">
        <w:rPr>
          <w:rFonts w:ascii="Arial Narrow" w:hAnsi="Arial Narrow" w:cs="Arial"/>
          <w:b/>
          <w:i/>
          <w:sz w:val="24"/>
          <w:szCs w:val="24"/>
        </w:rPr>
        <w:t xml:space="preserve">resolvió </w:t>
      </w:r>
      <w:r w:rsidRPr="009844D1">
        <w:rPr>
          <w:rFonts w:ascii="Arial Narrow" w:hAnsi="Arial Narrow" w:cs="Arial"/>
          <w:b/>
          <w:i/>
          <w:sz w:val="24"/>
          <w:szCs w:val="24"/>
          <w:u w:val="single"/>
        </w:rPr>
        <w:t>no autorizar</w:t>
      </w:r>
      <w:r w:rsidRPr="009844D1">
        <w:rPr>
          <w:rFonts w:ascii="Arial Narrow" w:hAnsi="Arial Narrow" w:cs="Arial"/>
          <w:b/>
          <w:i/>
          <w:sz w:val="24"/>
          <w:szCs w:val="24"/>
        </w:rPr>
        <w:t xml:space="preserve"> la licencia de uso de suelo solicitada por la hoy demandante</w:t>
      </w:r>
      <w:r w:rsidRPr="009844D1">
        <w:rPr>
          <w:rFonts w:ascii="Arial Narrow" w:hAnsi="Arial Narrow" w:cs="Arial"/>
          <w:i/>
          <w:sz w:val="24"/>
          <w:szCs w:val="24"/>
        </w:rPr>
        <w:t xml:space="preserve">, para una “granja avícola” en el predio ubicado en la </w:t>
      </w:r>
      <w:r w:rsidR="0050127A">
        <w:rPr>
          <w:rFonts w:ascii="Arial Narrow" w:hAnsi="Arial Narrow" w:cs="Arial"/>
          <w:i/>
          <w:color w:val="FF0000"/>
          <w:sz w:val="24"/>
          <w:szCs w:val="24"/>
        </w:rPr>
        <w:t>**********</w:t>
      </w:r>
    </w:p>
    <w:p w14:paraId="718550AE"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22752297"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Del análisis a las constancias que obran en autos, se desprenden los antecedentes siguientes:</w:t>
      </w:r>
    </w:p>
    <w:p w14:paraId="02BCCC9B"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2002104E" w14:textId="6F05DDC1" w:rsidR="00177FB2" w:rsidRPr="009844D1" w:rsidRDefault="00177FB2" w:rsidP="00177FB2">
      <w:pPr>
        <w:numPr>
          <w:ilvl w:val="0"/>
          <w:numId w:val="8"/>
        </w:numPr>
        <w:spacing w:after="0" w:line="240" w:lineRule="auto"/>
        <w:ind w:left="567" w:right="618" w:firstLine="0"/>
        <w:jc w:val="both"/>
        <w:rPr>
          <w:rFonts w:ascii="Arial Narrow" w:hAnsi="Arial Narrow" w:cs="Arial"/>
          <w:i/>
          <w:sz w:val="24"/>
          <w:szCs w:val="24"/>
        </w:rPr>
      </w:pPr>
      <w:r w:rsidRPr="009844D1">
        <w:rPr>
          <w:rFonts w:ascii="Arial Narrow" w:hAnsi="Arial Narrow" w:cs="Arial"/>
          <w:i/>
          <w:sz w:val="24"/>
          <w:szCs w:val="24"/>
        </w:rPr>
        <w:t xml:space="preserve">El </w:t>
      </w:r>
      <w:r w:rsidRPr="009844D1">
        <w:rPr>
          <w:rFonts w:ascii="Arial Narrow" w:hAnsi="Arial Narrow" w:cs="Arial"/>
          <w:i/>
          <w:color w:val="0033CC"/>
          <w:sz w:val="24"/>
          <w:szCs w:val="24"/>
        </w:rPr>
        <w:t>18 de febrero de 2020</w:t>
      </w:r>
      <w:r w:rsidRPr="009844D1">
        <w:rPr>
          <w:rFonts w:ascii="Arial Narrow" w:hAnsi="Arial Narrow" w:cs="Arial"/>
          <w:i/>
          <w:sz w:val="24"/>
          <w:szCs w:val="24"/>
        </w:rPr>
        <w:t xml:space="preserve">, la hoy actora </w:t>
      </w:r>
      <w:r w:rsidRPr="009844D1">
        <w:rPr>
          <w:rFonts w:ascii="Arial Narrow" w:hAnsi="Arial Narrow" w:cs="Arial"/>
          <w:b/>
          <w:i/>
          <w:sz w:val="24"/>
          <w:szCs w:val="24"/>
        </w:rPr>
        <w:t>solicitó</w:t>
      </w:r>
      <w:r w:rsidRPr="009844D1">
        <w:rPr>
          <w:rFonts w:ascii="Arial Narrow" w:hAnsi="Arial Narrow" w:cs="Arial"/>
          <w:i/>
          <w:sz w:val="24"/>
          <w:szCs w:val="24"/>
        </w:rPr>
        <w:t xml:space="preserve"> a la referida autoridad demandada la autorización de </w:t>
      </w:r>
      <w:r w:rsidRPr="009844D1">
        <w:rPr>
          <w:rFonts w:ascii="Arial Narrow" w:hAnsi="Arial Narrow" w:cs="Arial"/>
          <w:b/>
          <w:i/>
          <w:sz w:val="24"/>
          <w:szCs w:val="24"/>
        </w:rPr>
        <w:t>Licencia de Uso de Suelo de Funcionamiento</w:t>
      </w:r>
      <w:r w:rsidRPr="009844D1">
        <w:rPr>
          <w:rFonts w:ascii="Arial Narrow" w:hAnsi="Arial Narrow" w:cs="Arial"/>
          <w:i/>
          <w:sz w:val="24"/>
          <w:szCs w:val="24"/>
        </w:rPr>
        <w:t xml:space="preserve"> </w:t>
      </w:r>
      <w:r w:rsidRPr="009844D1">
        <w:rPr>
          <w:rFonts w:ascii="Arial Narrow" w:hAnsi="Arial Narrow" w:cs="Arial"/>
          <w:b/>
          <w:i/>
          <w:sz w:val="24"/>
          <w:szCs w:val="24"/>
          <w:u w:val="single"/>
        </w:rPr>
        <w:t>para una</w:t>
      </w:r>
      <w:r w:rsidRPr="009844D1">
        <w:rPr>
          <w:rFonts w:ascii="Arial Narrow" w:hAnsi="Arial Narrow" w:cs="Arial"/>
          <w:b/>
          <w:i/>
          <w:sz w:val="24"/>
          <w:szCs w:val="24"/>
        </w:rPr>
        <w:t xml:space="preserve"> “</w:t>
      </w:r>
      <w:r w:rsidRPr="009844D1">
        <w:rPr>
          <w:rFonts w:ascii="Arial Narrow" w:hAnsi="Arial Narrow" w:cs="Arial"/>
          <w:b/>
          <w:i/>
          <w:sz w:val="24"/>
          <w:szCs w:val="24"/>
          <w:u w:val="single"/>
        </w:rPr>
        <w:t>Granja Avícola</w:t>
      </w:r>
      <w:r w:rsidRPr="009844D1">
        <w:rPr>
          <w:rFonts w:ascii="Arial Narrow" w:hAnsi="Arial Narrow" w:cs="Arial"/>
          <w:b/>
          <w:i/>
          <w:sz w:val="24"/>
          <w:szCs w:val="24"/>
        </w:rPr>
        <w:t>”</w:t>
      </w:r>
      <w:r w:rsidRPr="009844D1">
        <w:rPr>
          <w:rFonts w:ascii="Arial Narrow" w:hAnsi="Arial Narrow" w:cs="Arial"/>
          <w:i/>
          <w:sz w:val="24"/>
          <w:szCs w:val="24"/>
        </w:rPr>
        <w:t xml:space="preserve">, respecto del predio ubicado en la </w:t>
      </w:r>
      <w:r w:rsidR="0050127A">
        <w:rPr>
          <w:rFonts w:ascii="Arial Narrow" w:hAnsi="Arial Narrow" w:cs="Arial"/>
          <w:i/>
          <w:color w:val="FF0000"/>
          <w:sz w:val="24"/>
          <w:szCs w:val="24"/>
        </w:rPr>
        <w:t>**********</w:t>
      </w:r>
    </w:p>
    <w:p w14:paraId="0A384A72"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2C8CB42F" w14:textId="14BA9AA1" w:rsidR="00177FB2" w:rsidRPr="009844D1" w:rsidRDefault="00177FB2" w:rsidP="00177FB2">
      <w:pPr>
        <w:numPr>
          <w:ilvl w:val="0"/>
          <w:numId w:val="8"/>
        </w:numPr>
        <w:spacing w:after="0" w:line="240" w:lineRule="auto"/>
        <w:ind w:left="567" w:right="618" w:firstLine="0"/>
        <w:jc w:val="both"/>
        <w:rPr>
          <w:rFonts w:ascii="Arial Narrow" w:hAnsi="Arial Narrow" w:cs="Arial"/>
          <w:i/>
          <w:sz w:val="24"/>
          <w:szCs w:val="24"/>
        </w:rPr>
      </w:pPr>
      <w:r w:rsidRPr="009844D1">
        <w:rPr>
          <w:rFonts w:ascii="Arial Narrow" w:hAnsi="Arial Narrow" w:cs="Arial"/>
          <w:i/>
          <w:sz w:val="24"/>
          <w:szCs w:val="24"/>
        </w:rPr>
        <w:t xml:space="preserve">El </w:t>
      </w:r>
      <w:r w:rsidRPr="009844D1">
        <w:rPr>
          <w:rFonts w:ascii="Arial Narrow" w:hAnsi="Arial Narrow" w:cs="Arial"/>
          <w:i/>
          <w:color w:val="0033CC"/>
          <w:sz w:val="24"/>
          <w:szCs w:val="24"/>
        </w:rPr>
        <w:t>11 de marzo de 2020</w:t>
      </w:r>
      <w:r w:rsidRPr="009844D1">
        <w:rPr>
          <w:rFonts w:ascii="Arial Narrow" w:hAnsi="Arial Narrow" w:cs="Arial"/>
          <w:i/>
          <w:sz w:val="24"/>
          <w:szCs w:val="24"/>
        </w:rPr>
        <w:t xml:space="preserve">, la autoridad demandada en respuesta a dicha petición, </w:t>
      </w:r>
      <w:r w:rsidRPr="009844D1">
        <w:rPr>
          <w:rFonts w:ascii="Arial Narrow" w:hAnsi="Arial Narrow" w:cs="Arial"/>
          <w:b/>
          <w:i/>
          <w:sz w:val="24"/>
          <w:szCs w:val="24"/>
          <w:u w:val="single"/>
        </w:rPr>
        <w:t>negó</w:t>
      </w:r>
      <w:r w:rsidRPr="009844D1">
        <w:rPr>
          <w:rFonts w:ascii="Arial Narrow" w:hAnsi="Arial Narrow" w:cs="Arial"/>
          <w:b/>
          <w:i/>
          <w:sz w:val="24"/>
          <w:szCs w:val="24"/>
        </w:rPr>
        <w:t xml:space="preserve"> la autorización solicitada </w:t>
      </w:r>
      <w:r w:rsidRPr="009844D1">
        <w:rPr>
          <w:rFonts w:ascii="Arial Narrow" w:hAnsi="Arial Narrow" w:cs="Arial"/>
          <w:i/>
          <w:sz w:val="24"/>
          <w:szCs w:val="24"/>
        </w:rPr>
        <w:t xml:space="preserve">mediante el oficio número </w:t>
      </w:r>
      <w:r w:rsidR="0050127A">
        <w:rPr>
          <w:rFonts w:ascii="Arial Narrow" w:hAnsi="Arial Narrow" w:cs="Arial"/>
          <w:b/>
          <w:i/>
          <w:color w:val="FF0000"/>
          <w:sz w:val="24"/>
          <w:szCs w:val="24"/>
        </w:rPr>
        <w:t>**********</w:t>
      </w:r>
      <w:r w:rsidRPr="009844D1">
        <w:rPr>
          <w:rFonts w:ascii="Arial Narrow" w:hAnsi="Arial Narrow" w:cs="Arial"/>
          <w:i/>
          <w:sz w:val="24"/>
          <w:szCs w:val="24"/>
        </w:rPr>
        <w:t xml:space="preserve"> de </w:t>
      </w:r>
      <w:r w:rsidRPr="009844D1">
        <w:rPr>
          <w:rFonts w:ascii="Arial Narrow" w:hAnsi="Arial Narrow" w:cs="Arial"/>
          <w:i/>
          <w:color w:val="0033CC"/>
          <w:sz w:val="24"/>
          <w:szCs w:val="24"/>
        </w:rPr>
        <w:t xml:space="preserve">once de marzo de dos mil veinte </w:t>
      </w:r>
      <w:r w:rsidRPr="009844D1">
        <w:rPr>
          <w:rFonts w:ascii="Arial Narrow" w:hAnsi="Arial Narrow" w:cs="Arial"/>
          <w:i/>
          <w:sz w:val="24"/>
          <w:szCs w:val="24"/>
        </w:rPr>
        <w:t>(</w:t>
      </w:r>
      <w:r w:rsidRPr="009844D1">
        <w:rPr>
          <w:rFonts w:ascii="Arial Narrow" w:hAnsi="Arial Narrow" w:cs="Arial"/>
          <w:b/>
          <w:i/>
          <w:sz w:val="24"/>
          <w:szCs w:val="24"/>
        </w:rPr>
        <w:t>Acto impugnado</w:t>
      </w:r>
      <w:r w:rsidRPr="009844D1">
        <w:rPr>
          <w:rFonts w:ascii="Arial Narrow" w:hAnsi="Arial Narrow" w:cs="Arial"/>
          <w:i/>
          <w:sz w:val="24"/>
          <w:szCs w:val="24"/>
        </w:rPr>
        <w:t xml:space="preserve">), en virtud de que no era factible “…en base al Anexo 2 de las normas de Uso de Suelo vigentes, esto conforme al </w:t>
      </w:r>
      <w:r w:rsidRPr="009844D1">
        <w:rPr>
          <w:rFonts w:ascii="Arial Narrow" w:hAnsi="Arial Narrow" w:cs="Arial"/>
          <w:bCs/>
          <w:i/>
          <w:iCs/>
          <w:sz w:val="24"/>
          <w:szCs w:val="24"/>
        </w:rPr>
        <w:t xml:space="preserve">Plan del Centro de Población Estratégico San Luis Potosí – Soledad de Graciano Sánchez, </w:t>
      </w:r>
      <w:r w:rsidRPr="009844D1">
        <w:rPr>
          <w:rFonts w:ascii="Arial Narrow" w:hAnsi="Arial Narrow" w:cs="Arial"/>
          <w:bCs/>
          <w:i/>
          <w:iCs/>
          <w:sz w:val="24"/>
          <w:szCs w:val="24"/>
          <w:u w:val="single"/>
        </w:rPr>
        <w:t>ya que en dicho plan se marca como Zona “AS” Área Silvestre</w:t>
      </w:r>
      <w:r w:rsidRPr="009844D1">
        <w:rPr>
          <w:rFonts w:ascii="Arial Narrow" w:hAnsi="Arial Narrow" w:cs="Arial"/>
          <w:bCs/>
          <w:i/>
          <w:iCs/>
          <w:sz w:val="24"/>
          <w:szCs w:val="24"/>
        </w:rPr>
        <w:t xml:space="preserve"> (son aquellas por sus características específicas </w:t>
      </w:r>
      <w:r w:rsidRPr="009844D1">
        <w:rPr>
          <w:rFonts w:ascii="Arial Narrow" w:hAnsi="Arial Narrow" w:cs="Arial"/>
          <w:bCs/>
          <w:i/>
          <w:iCs/>
          <w:sz w:val="24"/>
          <w:szCs w:val="24"/>
          <w:u w:val="single"/>
        </w:rPr>
        <w:t>no son susceptibles de aprovechamiento, debiendo mantenerse en su estado original</w:t>
      </w:r>
      <w:r w:rsidRPr="009844D1">
        <w:rPr>
          <w:rFonts w:ascii="Arial Narrow" w:hAnsi="Arial Narrow" w:cs="Arial"/>
          <w:bCs/>
          <w:i/>
          <w:iCs/>
          <w:sz w:val="24"/>
          <w:szCs w:val="24"/>
        </w:rPr>
        <w:t>)”. (Énfasis añadido)</w:t>
      </w:r>
    </w:p>
    <w:p w14:paraId="2CE92E77"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08A85856" w14:textId="77777777" w:rsidR="00177FB2" w:rsidRPr="009844D1" w:rsidRDefault="00177FB2" w:rsidP="00177FB2">
      <w:pPr>
        <w:numPr>
          <w:ilvl w:val="0"/>
          <w:numId w:val="8"/>
        </w:numPr>
        <w:spacing w:after="0" w:line="240" w:lineRule="auto"/>
        <w:ind w:left="567" w:right="618" w:firstLine="0"/>
        <w:jc w:val="both"/>
        <w:rPr>
          <w:rFonts w:ascii="Arial Narrow" w:hAnsi="Arial Narrow" w:cs="Arial"/>
          <w:i/>
          <w:sz w:val="24"/>
          <w:szCs w:val="24"/>
        </w:rPr>
      </w:pPr>
      <w:r w:rsidRPr="009844D1">
        <w:rPr>
          <w:rFonts w:ascii="Arial Narrow" w:hAnsi="Arial Narrow" w:cs="Arial"/>
          <w:i/>
          <w:sz w:val="24"/>
          <w:szCs w:val="24"/>
        </w:rPr>
        <w:t xml:space="preserve">El </w:t>
      </w:r>
      <w:r w:rsidRPr="009844D1">
        <w:rPr>
          <w:rFonts w:ascii="Arial Narrow" w:hAnsi="Arial Narrow" w:cs="Arial"/>
          <w:i/>
          <w:color w:val="0033CC"/>
          <w:sz w:val="24"/>
          <w:szCs w:val="24"/>
        </w:rPr>
        <w:t>16 de junio de 2020</w:t>
      </w:r>
      <w:r w:rsidRPr="009844D1">
        <w:rPr>
          <w:rFonts w:ascii="Arial Narrow" w:hAnsi="Arial Narrow" w:cs="Arial"/>
          <w:i/>
          <w:sz w:val="24"/>
          <w:szCs w:val="24"/>
        </w:rPr>
        <w:t xml:space="preserve">, la hoy actora celebró el “CONVENIO DE RECONOCIMIENTO DE OBLIGACIÓN DE PAGO” con el Ayuntamiento de Soledad de Graciano Sánchez, S.L.P., en cuya cláusula Primera se convino  lo siguiente: “LA CONTRIBUYENTE” </w:t>
      </w:r>
      <w:r w:rsidRPr="009844D1">
        <w:rPr>
          <w:rFonts w:ascii="Arial Narrow" w:hAnsi="Arial Narrow" w:cs="Arial"/>
          <w:i/>
          <w:sz w:val="24"/>
          <w:szCs w:val="24"/>
          <w:u w:val="single"/>
        </w:rPr>
        <w:t>reconoce su obligación de pago por los derechos por la prestación de los servicios públicos</w:t>
      </w:r>
      <w:r w:rsidRPr="009844D1">
        <w:rPr>
          <w:rFonts w:ascii="Arial Narrow" w:hAnsi="Arial Narrow" w:cs="Arial"/>
          <w:i/>
          <w:sz w:val="24"/>
          <w:szCs w:val="24"/>
        </w:rPr>
        <w:t xml:space="preserve"> a cargo de “EL AYUNTAMIENTO”, de conformidad con lo dispuesto en los artículo 51, 52, 53 y 56 de la Ley de Hacienda para los Municipios del Estado de San Luis Potosí, </w:t>
      </w:r>
      <w:r w:rsidRPr="009844D1">
        <w:rPr>
          <w:rFonts w:ascii="Arial Narrow" w:hAnsi="Arial Narrow" w:cs="Arial"/>
          <w:i/>
          <w:sz w:val="24"/>
          <w:szCs w:val="24"/>
          <w:u w:val="single"/>
        </w:rPr>
        <w:t>como son la licencia de cambio de uso de suelo y el pago de refrendo de la licencia de funcionamiento correspondiente al año 2020</w:t>
      </w:r>
      <w:r w:rsidRPr="009844D1">
        <w:rPr>
          <w:rFonts w:ascii="Arial Narrow" w:hAnsi="Arial Narrow" w:cs="Arial"/>
          <w:i/>
          <w:sz w:val="24"/>
          <w:szCs w:val="24"/>
        </w:rPr>
        <w:t xml:space="preserve">.”. </w:t>
      </w:r>
      <w:r w:rsidRPr="009844D1">
        <w:rPr>
          <w:rFonts w:ascii="Arial Narrow" w:hAnsi="Arial Narrow" w:cs="Arial"/>
          <w:bCs/>
          <w:i/>
          <w:iCs/>
          <w:sz w:val="24"/>
          <w:szCs w:val="24"/>
        </w:rPr>
        <w:t>(Énfasis añadido)</w:t>
      </w:r>
    </w:p>
    <w:p w14:paraId="3D518B32"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7C55E097" w14:textId="5DA69715" w:rsidR="00177FB2" w:rsidRPr="009844D1" w:rsidRDefault="00177FB2" w:rsidP="00177FB2">
      <w:pPr>
        <w:numPr>
          <w:ilvl w:val="0"/>
          <w:numId w:val="8"/>
        </w:numPr>
        <w:spacing w:after="0" w:line="240" w:lineRule="auto"/>
        <w:ind w:left="567" w:right="618" w:firstLine="0"/>
        <w:jc w:val="both"/>
        <w:rPr>
          <w:rFonts w:ascii="Arial Narrow" w:hAnsi="Arial Narrow" w:cs="Arial"/>
          <w:i/>
          <w:sz w:val="24"/>
          <w:szCs w:val="24"/>
        </w:rPr>
      </w:pPr>
      <w:r w:rsidRPr="009844D1">
        <w:rPr>
          <w:rFonts w:ascii="Arial Narrow" w:hAnsi="Arial Narrow" w:cs="Arial"/>
          <w:i/>
          <w:sz w:val="24"/>
          <w:szCs w:val="24"/>
        </w:rPr>
        <w:t xml:space="preserve">El </w:t>
      </w:r>
      <w:r w:rsidRPr="009844D1">
        <w:rPr>
          <w:rFonts w:ascii="Arial Narrow" w:hAnsi="Arial Narrow" w:cs="Arial"/>
          <w:i/>
          <w:color w:val="0033CC"/>
          <w:sz w:val="24"/>
          <w:szCs w:val="24"/>
        </w:rPr>
        <w:t>19 de junio de 2020</w:t>
      </w:r>
      <w:r w:rsidRPr="009844D1">
        <w:rPr>
          <w:rFonts w:ascii="Arial Narrow" w:hAnsi="Arial Narrow" w:cs="Arial"/>
          <w:i/>
          <w:sz w:val="24"/>
          <w:szCs w:val="24"/>
        </w:rPr>
        <w:t xml:space="preserve">, la hoy impetrante mediante transferencia electrónica de fondos (SPEI), </w:t>
      </w:r>
      <w:r w:rsidRPr="009844D1">
        <w:rPr>
          <w:rFonts w:ascii="Arial Narrow" w:hAnsi="Arial Narrow" w:cs="Arial"/>
          <w:b/>
          <w:i/>
          <w:sz w:val="24"/>
          <w:szCs w:val="24"/>
        </w:rPr>
        <w:t>realizó el pago</w:t>
      </w:r>
      <w:r w:rsidRPr="009844D1">
        <w:rPr>
          <w:rFonts w:ascii="Arial Narrow" w:hAnsi="Arial Narrow" w:cs="Arial"/>
          <w:i/>
          <w:sz w:val="24"/>
          <w:szCs w:val="24"/>
        </w:rPr>
        <w:t xml:space="preserve"> a favor del Municipio de Soledad de Graciano Sánchez, S.L.P., por conceptos de “LICENCIA DE CAMBIO DE USO DE SUELO”, “REFRENDO LICENCIA DE FUNCIONAMIENTO 2020” y “MULTA”, por la cantidad total de $</w:t>
      </w:r>
      <w:r w:rsidR="0050127A">
        <w:rPr>
          <w:rFonts w:ascii="Arial Narrow" w:hAnsi="Arial Narrow" w:cs="Arial"/>
          <w:i/>
          <w:color w:val="FF0000"/>
          <w:sz w:val="24"/>
          <w:szCs w:val="24"/>
        </w:rPr>
        <w:t>**********</w:t>
      </w:r>
      <w:r w:rsidRPr="009844D1">
        <w:rPr>
          <w:rFonts w:ascii="Arial Narrow" w:hAnsi="Arial Narrow" w:cs="Arial"/>
          <w:i/>
          <w:sz w:val="24"/>
          <w:szCs w:val="24"/>
        </w:rPr>
        <w:t>,</w:t>
      </w:r>
      <w:r w:rsidRPr="009844D1">
        <w:rPr>
          <w:rFonts w:ascii="Arial Narrow" w:hAnsi="Arial Narrow" w:cs="Arial"/>
          <w:b/>
          <w:i/>
          <w:sz w:val="24"/>
          <w:szCs w:val="24"/>
        </w:rPr>
        <w:t xml:space="preserve"> </w:t>
      </w:r>
      <w:r w:rsidRPr="009844D1">
        <w:rPr>
          <w:rFonts w:ascii="Arial Narrow" w:hAnsi="Arial Narrow" w:cs="Arial"/>
          <w:i/>
          <w:sz w:val="24"/>
          <w:szCs w:val="24"/>
        </w:rPr>
        <w:t>tal como se acordó en el convenio antes citado.</w:t>
      </w:r>
    </w:p>
    <w:p w14:paraId="0596027C"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66EA0BD0" w14:textId="7CD0E7BE" w:rsidR="00177FB2" w:rsidRPr="009844D1" w:rsidRDefault="00177FB2" w:rsidP="00177FB2">
      <w:pPr>
        <w:numPr>
          <w:ilvl w:val="0"/>
          <w:numId w:val="8"/>
        </w:numPr>
        <w:spacing w:after="0" w:line="240" w:lineRule="auto"/>
        <w:ind w:left="567" w:right="618" w:firstLine="0"/>
        <w:jc w:val="both"/>
        <w:rPr>
          <w:rFonts w:ascii="Arial Narrow" w:hAnsi="Arial Narrow" w:cs="Arial"/>
          <w:i/>
          <w:sz w:val="24"/>
          <w:szCs w:val="24"/>
        </w:rPr>
      </w:pPr>
      <w:r w:rsidRPr="009844D1">
        <w:rPr>
          <w:rFonts w:ascii="Arial Narrow" w:hAnsi="Arial Narrow" w:cs="Arial"/>
          <w:i/>
          <w:sz w:val="24"/>
          <w:szCs w:val="24"/>
        </w:rPr>
        <w:t xml:space="preserve">El </w:t>
      </w:r>
      <w:r w:rsidRPr="009844D1">
        <w:rPr>
          <w:rFonts w:ascii="Arial Narrow" w:hAnsi="Arial Narrow" w:cs="Arial"/>
          <w:i/>
          <w:color w:val="0033CC"/>
          <w:sz w:val="24"/>
          <w:szCs w:val="24"/>
        </w:rPr>
        <w:t>16 de julio de 2020</w:t>
      </w:r>
      <w:r w:rsidRPr="009844D1">
        <w:rPr>
          <w:rFonts w:ascii="Arial Narrow" w:hAnsi="Arial Narrow" w:cs="Arial"/>
          <w:i/>
          <w:sz w:val="24"/>
          <w:szCs w:val="24"/>
        </w:rPr>
        <w:t xml:space="preserve">, la autoridad demandada </w:t>
      </w:r>
      <w:r w:rsidRPr="009844D1">
        <w:rPr>
          <w:rFonts w:ascii="Arial Narrow" w:hAnsi="Arial Narrow" w:cs="Arial"/>
          <w:b/>
          <w:i/>
          <w:sz w:val="24"/>
          <w:szCs w:val="24"/>
          <w:u w:val="single"/>
        </w:rPr>
        <w:t>expidió</w:t>
      </w:r>
      <w:r w:rsidRPr="009844D1">
        <w:rPr>
          <w:rFonts w:ascii="Arial Narrow" w:hAnsi="Arial Narrow" w:cs="Arial"/>
          <w:i/>
          <w:sz w:val="24"/>
          <w:szCs w:val="24"/>
        </w:rPr>
        <w:t xml:space="preserve"> a favor de la hoy actora la “LICENCIA DE USO DE SUELO DE FUNCIONAMIENTO”, con número de folio </w:t>
      </w:r>
      <w:r w:rsidR="0050127A">
        <w:rPr>
          <w:rFonts w:ascii="Arial Narrow" w:hAnsi="Arial Narrow" w:cs="Arial"/>
          <w:b/>
          <w:i/>
          <w:color w:val="FF0000"/>
          <w:sz w:val="24"/>
          <w:szCs w:val="24"/>
        </w:rPr>
        <w:t>**********</w:t>
      </w:r>
      <w:r w:rsidRPr="009844D1">
        <w:rPr>
          <w:rFonts w:ascii="Arial Narrow" w:hAnsi="Arial Narrow" w:cs="Arial"/>
          <w:i/>
          <w:sz w:val="24"/>
          <w:szCs w:val="24"/>
        </w:rPr>
        <w:t>(</w:t>
      </w:r>
      <w:r w:rsidRPr="009844D1">
        <w:rPr>
          <w:rFonts w:ascii="Arial Narrow" w:hAnsi="Arial Narrow" w:cs="Arial"/>
          <w:b/>
          <w:i/>
          <w:sz w:val="24"/>
          <w:szCs w:val="24"/>
        </w:rPr>
        <w:t>También acto impugnado</w:t>
      </w:r>
      <w:r w:rsidRPr="009844D1">
        <w:rPr>
          <w:rFonts w:ascii="Arial Narrow" w:hAnsi="Arial Narrow" w:cs="Arial"/>
          <w:i/>
          <w:sz w:val="24"/>
          <w:szCs w:val="24"/>
        </w:rPr>
        <w:t xml:space="preserve">), </w:t>
      </w:r>
      <w:r w:rsidRPr="009844D1">
        <w:rPr>
          <w:rFonts w:ascii="Arial Narrow" w:hAnsi="Arial Narrow" w:cs="Arial"/>
          <w:b/>
          <w:i/>
          <w:sz w:val="24"/>
          <w:szCs w:val="24"/>
          <w:u w:val="single"/>
        </w:rPr>
        <w:t>para el uso solicitado</w:t>
      </w:r>
      <w:r w:rsidRPr="009844D1">
        <w:rPr>
          <w:rFonts w:ascii="Arial Narrow" w:hAnsi="Arial Narrow" w:cs="Arial"/>
          <w:i/>
          <w:sz w:val="24"/>
          <w:szCs w:val="24"/>
          <w:u w:val="single"/>
        </w:rPr>
        <w:t xml:space="preserve"> </w:t>
      </w:r>
      <w:r w:rsidRPr="009844D1">
        <w:rPr>
          <w:rFonts w:ascii="Arial Narrow" w:hAnsi="Arial Narrow" w:cs="Arial"/>
          <w:b/>
          <w:i/>
          <w:sz w:val="24"/>
          <w:szCs w:val="24"/>
          <w:u w:val="single"/>
        </w:rPr>
        <w:t>de</w:t>
      </w:r>
      <w:r w:rsidRPr="009844D1">
        <w:rPr>
          <w:rFonts w:ascii="Arial Narrow" w:hAnsi="Arial Narrow" w:cs="Arial"/>
          <w:i/>
          <w:sz w:val="24"/>
          <w:szCs w:val="24"/>
          <w:u w:val="single"/>
        </w:rPr>
        <w:t xml:space="preserve"> “</w:t>
      </w:r>
      <w:r w:rsidRPr="009844D1">
        <w:rPr>
          <w:rFonts w:ascii="Arial Narrow" w:hAnsi="Arial Narrow" w:cs="Arial"/>
          <w:b/>
          <w:i/>
          <w:sz w:val="24"/>
          <w:szCs w:val="24"/>
          <w:u w:val="single"/>
        </w:rPr>
        <w:t>Granja Avicola</w:t>
      </w:r>
      <w:r w:rsidRPr="009844D1">
        <w:rPr>
          <w:rFonts w:ascii="Arial Narrow" w:hAnsi="Arial Narrow" w:cs="Arial"/>
          <w:i/>
          <w:sz w:val="24"/>
          <w:szCs w:val="24"/>
        </w:rPr>
        <w:t>”, en el domicilio ubicado en “</w:t>
      </w:r>
      <w:r w:rsidR="0050127A">
        <w:rPr>
          <w:rFonts w:ascii="Arial Narrow" w:hAnsi="Arial Narrow" w:cs="Arial"/>
          <w:i/>
          <w:color w:val="FF0000"/>
          <w:sz w:val="24"/>
          <w:szCs w:val="24"/>
        </w:rPr>
        <w:t>**********</w:t>
      </w:r>
      <w:r w:rsidRPr="009844D1">
        <w:rPr>
          <w:rFonts w:ascii="Arial Narrow" w:hAnsi="Arial Narrow" w:cs="Arial"/>
          <w:i/>
          <w:sz w:val="24"/>
          <w:szCs w:val="24"/>
        </w:rPr>
        <w:t xml:space="preserve">”. </w:t>
      </w:r>
    </w:p>
    <w:p w14:paraId="3BD41051"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5182C087" w14:textId="429414F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De los anteriores hechos no controvertidos por las partes, se desprende que el </w:t>
      </w:r>
      <w:r w:rsidRPr="009844D1">
        <w:rPr>
          <w:rFonts w:ascii="Arial Narrow" w:hAnsi="Arial Narrow" w:cs="Arial"/>
          <w:bCs/>
          <w:i/>
          <w:iCs/>
          <w:color w:val="0033CC"/>
          <w:sz w:val="24"/>
          <w:szCs w:val="24"/>
        </w:rPr>
        <w:t>Director de Desarrollo Urbano y Catastro Municipal de Soledad de Graciano Sánchez, San Luis Potosí</w:t>
      </w:r>
      <w:r w:rsidRPr="009844D1">
        <w:rPr>
          <w:rFonts w:ascii="Arial Narrow" w:hAnsi="Arial Narrow" w:cs="Arial"/>
          <w:i/>
          <w:sz w:val="24"/>
          <w:szCs w:val="24"/>
        </w:rPr>
        <w:t xml:space="preserve">, en primera instancia, resolvió </w:t>
      </w:r>
      <w:r w:rsidRPr="009844D1">
        <w:rPr>
          <w:rFonts w:ascii="Arial Narrow" w:hAnsi="Arial Narrow" w:cs="Arial"/>
          <w:b/>
          <w:i/>
          <w:sz w:val="24"/>
          <w:szCs w:val="24"/>
        </w:rPr>
        <w:t>no autorizar</w:t>
      </w:r>
      <w:r w:rsidRPr="009844D1">
        <w:rPr>
          <w:rFonts w:ascii="Arial Narrow" w:hAnsi="Arial Narrow" w:cs="Arial"/>
          <w:i/>
          <w:sz w:val="24"/>
          <w:szCs w:val="24"/>
        </w:rPr>
        <w:t xml:space="preserve"> Licencia de Uso de Suelo de Funcionamiento para una “Granja Avícola”, respecto del predio ubicado en la </w:t>
      </w:r>
      <w:r w:rsidR="0050127A">
        <w:rPr>
          <w:rFonts w:ascii="Arial Narrow" w:hAnsi="Arial Narrow" w:cs="Arial"/>
          <w:i/>
          <w:color w:val="FF0000"/>
          <w:sz w:val="24"/>
          <w:szCs w:val="24"/>
        </w:rPr>
        <w:t>**********</w:t>
      </w:r>
      <w:r w:rsidRPr="009844D1">
        <w:rPr>
          <w:rFonts w:ascii="Arial Narrow" w:hAnsi="Arial Narrow" w:cs="Arial"/>
          <w:i/>
          <w:sz w:val="24"/>
          <w:szCs w:val="24"/>
        </w:rPr>
        <w:t xml:space="preserve">, y sin prejuzgar la legalidad o el alcance jurídico del mencionado “CONVENIO DE RECONOCIMIENTO DE OBLIGACIÓN DE PAGO” de </w:t>
      </w:r>
      <w:r w:rsidRPr="009844D1">
        <w:rPr>
          <w:rFonts w:ascii="Arial Narrow" w:hAnsi="Arial Narrow" w:cs="Arial"/>
          <w:i/>
          <w:color w:val="0033CC"/>
          <w:sz w:val="24"/>
          <w:szCs w:val="24"/>
        </w:rPr>
        <w:t>16 de junio de 2020</w:t>
      </w:r>
      <w:r w:rsidRPr="009844D1">
        <w:rPr>
          <w:rFonts w:ascii="Arial Narrow" w:hAnsi="Arial Narrow" w:cs="Arial"/>
          <w:i/>
          <w:sz w:val="24"/>
          <w:szCs w:val="24"/>
        </w:rPr>
        <w:t xml:space="preserve">, posteriormente, </w:t>
      </w:r>
      <w:r w:rsidRPr="009844D1">
        <w:rPr>
          <w:rFonts w:ascii="Arial Narrow" w:hAnsi="Arial Narrow" w:cs="Arial"/>
          <w:b/>
          <w:i/>
          <w:sz w:val="24"/>
          <w:szCs w:val="24"/>
        </w:rPr>
        <w:t>emitió</w:t>
      </w:r>
      <w:r w:rsidRPr="009844D1">
        <w:rPr>
          <w:rFonts w:ascii="Arial Narrow" w:hAnsi="Arial Narrow" w:cs="Arial"/>
          <w:i/>
          <w:sz w:val="24"/>
          <w:szCs w:val="24"/>
        </w:rPr>
        <w:t xml:space="preserve"> la “LICENCIA DE USO DE SUELO DE FUNCIONAMIENTO”, con número de folio </w:t>
      </w:r>
      <w:r w:rsidR="0050127A">
        <w:rPr>
          <w:rFonts w:ascii="Arial Narrow" w:hAnsi="Arial Narrow" w:cs="Arial"/>
          <w:b/>
          <w:i/>
          <w:color w:val="FF0000"/>
          <w:sz w:val="24"/>
          <w:szCs w:val="24"/>
        </w:rPr>
        <w:t>**********</w:t>
      </w:r>
      <w:r w:rsidRPr="009844D1">
        <w:rPr>
          <w:rFonts w:ascii="Arial Narrow" w:hAnsi="Arial Narrow" w:cs="Arial"/>
          <w:i/>
          <w:sz w:val="24"/>
          <w:szCs w:val="24"/>
        </w:rPr>
        <w:t>, respecto de la misma actividad y predio en cuestión.</w:t>
      </w:r>
    </w:p>
    <w:p w14:paraId="2020D15D"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260C99DB"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Ahora bien, de la interpretación de la fracción del IX del artículo 228 del Código Procesal Administrativo para el Estado, se obtiene que existen dos hipótesis de cesación de efectos del acto impugnado, a saber: a) </w:t>
      </w:r>
      <w:r w:rsidRPr="009844D1">
        <w:rPr>
          <w:rFonts w:ascii="Arial Narrow" w:hAnsi="Arial Narrow" w:cs="Arial"/>
          <w:i/>
          <w:sz w:val="24"/>
          <w:szCs w:val="24"/>
          <w:u w:val="single"/>
        </w:rPr>
        <w:t>Por revocación</w:t>
      </w:r>
      <w:r w:rsidRPr="009844D1">
        <w:rPr>
          <w:rFonts w:ascii="Arial Narrow" w:hAnsi="Arial Narrow" w:cs="Arial"/>
          <w:i/>
          <w:sz w:val="24"/>
          <w:szCs w:val="24"/>
        </w:rPr>
        <w:t xml:space="preserve"> y, b) </w:t>
      </w:r>
      <w:r w:rsidRPr="009844D1">
        <w:rPr>
          <w:rFonts w:ascii="Arial Narrow" w:hAnsi="Arial Narrow" w:cs="Arial"/>
          <w:i/>
          <w:sz w:val="24"/>
          <w:szCs w:val="24"/>
          <w:u w:val="single"/>
        </w:rPr>
        <w:t>Por sustitución</w:t>
      </w:r>
      <w:r w:rsidRPr="009844D1">
        <w:rPr>
          <w:rFonts w:ascii="Arial Narrow" w:hAnsi="Arial Narrow" w:cs="Arial"/>
          <w:i/>
          <w:sz w:val="24"/>
          <w:szCs w:val="24"/>
        </w:rPr>
        <w:t xml:space="preserve">. El segundo supuesto se actualiza cuando los efectos del acto cesan, con motivo de que sobreviene un nuevo acto de </w:t>
      </w:r>
      <w:r w:rsidRPr="009844D1">
        <w:rPr>
          <w:rFonts w:ascii="Arial Narrow" w:hAnsi="Arial Narrow" w:cs="Arial"/>
          <w:i/>
          <w:sz w:val="24"/>
          <w:szCs w:val="24"/>
        </w:rPr>
        <w:lastRenderedPageBreak/>
        <w:t xml:space="preserve">autoridad que incide en la vigencia y ejecutividad del impugnado, cuya firmeza se da por el posterior acto. Por ese motivo, el juicio de nulidad resulta improcedente, al actualizarse la segunda de las hipótesis respecto a la negativa de la autoridad, en primera instancia, para autorizar la Licencia de Uso de Suelo de Funcionamiento solicitada por la hoy actora para su “Granja Avícola”, cuándo dicha autoridad, a su vez, con posterioridad expidió la Licencia de Uso de Suelo para la referida actividad (Granja Avícola). </w:t>
      </w:r>
    </w:p>
    <w:p w14:paraId="4C771B75"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10653A7D"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Esto es así, porque la segunda resolución en sentido positivo incide y sustituye los efectos generados por la dictada en primera instancia, lo que impide decidir la legalidad de la negativa inicialmente impugnada, pues sus efectos cesaron, en razón de que fueron cancelados jurídicamente por sustitución, por lo que ahora las consecuencias que inciden en la esfera jurídica de la hoy actora a ese respecto (Granja Avícola), tienen su origen en el nuevo pronunciamiento, que sustituyó a aquélla negativa, ya que constituye una nueva situación jurídica diversa y autónoma; incluso, pensar lo contrario, conllevaría a la coexistencia de ambas determinaciones administrativas en sentido opuesto, lo cual sería inadmisible, ya que contravendría el principio de seguridad jurídica consagrado en los artículos 14  y 16 de la Constitución Federal, de ahí que se entienda dicha causal de improcedencia, pues en principio, debe considerarse el último pronunciamiento de autoridad el que afecta de manera destacada a la esfera jurídica de los gobernados.</w:t>
      </w:r>
    </w:p>
    <w:p w14:paraId="16817EDE"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00ECB9A2" w14:textId="66C27EF8"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En consecuencia, ya no existe alguna consecuencia material en perjuicio de la impetrante por la manifestada negativa, pues ésta, no puede producir efectos posteriores, en atención a su propia naturaleza, en virtud de que existe un pronunciamiento posterior de manera positiva por parte de la autoridad que dejó materialmente sin efectos aquélla determinación en sentido negativo, es decir, por sustitución, dejó sin efectos la no autorización de la licencia solicitada, por ende, quedaron destruidos todos sus efectos como si nunca hubiesen existido, puesto que la razón que justifica la improcedencia de mérito, es la ociosidad de examinar la legalidad de un acto que ya no está surtiendo sus efectos, ni los surtirá, y que no dejó huella alguna en la esfera jurídica de la actora que amerite ser borrada por el otorgamiento de la declaratoria de nulidad; de ahí que no sería posible dejar sin efectos un acto que, por sí mismo, ya no lo tiene, por lo que se actualiza en la especie la causal de improcedencia prevista en el artículo 228, fracción IX del Código Procesal Administrativa para el Estado de San Luis Potosí, y conforme a lo dispuesto en la fracción II del artículo 229 del citado Código, procede el sobreseimiento del juicio respecto del acto impugnado consistente en el oficio número </w:t>
      </w:r>
      <w:r w:rsidR="0050127A">
        <w:rPr>
          <w:rFonts w:ascii="Arial Narrow" w:hAnsi="Arial Narrow" w:cs="Arial"/>
          <w:b/>
          <w:i/>
          <w:color w:val="FF0000"/>
          <w:sz w:val="24"/>
          <w:szCs w:val="24"/>
        </w:rPr>
        <w:t>**********</w:t>
      </w:r>
      <w:r w:rsidRPr="009844D1">
        <w:rPr>
          <w:rFonts w:ascii="Arial Narrow" w:hAnsi="Arial Narrow" w:cs="Arial"/>
          <w:i/>
          <w:sz w:val="24"/>
          <w:szCs w:val="24"/>
        </w:rPr>
        <w:t xml:space="preserve"> de </w:t>
      </w:r>
      <w:r w:rsidRPr="009844D1">
        <w:rPr>
          <w:rFonts w:ascii="Arial Narrow" w:hAnsi="Arial Narrow" w:cs="Arial"/>
          <w:b/>
          <w:i/>
          <w:color w:val="0033CC"/>
          <w:sz w:val="24"/>
          <w:szCs w:val="24"/>
        </w:rPr>
        <w:t>once de marzo de dos mil veinte</w:t>
      </w:r>
      <w:r w:rsidRPr="009844D1">
        <w:rPr>
          <w:rFonts w:ascii="Arial Narrow" w:hAnsi="Arial Narrow" w:cs="Arial"/>
          <w:i/>
          <w:sz w:val="24"/>
          <w:szCs w:val="24"/>
        </w:rPr>
        <w:t>.</w:t>
      </w:r>
    </w:p>
    <w:p w14:paraId="149A2B0F"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7972A28F" w14:textId="4E2E4775"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Aunado a lo anterior, de conformidad con lo dispuesto por los artículos 228, fracción V y 252, del Código Procesal Administrativo para el Estado, se colige que </w:t>
      </w:r>
      <w:r w:rsidRPr="009844D1">
        <w:rPr>
          <w:rFonts w:ascii="Arial Narrow" w:hAnsi="Arial Narrow" w:cs="Arial"/>
          <w:b/>
          <w:i/>
          <w:sz w:val="24"/>
          <w:szCs w:val="24"/>
        </w:rPr>
        <w:t>son actos consumados de modo irreparable los que han producido todos sus efectos</w:t>
      </w:r>
      <w:r w:rsidRPr="009844D1">
        <w:rPr>
          <w:rFonts w:ascii="Arial Narrow" w:hAnsi="Arial Narrow" w:cs="Arial"/>
          <w:i/>
          <w:sz w:val="24"/>
          <w:szCs w:val="24"/>
        </w:rPr>
        <w:t xml:space="preserve">, por ende, sin prejuzgar, en la especie las posibles consecuencias de la manifestada negativa contenida en el oficio número </w:t>
      </w:r>
      <w:r w:rsidR="0050127A">
        <w:rPr>
          <w:rFonts w:ascii="Arial Narrow" w:hAnsi="Arial Narrow" w:cs="Arial"/>
          <w:i/>
          <w:color w:val="FF0000"/>
          <w:sz w:val="24"/>
          <w:szCs w:val="24"/>
        </w:rPr>
        <w:t>**********</w:t>
      </w:r>
      <w:r w:rsidRPr="009844D1">
        <w:rPr>
          <w:rFonts w:ascii="Arial Narrow" w:hAnsi="Arial Narrow" w:cs="Arial"/>
          <w:i/>
          <w:sz w:val="24"/>
          <w:szCs w:val="24"/>
        </w:rPr>
        <w:t xml:space="preserve"> de </w:t>
      </w:r>
      <w:r w:rsidRPr="009844D1">
        <w:rPr>
          <w:rFonts w:ascii="Arial Narrow" w:hAnsi="Arial Narrow" w:cs="Arial"/>
          <w:i/>
          <w:color w:val="0033CC"/>
          <w:sz w:val="24"/>
          <w:szCs w:val="24"/>
        </w:rPr>
        <w:t xml:space="preserve">once de marzo de dos mil veinte </w:t>
      </w:r>
      <w:r w:rsidRPr="009844D1">
        <w:rPr>
          <w:rFonts w:ascii="Arial Narrow" w:hAnsi="Arial Narrow" w:cs="Arial"/>
          <w:i/>
          <w:sz w:val="24"/>
          <w:szCs w:val="24"/>
        </w:rPr>
        <w:t xml:space="preserve">(Acto en sentido negativo), en su caso, </w:t>
      </w:r>
      <w:r w:rsidRPr="009844D1">
        <w:rPr>
          <w:rFonts w:ascii="Arial Narrow" w:hAnsi="Arial Narrow" w:cs="Arial"/>
          <w:b/>
          <w:i/>
          <w:sz w:val="24"/>
          <w:szCs w:val="24"/>
        </w:rPr>
        <w:t>quedaron irreparablemente consumadas</w:t>
      </w:r>
      <w:r w:rsidRPr="009844D1">
        <w:rPr>
          <w:rFonts w:ascii="Arial Narrow" w:hAnsi="Arial Narrow" w:cs="Arial"/>
          <w:i/>
          <w:sz w:val="24"/>
          <w:szCs w:val="24"/>
        </w:rPr>
        <w:t xml:space="preserve">, pues </w:t>
      </w:r>
      <w:r w:rsidRPr="009844D1">
        <w:rPr>
          <w:rFonts w:ascii="Arial Narrow" w:hAnsi="Arial Narrow" w:cs="Arial"/>
          <w:b/>
          <w:i/>
          <w:sz w:val="24"/>
          <w:szCs w:val="24"/>
        </w:rPr>
        <w:t>únicamente se prolongaron durante el tiempo que duró tal negativa</w:t>
      </w:r>
      <w:r w:rsidRPr="009844D1">
        <w:rPr>
          <w:rFonts w:ascii="Arial Narrow" w:hAnsi="Arial Narrow" w:cs="Arial"/>
          <w:i/>
          <w:sz w:val="24"/>
          <w:szCs w:val="24"/>
        </w:rPr>
        <w:t xml:space="preserve">, es decir, hasta el momento de que la autoridad expidió la Licencia de Uso de Suelo número de folio </w:t>
      </w:r>
      <w:r w:rsidR="0050127A">
        <w:rPr>
          <w:rFonts w:ascii="Arial Narrow" w:hAnsi="Arial Narrow" w:cs="Arial"/>
          <w:b/>
          <w:i/>
          <w:color w:val="FF0000"/>
          <w:sz w:val="24"/>
          <w:szCs w:val="24"/>
        </w:rPr>
        <w:t>**********</w:t>
      </w:r>
      <w:r w:rsidRPr="009844D1">
        <w:rPr>
          <w:rFonts w:ascii="Arial Narrow" w:hAnsi="Arial Narrow" w:cs="Arial"/>
          <w:i/>
          <w:sz w:val="24"/>
          <w:szCs w:val="24"/>
        </w:rPr>
        <w:t xml:space="preserve">de </w:t>
      </w:r>
      <w:r w:rsidRPr="009844D1">
        <w:rPr>
          <w:rFonts w:ascii="Arial Narrow" w:hAnsi="Arial Narrow" w:cs="Arial"/>
          <w:b/>
          <w:i/>
          <w:color w:val="0033CC"/>
          <w:sz w:val="24"/>
          <w:szCs w:val="24"/>
        </w:rPr>
        <w:t>16 de julio de 2020</w:t>
      </w:r>
      <w:r w:rsidRPr="009844D1">
        <w:rPr>
          <w:rFonts w:ascii="Arial Narrow" w:hAnsi="Arial Narrow" w:cs="Arial"/>
          <w:i/>
          <w:sz w:val="24"/>
          <w:szCs w:val="24"/>
        </w:rPr>
        <w:t xml:space="preserve">, también impugnada (Acto en sentido </w:t>
      </w:r>
      <w:r w:rsidRPr="009844D1">
        <w:rPr>
          <w:rFonts w:ascii="Arial Narrow" w:hAnsi="Arial Narrow" w:cs="Arial"/>
          <w:i/>
          <w:sz w:val="24"/>
          <w:szCs w:val="24"/>
        </w:rPr>
        <w:lastRenderedPageBreak/>
        <w:t xml:space="preserve">positivo), </w:t>
      </w:r>
      <w:r w:rsidRPr="009844D1">
        <w:rPr>
          <w:rFonts w:ascii="Arial Narrow" w:hAnsi="Arial Narrow" w:cs="Arial"/>
          <w:b/>
          <w:i/>
          <w:sz w:val="24"/>
          <w:szCs w:val="24"/>
        </w:rPr>
        <w:t xml:space="preserve">respecto de la misma actividad </w:t>
      </w:r>
      <w:r w:rsidRPr="009844D1">
        <w:rPr>
          <w:rFonts w:ascii="Arial Narrow" w:hAnsi="Arial Narrow" w:cs="Arial"/>
          <w:i/>
          <w:sz w:val="24"/>
          <w:szCs w:val="24"/>
        </w:rPr>
        <w:t xml:space="preserve">(Granja Avícola) </w:t>
      </w:r>
      <w:r w:rsidRPr="009844D1">
        <w:rPr>
          <w:rFonts w:ascii="Arial Narrow" w:hAnsi="Arial Narrow" w:cs="Arial"/>
          <w:b/>
          <w:i/>
          <w:sz w:val="24"/>
          <w:szCs w:val="24"/>
        </w:rPr>
        <w:t>y con relación al mismo predio</w:t>
      </w:r>
      <w:r w:rsidRPr="009844D1">
        <w:rPr>
          <w:rFonts w:ascii="Arial Narrow" w:hAnsi="Arial Narrow" w:cs="Arial"/>
          <w:i/>
          <w:sz w:val="24"/>
          <w:szCs w:val="24"/>
        </w:rPr>
        <w:t xml:space="preserve"> (</w:t>
      </w:r>
      <w:r w:rsidR="0050127A">
        <w:rPr>
          <w:rFonts w:ascii="Arial Narrow" w:hAnsi="Arial Narrow" w:cs="Arial"/>
          <w:i/>
          <w:color w:val="FF0000"/>
          <w:sz w:val="24"/>
          <w:szCs w:val="24"/>
        </w:rPr>
        <w:t>**********</w:t>
      </w:r>
      <w:r w:rsidRPr="009844D1">
        <w:rPr>
          <w:rFonts w:ascii="Arial Narrow" w:hAnsi="Arial Narrow" w:cs="Arial"/>
          <w:i/>
          <w:sz w:val="24"/>
          <w:szCs w:val="24"/>
        </w:rPr>
        <w:t>); de ahí que tampoco sería posible dejar sin efectos un acto cuyos efectos quedaron consumados de forma irreparable, lo cual, precisamente, también hace improcedente la acción de nulidad en términos del artículo citado en primer orden y en consecuencia, se actualiza la causal de sobreseimiento prevista en el artículo 229, fracción II del mismo ordenamiento legal.</w:t>
      </w:r>
    </w:p>
    <w:p w14:paraId="3DD33190"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6A2128DE"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Máxime, aun cuando se estudiara la manifestada ilegalidad de la negativa impugnada en la esfera jurídica de la impetrante, la sentencia no podría surtir plenos efectos conforme a lo dispuesto en el artículo 252 del Código Procesal Administrativo para el Estado, del tenor siguiente:</w:t>
      </w:r>
    </w:p>
    <w:p w14:paraId="1529B866" w14:textId="77777777" w:rsidR="00177FB2" w:rsidRPr="009844D1" w:rsidRDefault="00177FB2" w:rsidP="00177FB2">
      <w:pPr>
        <w:spacing w:after="0" w:line="240" w:lineRule="auto"/>
        <w:ind w:left="567" w:right="618"/>
        <w:jc w:val="both"/>
        <w:rPr>
          <w:rFonts w:cs="Calibri"/>
          <w:b/>
          <w:i/>
          <w:iCs/>
          <w:color w:val="000000"/>
          <w:sz w:val="24"/>
          <w:szCs w:val="24"/>
          <w:lang w:eastAsia="es-MX"/>
        </w:rPr>
      </w:pPr>
    </w:p>
    <w:p w14:paraId="7C93DC2B" w14:textId="77777777" w:rsidR="00177FB2" w:rsidRPr="009844D1" w:rsidRDefault="00177FB2" w:rsidP="00177FB2">
      <w:pPr>
        <w:spacing w:after="0" w:line="240" w:lineRule="auto"/>
        <w:ind w:left="567" w:right="618"/>
        <w:jc w:val="both"/>
        <w:rPr>
          <w:rFonts w:cs="Calibri"/>
          <w:i/>
          <w:iCs/>
          <w:color w:val="000000"/>
          <w:sz w:val="24"/>
          <w:szCs w:val="24"/>
          <w:lang w:eastAsia="es-MX"/>
        </w:rPr>
      </w:pPr>
      <w:r w:rsidRPr="009844D1">
        <w:rPr>
          <w:rFonts w:cs="Calibri"/>
          <w:b/>
          <w:i/>
          <w:iCs/>
          <w:color w:val="000000"/>
          <w:sz w:val="24"/>
          <w:szCs w:val="24"/>
          <w:lang w:eastAsia="es-MX"/>
        </w:rPr>
        <w:t>“”ARTÍCULO 252.</w:t>
      </w:r>
      <w:r w:rsidRPr="009844D1">
        <w:rPr>
          <w:rFonts w:cs="Calibri"/>
          <w:i/>
          <w:iCs/>
          <w:color w:val="000000"/>
          <w:sz w:val="24"/>
          <w:szCs w:val="24"/>
          <w:lang w:eastAsia="es-MX"/>
        </w:rPr>
        <w:t xml:space="preserve"> De ser favorable la sentencia al actor, </w:t>
      </w:r>
      <w:r w:rsidRPr="009844D1">
        <w:rPr>
          <w:rFonts w:cs="Calibri"/>
          <w:i/>
          <w:iCs/>
          <w:color w:val="000000"/>
          <w:sz w:val="24"/>
          <w:szCs w:val="24"/>
          <w:u w:val="single"/>
          <w:lang w:eastAsia="es-MX"/>
        </w:rPr>
        <w:t>ésta dejará sin efecto el acto impugnado</w:t>
      </w:r>
      <w:r w:rsidRPr="009844D1">
        <w:rPr>
          <w:rFonts w:cs="Calibri"/>
          <w:i/>
          <w:iCs/>
          <w:color w:val="000000"/>
          <w:sz w:val="24"/>
          <w:szCs w:val="24"/>
          <w:lang w:eastAsia="es-MX"/>
        </w:rPr>
        <w:t xml:space="preserve"> y las autoridades responsables </w:t>
      </w:r>
      <w:r w:rsidRPr="009844D1">
        <w:rPr>
          <w:rFonts w:cs="Calibri"/>
          <w:b/>
          <w:i/>
          <w:iCs/>
          <w:color w:val="000000"/>
          <w:sz w:val="24"/>
          <w:szCs w:val="24"/>
          <w:lang w:eastAsia="es-MX"/>
        </w:rPr>
        <w:t xml:space="preserve">quedarán obligadas a </w:t>
      </w:r>
      <w:r w:rsidRPr="009844D1">
        <w:rPr>
          <w:rFonts w:cs="Calibri"/>
          <w:b/>
          <w:i/>
          <w:iCs/>
          <w:color w:val="000000"/>
          <w:sz w:val="24"/>
          <w:szCs w:val="24"/>
          <w:u w:val="single"/>
          <w:lang w:eastAsia="es-MX"/>
        </w:rPr>
        <w:t>otorgar</w:t>
      </w:r>
      <w:r w:rsidRPr="009844D1">
        <w:rPr>
          <w:rFonts w:cs="Calibri"/>
          <w:b/>
          <w:i/>
          <w:iCs/>
          <w:color w:val="000000"/>
          <w:sz w:val="24"/>
          <w:szCs w:val="24"/>
          <w:lang w:eastAsia="es-MX"/>
        </w:rPr>
        <w:t xml:space="preserve"> o </w:t>
      </w:r>
      <w:r w:rsidRPr="009844D1">
        <w:rPr>
          <w:rFonts w:cs="Calibri"/>
          <w:b/>
          <w:i/>
          <w:iCs/>
          <w:color w:val="000000"/>
          <w:sz w:val="24"/>
          <w:szCs w:val="24"/>
          <w:u w:val="single"/>
          <w:lang w:eastAsia="es-MX"/>
        </w:rPr>
        <w:t>restituir</w:t>
      </w:r>
      <w:r w:rsidRPr="009844D1">
        <w:rPr>
          <w:rFonts w:cs="Calibri"/>
          <w:b/>
          <w:i/>
          <w:iCs/>
          <w:color w:val="000000"/>
          <w:sz w:val="24"/>
          <w:szCs w:val="24"/>
          <w:lang w:eastAsia="es-MX"/>
        </w:rPr>
        <w:t xml:space="preserve"> al actor en el goce de los derechos que le hubieren sido indebidamente afectados o desconocidos</w:t>
      </w:r>
      <w:r w:rsidRPr="009844D1">
        <w:rPr>
          <w:rFonts w:cs="Calibri"/>
          <w:i/>
          <w:iCs/>
          <w:color w:val="000000"/>
          <w:sz w:val="24"/>
          <w:szCs w:val="24"/>
          <w:lang w:eastAsia="es-MX"/>
        </w:rPr>
        <w:t>, en los términos que se establezca. (…)</w:t>
      </w:r>
      <w:r w:rsidRPr="009844D1">
        <w:rPr>
          <w:rFonts w:cs="Calibri"/>
          <w:b/>
          <w:i/>
          <w:iCs/>
          <w:color w:val="000000"/>
          <w:sz w:val="24"/>
          <w:szCs w:val="24"/>
          <w:lang w:eastAsia="es-MX"/>
        </w:rPr>
        <w:t>””</w:t>
      </w:r>
    </w:p>
    <w:p w14:paraId="4F7269E3"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73550480"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En efecto, pues de otorgarse la protección legal, la sentencia carecería de efectos prácticos, ante la imposibilidad jurídica para conceder el efecto restitutorio que pretende la impetrante, en el sentido de que se emita un nuevo acto en el que la autoridad demandada expida una licencia de uso de suelo para la actividad y en el predio de mérito, cuando ya fue emitida tal licencia por sus propios fundamentos y motivos, misma que rige actualmente su situación jurídica con relación a la actividad que realiza en el predio en cuestión, por ende, no podría concederse la nulidad para el efecto de que se dicte una nueva resolución, pues ello vendría a trastocar la nueva situación jurídica diversa y autónoma, constituida por el acto en sentido positivo y que contiene su propia sustancia formal, y que podría ser legal o no, empero, ello dependerá del estudio del mismo.</w:t>
      </w:r>
    </w:p>
    <w:p w14:paraId="1F9A96F1"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089D5985" w14:textId="7C3428DD"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En ese orden de ideas, también resulta </w:t>
      </w:r>
      <w:r w:rsidRPr="009844D1">
        <w:rPr>
          <w:rFonts w:ascii="Arial Narrow" w:hAnsi="Arial Narrow" w:cs="Arial"/>
          <w:b/>
          <w:i/>
          <w:sz w:val="24"/>
          <w:szCs w:val="24"/>
        </w:rPr>
        <w:t xml:space="preserve">procedente el sobreseimiento del juicio </w:t>
      </w:r>
      <w:r w:rsidRPr="009844D1">
        <w:rPr>
          <w:rFonts w:ascii="Arial Narrow" w:hAnsi="Arial Narrow" w:cs="Arial"/>
          <w:i/>
          <w:sz w:val="24"/>
          <w:szCs w:val="24"/>
        </w:rPr>
        <w:t xml:space="preserve">con relación al acto identificado en el inciso </w:t>
      </w:r>
      <w:r w:rsidRPr="009844D1">
        <w:rPr>
          <w:rFonts w:ascii="Arial Narrow" w:hAnsi="Arial Narrow" w:cs="Arial"/>
          <w:b/>
          <w:bCs/>
          <w:i/>
          <w:iCs/>
          <w:sz w:val="24"/>
          <w:szCs w:val="24"/>
        </w:rPr>
        <w:t>b)</w:t>
      </w:r>
      <w:r w:rsidRPr="009844D1">
        <w:rPr>
          <w:rFonts w:ascii="Arial Narrow" w:hAnsi="Arial Narrow" w:cs="Arial"/>
          <w:bCs/>
          <w:i/>
          <w:iCs/>
          <w:sz w:val="24"/>
          <w:szCs w:val="24"/>
        </w:rPr>
        <w:t xml:space="preserve"> del Resultando </w:t>
      </w:r>
      <w:r w:rsidRPr="009844D1">
        <w:rPr>
          <w:rFonts w:ascii="Arial Narrow" w:hAnsi="Arial Narrow" w:cs="Arial"/>
          <w:b/>
          <w:bCs/>
          <w:i/>
          <w:iCs/>
          <w:sz w:val="24"/>
          <w:szCs w:val="24"/>
        </w:rPr>
        <w:t>I</w:t>
      </w:r>
      <w:r w:rsidRPr="009844D1">
        <w:rPr>
          <w:rFonts w:ascii="Arial Narrow" w:hAnsi="Arial Narrow" w:cs="Arial"/>
          <w:bCs/>
          <w:i/>
          <w:iCs/>
          <w:sz w:val="24"/>
          <w:szCs w:val="24"/>
        </w:rPr>
        <w:t xml:space="preserve"> de esta resolución, consistente en el </w:t>
      </w:r>
      <w:r w:rsidRPr="009844D1">
        <w:rPr>
          <w:rFonts w:ascii="Arial Narrow" w:hAnsi="Arial Narrow" w:cs="Arial"/>
          <w:b/>
          <w:bCs/>
          <w:i/>
          <w:sz w:val="24"/>
          <w:szCs w:val="24"/>
        </w:rPr>
        <w:t>Plan del Centro de Población Estratégico de Población San Luis Potosí - Soledad de Graciano Sánchez</w:t>
      </w:r>
      <w:r w:rsidRPr="009844D1">
        <w:rPr>
          <w:rFonts w:ascii="Arial Narrow" w:hAnsi="Arial Narrow" w:cs="Arial"/>
          <w:i/>
          <w:sz w:val="24"/>
          <w:szCs w:val="24"/>
        </w:rPr>
        <w:t xml:space="preserve">, publicado en el Periódico Oficial del Estado el </w:t>
      </w:r>
      <w:r w:rsidRPr="009844D1">
        <w:rPr>
          <w:rFonts w:ascii="Arial Narrow" w:hAnsi="Arial Narrow" w:cs="Arial"/>
          <w:i/>
          <w:color w:val="0033CC"/>
          <w:sz w:val="24"/>
          <w:szCs w:val="24"/>
        </w:rPr>
        <w:t>veintiuno de agosto de dos mil tres</w:t>
      </w:r>
      <w:r w:rsidRPr="009844D1">
        <w:rPr>
          <w:rFonts w:ascii="Arial Narrow" w:hAnsi="Arial Narrow" w:cs="Arial"/>
          <w:i/>
          <w:sz w:val="24"/>
          <w:szCs w:val="24"/>
        </w:rPr>
        <w:t xml:space="preserve">, toda vez que </w:t>
      </w:r>
      <w:r w:rsidRPr="009844D1">
        <w:rPr>
          <w:rFonts w:ascii="Arial Narrow" w:hAnsi="Arial Narrow" w:cs="Arial"/>
          <w:i/>
          <w:sz w:val="24"/>
          <w:szCs w:val="24"/>
          <w:u w:val="single"/>
        </w:rPr>
        <w:t>la impetrante manifestó controvertirlo junto con su primer acto de aplicación</w:t>
      </w:r>
      <w:r w:rsidRPr="009844D1">
        <w:rPr>
          <w:rFonts w:ascii="Arial Narrow" w:hAnsi="Arial Narrow" w:cs="Arial"/>
          <w:i/>
          <w:sz w:val="24"/>
          <w:szCs w:val="24"/>
        </w:rPr>
        <w:t>, consistente en la resolución contenida el oficio número</w:t>
      </w:r>
      <w:r w:rsidRPr="009844D1">
        <w:rPr>
          <w:rFonts w:ascii="Arial Narrow" w:hAnsi="Arial Narrow" w:cs="Arial"/>
          <w:b/>
          <w:i/>
          <w:sz w:val="24"/>
          <w:szCs w:val="24"/>
        </w:rPr>
        <w:t xml:space="preserve"> </w:t>
      </w:r>
      <w:r w:rsidR="0050127A">
        <w:rPr>
          <w:rFonts w:ascii="Arial Narrow" w:hAnsi="Arial Narrow" w:cs="Arial"/>
          <w:b/>
          <w:i/>
          <w:color w:val="FF0000"/>
          <w:sz w:val="24"/>
          <w:szCs w:val="24"/>
        </w:rPr>
        <w:t>**********</w:t>
      </w:r>
      <w:r w:rsidRPr="009844D1">
        <w:rPr>
          <w:rFonts w:ascii="Arial Narrow" w:hAnsi="Arial Narrow" w:cs="Arial"/>
          <w:b/>
          <w:i/>
          <w:sz w:val="24"/>
          <w:szCs w:val="24"/>
        </w:rPr>
        <w:t xml:space="preserve"> </w:t>
      </w:r>
      <w:r w:rsidRPr="009844D1">
        <w:rPr>
          <w:rFonts w:ascii="Arial Narrow" w:hAnsi="Arial Narrow" w:cs="Arial"/>
          <w:i/>
          <w:sz w:val="24"/>
          <w:szCs w:val="24"/>
        </w:rPr>
        <w:t xml:space="preserve">de </w:t>
      </w:r>
      <w:r w:rsidRPr="009844D1">
        <w:rPr>
          <w:rFonts w:ascii="Arial Narrow" w:hAnsi="Arial Narrow" w:cs="Arial"/>
          <w:b/>
          <w:i/>
          <w:color w:val="0033CC"/>
          <w:sz w:val="24"/>
          <w:szCs w:val="24"/>
        </w:rPr>
        <w:t>11 de marzo de 2020</w:t>
      </w:r>
      <w:r w:rsidRPr="009844D1">
        <w:rPr>
          <w:rFonts w:ascii="Arial Narrow" w:hAnsi="Arial Narrow" w:cs="Arial"/>
          <w:i/>
          <w:sz w:val="24"/>
          <w:szCs w:val="24"/>
        </w:rPr>
        <w:t xml:space="preserve">, </w:t>
      </w:r>
      <w:r w:rsidRPr="009844D1">
        <w:rPr>
          <w:rFonts w:ascii="Arial Narrow" w:hAnsi="Arial Narrow" w:cs="Arial"/>
          <w:i/>
          <w:sz w:val="24"/>
          <w:szCs w:val="24"/>
          <w:u w:val="single"/>
        </w:rPr>
        <w:t>por el cual resultó improcedente el presente juicio</w:t>
      </w:r>
      <w:r w:rsidRPr="009844D1">
        <w:rPr>
          <w:rFonts w:ascii="Arial Narrow" w:hAnsi="Arial Narrow" w:cs="Arial"/>
          <w:i/>
          <w:sz w:val="24"/>
          <w:szCs w:val="24"/>
        </w:rPr>
        <w:t xml:space="preserve">, como ya se dilucidó en párrafos precedentes; luego entonces, tomando en consideración, por analogía, los criterios sustentados por la Segunda Sala del Alto Tribunal de la Nación y por los Tribunales Colegiados de Circuito, que enseguida se cita, </w:t>
      </w:r>
      <w:r w:rsidRPr="009844D1">
        <w:rPr>
          <w:rFonts w:ascii="Arial Narrow" w:hAnsi="Arial Narrow" w:cs="Arial"/>
          <w:b/>
          <w:i/>
          <w:sz w:val="24"/>
          <w:szCs w:val="24"/>
        </w:rPr>
        <w:t>no debe desvincularse el estudio de la referida disposición impugnada del que concierne a su acto de aplicación</w:t>
      </w:r>
      <w:r w:rsidRPr="009844D1">
        <w:rPr>
          <w:rFonts w:ascii="Arial Narrow" w:hAnsi="Arial Narrow" w:cs="Arial"/>
          <w:i/>
          <w:sz w:val="24"/>
          <w:szCs w:val="24"/>
        </w:rPr>
        <w:t xml:space="preserve">, por lo que, si se estima improcedente el juicio en contra del acto de aplicación, deberá sobreseer respecto de éste y, en vía de consecuencia, también en relación con el acto de carácter general impugnado, al no poder desvincularse uno de otro; por ende, en la especie, al no poder desvincularse el estudio del referido acto de carácter general del que concierne a su acto de aplicación en comento, por el cual, se reitera, resultó improcedente el juicio, en vía de consecuencia, también procede el sobreseimiento del juicio con relación al </w:t>
      </w:r>
      <w:r w:rsidRPr="009844D1">
        <w:rPr>
          <w:rFonts w:ascii="Arial Narrow" w:hAnsi="Arial Narrow" w:cs="Arial"/>
          <w:b/>
          <w:i/>
          <w:color w:val="0033CC"/>
          <w:sz w:val="24"/>
          <w:szCs w:val="24"/>
        </w:rPr>
        <w:t>Plan del Centro de Población Estratégico de Población San Luis Potosí - Soledad de Graciano Sánchez</w:t>
      </w:r>
      <w:r w:rsidRPr="009844D1">
        <w:rPr>
          <w:rFonts w:ascii="Arial Narrow" w:hAnsi="Arial Narrow" w:cs="Arial"/>
          <w:i/>
          <w:sz w:val="24"/>
          <w:szCs w:val="24"/>
        </w:rPr>
        <w:t>, al no poder desvincularse uno de otro.</w:t>
      </w:r>
    </w:p>
    <w:p w14:paraId="177FFF1D"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246AAD11"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Sirven de apoyo a lo anterior, las Jurisprudencias 2a./J. 73/2000 y 2a./J. 71/2000, así como la tesis VI.1o.A.291 A, cuyo rubro, contenido y datos de localización, son los siguientes:</w:t>
      </w:r>
    </w:p>
    <w:p w14:paraId="2B7E1B20"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1FE36C13"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Registro digital: 191309</w:t>
      </w:r>
    </w:p>
    <w:p w14:paraId="72B5D962"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lastRenderedPageBreak/>
        <w:t>Instancia: Segunda Sala</w:t>
      </w:r>
    </w:p>
    <w:p w14:paraId="4561858E"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Novena Época</w:t>
      </w:r>
    </w:p>
    <w:p w14:paraId="494D634A"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Materias(s): Constitucional, Administrativa</w:t>
      </w:r>
    </w:p>
    <w:p w14:paraId="38E6EB65"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 xml:space="preserve">Tesis: 2a./J. 73/2000      </w:t>
      </w:r>
    </w:p>
    <w:p w14:paraId="0DE14F8C"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Fuente: Semanario Judicial de la Federación y su Gaceta. Tomo XII, Agosto de 2000, página 236</w:t>
      </w:r>
    </w:p>
    <w:p w14:paraId="17B556C6"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Tipo: Jurisprudencia</w:t>
      </w:r>
    </w:p>
    <w:p w14:paraId="22CEA427"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6C7C24D0" w14:textId="77777777" w:rsidR="00177FB2" w:rsidRPr="009844D1" w:rsidRDefault="00177FB2" w:rsidP="00177FB2">
      <w:pPr>
        <w:spacing w:after="0" w:line="240" w:lineRule="auto"/>
        <w:ind w:left="567" w:right="618"/>
        <w:jc w:val="both"/>
        <w:rPr>
          <w:rFonts w:cs="Calibri"/>
          <w:i/>
          <w:iCs/>
          <w:color w:val="000000"/>
          <w:sz w:val="24"/>
          <w:szCs w:val="24"/>
          <w:lang w:eastAsia="es-MX"/>
        </w:rPr>
      </w:pPr>
      <w:r w:rsidRPr="009844D1">
        <w:rPr>
          <w:rFonts w:cs="Calibri"/>
          <w:b/>
          <w:i/>
          <w:iCs/>
          <w:color w:val="000000"/>
          <w:sz w:val="24"/>
          <w:szCs w:val="24"/>
          <w:lang w:eastAsia="es-MX"/>
        </w:rPr>
        <w:t>“”</w:t>
      </w:r>
      <w:r w:rsidRPr="009844D1">
        <w:rPr>
          <w:rFonts w:cs="Calibri"/>
          <w:b/>
          <w:i/>
          <w:iCs/>
          <w:color w:val="000000"/>
          <w:sz w:val="24"/>
          <w:szCs w:val="24"/>
          <w:u w:val="single"/>
          <w:lang w:eastAsia="es-MX"/>
        </w:rPr>
        <w:t>LEYES HETEROAPLICATIVAS</w:t>
      </w:r>
      <w:r w:rsidRPr="009844D1">
        <w:rPr>
          <w:rFonts w:cs="Calibri"/>
          <w:b/>
          <w:i/>
          <w:iCs/>
          <w:color w:val="000000"/>
          <w:sz w:val="24"/>
          <w:szCs w:val="24"/>
          <w:lang w:eastAsia="es-MX"/>
        </w:rPr>
        <w:t xml:space="preserve">. </w:t>
      </w:r>
      <w:r w:rsidRPr="009844D1">
        <w:rPr>
          <w:rFonts w:cs="Calibri"/>
          <w:b/>
          <w:i/>
          <w:iCs/>
          <w:color w:val="000000"/>
          <w:sz w:val="24"/>
          <w:szCs w:val="24"/>
          <w:u w:val="single"/>
          <w:lang w:eastAsia="es-MX"/>
        </w:rPr>
        <w:t>TIENEN ESE CARÁCTER LAS DISPOSICIONES DE OBSERVANCIA GENERAL</w:t>
      </w:r>
      <w:r w:rsidRPr="009844D1">
        <w:rPr>
          <w:rFonts w:cs="Calibri"/>
          <w:b/>
          <w:i/>
          <w:iCs/>
          <w:color w:val="000000"/>
          <w:sz w:val="24"/>
          <w:szCs w:val="24"/>
          <w:lang w:eastAsia="es-MX"/>
        </w:rPr>
        <w:t xml:space="preserve"> QUE ESTABLECEN O MODIFICAN EL MARCO JURÍDICO </w:t>
      </w:r>
      <w:r w:rsidRPr="009844D1">
        <w:rPr>
          <w:rFonts w:cs="Calibri"/>
          <w:b/>
          <w:i/>
          <w:iCs/>
          <w:color w:val="000000"/>
          <w:sz w:val="24"/>
          <w:szCs w:val="24"/>
          <w:u w:val="single"/>
          <w:lang w:eastAsia="es-MX"/>
        </w:rPr>
        <w:t>QUE REGULA UNA ACTIVIDAD SUJETA A UNA CONCESIÓN, PERMISO O AUTORIZACIÓN</w:t>
      </w:r>
      <w:r w:rsidRPr="009844D1">
        <w:rPr>
          <w:rFonts w:cs="Calibri"/>
          <w:b/>
          <w:i/>
          <w:iCs/>
          <w:color w:val="000000"/>
          <w:sz w:val="24"/>
          <w:szCs w:val="24"/>
          <w:lang w:eastAsia="es-MX"/>
        </w:rPr>
        <w:t xml:space="preserve">, EN CUANTO ESTABLECEN LOS REQUISITOS QUE REGIRÁN EN EL FUTURO EL OTORGAMIENTO DE ACTOS DE ESA NATURALEZA. </w:t>
      </w:r>
      <w:r w:rsidRPr="009844D1">
        <w:rPr>
          <w:rFonts w:cs="Calibri"/>
          <w:i/>
          <w:iCs/>
          <w:color w:val="000000"/>
          <w:sz w:val="24"/>
          <w:szCs w:val="24"/>
          <w:lang w:eastAsia="es-MX"/>
        </w:rPr>
        <w:t xml:space="preserve">Conforme a la jurisprudencia de esta Suprema Corte de Justicia de la Nación, de rubro: "LEYES AUTOAPLICATIVAS Y HETEROAPLICATIVAS.  DISTINCIÓN BASADA EN EL CONCEPTO DE INDIVIDUALIZACIÓN INCONDICIONADA.", visible en la página 5, del Tomo VI, julio de 1997, del Semanario Judicial de la Federación y su Gaceta, son heteroaplicativas las disposiciones de observancia general que establecen obligaciones de hacer o de no hacer que no surgen en forma automática con su sola entrada en vigor, sino que requieren para actualizar el perjuicio, de un acto diverso que condiciona su individualización; al tenor de este criterio jurisprudencial, </w:t>
      </w:r>
      <w:r w:rsidRPr="009844D1">
        <w:rPr>
          <w:rFonts w:cs="Calibri"/>
          <w:b/>
          <w:i/>
          <w:iCs/>
          <w:color w:val="000000"/>
          <w:sz w:val="24"/>
          <w:szCs w:val="24"/>
          <w:lang w:eastAsia="es-MX"/>
        </w:rPr>
        <w:t xml:space="preserve">debe estimarse que son de invidualización condicionada las disposiciones de observancia general que </w:t>
      </w:r>
      <w:r w:rsidRPr="009844D1">
        <w:rPr>
          <w:rFonts w:cs="Calibri"/>
          <w:b/>
          <w:i/>
          <w:iCs/>
          <w:color w:val="000000"/>
          <w:sz w:val="24"/>
          <w:szCs w:val="24"/>
          <w:u w:val="single"/>
          <w:lang w:eastAsia="es-MX"/>
        </w:rPr>
        <w:t>al fijar o modificar el marco jurídico que regula una actividad cuya realización por parte de los gobernados está sujeta a la obtención de una concesión, permiso o autorización</w:t>
      </w:r>
      <w:r w:rsidRPr="009844D1">
        <w:rPr>
          <w:rFonts w:cs="Calibri"/>
          <w:b/>
          <w:i/>
          <w:iCs/>
          <w:color w:val="000000"/>
          <w:sz w:val="24"/>
          <w:szCs w:val="24"/>
          <w:lang w:eastAsia="es-MX"/>
        </w:rPr>
        <w:t xml:space="preserve">, establecen nuevos o diversos requisitos que regirán en el futuro el otorgamiento de los respectivos actos administrativos, </w:t>
      </w:r>
      <w:r w:rsidRPr="009844D1">
        <w:rPr>
          <w:rFonts w:cs="Calibri"/>
          <w:b/>
          <w:i/>
          <w:iCs/>
          <w:color w:val="000000"/>
          <w:sz w:val="24"/>
          <w:szCs w:val="24"/>
          <w:u w:val="single"/>
          <w:lang w:eastAsia="es-MX"/>
        </w:rPr>
        <w:t>pues para que afecten la esfera jurídica de aquéllos se requiere, previamente, que acudan ante la administración a solicitar su emisión</w:t>
      </w:r>
      <w:r w:rsidRPr="009844D1">
        <w:rPr>
          <w:rFonts w:cs="Calibri"/>
          <w:i/>
          <w:iCs/>
          <w:color w:val="000000"/>
          <w:sz w:val="24"/>
          <w:szCs w:val="24"/>
          <w:lang w:eastAsia="es-MX"/>
        </w:rPr>
        <w:t xml:space="preserve">; </w:t>
      </w:r>
      <w:r w:rsidRPr="009844D1">
        <w:rPr>
          <w:rFonts w:cs="Calibri"/>
          <w:i/>
          <w:iCs/>
          <w:color w:val="000000"/>
          <w:sz w:val="24"/>
          <w:szCs w:val="24"/>
          <w:u w:val="single"/>
          <w:lang w:eastAsia="es-MX"/>
        </w:rPr>
        <w:t>inclusive</w:t>
      </w:r>
      <w:r w:rsidRPr="009844D1">
        <w:rPr>
          <w:rFonts w:cs="Calibri"/>
          <w:i/>
          <w:iCs/>
          <w:color w:val="000000"/>
          <w:sz w:val="24"/>
          <w:szCs w:val="24"/>
          <w:lang w:eastAsia="es-MX"/>
        </w:rPr>
        <w:t xml:space="preserve">, tratándose de los sujetos que antes de la entrada en vigor de esas nuevas disposiciones ya se encontraban facultados para realizar la respectiva actividad, </w:t>
      </w:r>
      <w:r w:rsidRPr="009844D1">
        <w:rPr>
          <w:rFonts w:cs="Calibri"/>
          <w:i/>
          <w:iCs/>
          <w:color w:val="000000"/>
          <w:sz w:val="24"/>
          <w:szCs w:val="24"/>
          <w:u w:val="single"/>
          <w:lang w:eastAsia="es-MX"/>
        </w:rPr>
        <w:t>la afectación a su esfera jurídica derivada de aquéllas está condicionada a que vuelvan a solicitar la expedición del correspondiente acto administrativo</w:t>
      </w:r>
      <w:r w:rsidRPr="009844D1">
        <w:rPr>
          <w:rFonts w:cs="Calibri"/>
          <w:i/>
          <w:iCs/>
          <w:color w:val="000000"/>
          <w:sz w:val="24"/>
          <w:szCs w:val="24"/>
          <w:lang w:eastAsia="es-MX"/>
        </w:rPr>
        <w:t>, pues el ejercicio de la actividad relativa constituye un derecho que se incorporó temporalmente en su patrimonio.””</w:t>
      </w:r>
    </w:p>
    <w:p w14:paraId="719D25B0"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34BBC0F5"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Tesis de jurisprudencia 73/2000. Aprobada por la Segunda Sala de este Alto Tribunal, en sesión privada del cuatro de agosto del año dos mil.</w:t>
      </w:r>
    </w:p>
    <w:p w14:paraId="21E63FC3"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1928DDA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Registro digital: 191311</w:t>
      </w:r>
    </w:p>
    <w:p w14:paraId="4FCB2F65"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Instancia: Segunda Sala</w:t>
      </w:r>
    </w:p>
    <w:p w14:paraId="40E62197"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Novena Época</w:t>
      </w:r>
    </w:p>
    <w:p w14:paraId="57A366E9"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Materias(s): Constitucional</w:t>
      </w:r>
    </w:p>
    <w:p w14:paraId="32AFD64E"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 xml:space="preserve">Tesis: 2a./J. 71/2000      </w:t>
      </w:r>
    </w:p>
    <w:p w14:paraId="1EBD4A20"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Fuente: Semanario Judicial de la Federación y su Gaceta. Tomo XII, Agosto de 2000, página 235</w:t>
      </w:r>
    </w:p>
    <w:p w14:paraId="5ED174A8"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Tipo: Jurisprudencia</w:t>
      </w:r>
    </w:p>
    <w:p w14:paraId="2475325D"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3F19F1C0" w14:textId="77777777" w:rsidR="00177FB2" w:rsidRPr="009844D1" w:rsidRDefault="00177FB2" w:rsidP="00177FB2">
      <w:pPr>
        <w:spacing w:after="0" w:line="240" w:lineRule="auto"/>
        <w:ind w:left="567" w:right="618"/>
        <w:jc w:val="both"/>
        <w:rPr>
          <w:rFonts w:cs="Calibri"/>
          <w:i/>
          <w:iCs/>
          <w:color w:val="000000"/>
          <w:sz w:val="24"/>
          <w:szCs w:val="24"/>
          <w:lang w:eastAsia="es-MX"/>
        </w:rPr>
      </w:pPr>
      <w:r w:rsidRPr="009844D1">
        <w:rPr>
          <w:rFonts w:cs="Calibri"/>
          <w:b/>
          <w:i/>
          <w:iCs/>
          <w:color w:val="000000"/>
          <w:sz w:val="24"/>
          <w:szCs w:val="24"/>
          <w:lang w:eastAsia="es-MX"/>
        </w:rPr>
        <w:t xml:space="preserve">“”LEYES, AMPARO CONTRA. </w:t>
      </w:r>
      <w:r w:rsidRPr="009844D1">
        <w:rPr>
          <w:rFonts w:cs="Calibri"/>
          <w:b/>
          <w:i/>
          <w:iCs/>
          <w:color w:val="000000"/>
          <w:sz w:val="24"/>
          <w:szCs w:val="24"/>
          <w:u w:val="single"/>
          <w:lang w:eastAsia="es-MX"/>
        </w:rPr>
        <w:t>REGLAS PARA SU ESTUDIO</w:t>
      </w:r>
      <w:r w:rsidRPr="009844D1">
        <w:rPr>
          <w:rFonts w:cs="Calibri"/>
          <w:b/>
          <w:i/>
          <w:iCs/>
          <w:color w:val="000000"/>
          <w:sz w:val="24"/>
          <w:szCs w:val="24"/>
          <w:lang w:eastAsia="es-MX"/>
        </w:rPr>
        <w:t xml:space="preserve"> </w:t>
      </w:r>
      <w:r w:rsidRPr="009844D1">
        <w:rPr>
          <w:rFonts w:cs="Calibri"/>
          <w:b/>
          <w:i/>
          <w:iCs/>
          <w:color w:val="000000"/>
          <w:sz w:val="24"/>
          <w:szCs w:val="24"/>
          <w:u w:val="single"/>
          <w:lang w:eastAsia="es-MX"/>
        </w:rPr>
        <w:t>CUANDO SE PROMUEVE CON MOTIVO DE UN ACTO DE APLICACIÓN</w:t>
      </w:r>
      <w:r w:rsidRPr="009844D1">
        <w:rPr>
          <w:rFonts w:cs="Calibri"/>
          <w:b/>
          <w:i/>
          <w:iCs/>
          <w:color w:val="000000"/>
          <w:sz w:val="24"/>
          <w:szCs w:val="24"/>
          <w:lang w:eastAsia="es-MX"/>
        </w:rPr>
        <w:t xml:space="preserve">. </w:t>
      </w:r>
      <w:r w:rsidRPr="009844D1">
        <w:rPr>
          <w:rFonts w:cs="Calibri"/>
          <w:i/>
          <w:iCs/>
          <w:color w:val="000000"/>
          <w:sz w:val="24"/>
          <w:szCs w:val="24"/>
          <w:lang w:eastAsia="es-MX"/>
        </w:rPr>
        <w:t xml:space="preserve">Conforme a lo dispuesto en la jurisprudencia número 221, visible en las páginas 210 y 211 del Tomo I del Apéndice al Semanario Judicial de la Federación, compilación 1917-1995, de rubro: "LEYES O REGLAMENTOS, AMPARO CONTRA, PROMOVIDO CON MOTIVO DE SU APLICACIÓN.", cuando se promueve un juicio de amparo en contra de una ley o reglamento con motivo de su aplicación concreta en perjuicio del quejoso, el Juez de Distrito </w:t>
      </w:r>
      <w:r w:rsidRPr="009844D1">
        <w:rPr>
          <w:rFonts w:cs="Calibri"/>
          <w:b/>
          <w:i/>
          <w:iCs/>
          <w:color w:val="000000"/>
          <w:sz w:val="24"/>
          <w:szCs w:val="24"/>
          <w:u w:val="single"/>
          <w:lang w:eastAsia="es-MX"/>
        </w:rPr>
        <w:t>no debe desvincular el estudio de la disposición impugnada del que concierne a su acto de aplicación</w:t>
      </w:r>
      <w:r w:rsidRPr="009844D1">
        <w:rPr>
          <w:rFonts w:cs="Calibri"/>
          <w:i/>
          <w:iCs/>
          <w:color w:val="000000"/>
          <w:sz w:val="24"/>
          <w:szCs w:val="24"/>
          <w:lang w:eastAsia="es-MX"/>
        </w:rPr>
        <w:t xml:space="preserve">. De ahí que el juzgador de garantías </w:t>
      </w:r>
      <w:r w:rsidRPr="009844D1">
        <w:rPr>
          <w:rFonts w:cs="Calibri"/>
          <w:b/>
          <w:i/>
          <w:iCs/>
          <w:color w:val="000000"/>
          <w:sz w:val="24"/>
          <w:szCs w:val="24"/>
          <w:lang w:eastAsia="es-MX"/>
        </w:rPr>
        <w:t>debe analizar, en principio</w:t>
      </w:r>
      <w:r w:rsidRPr="009844D1">
        <w:rPr>
          <w:rFonts w:cs="Calibri"/>
          <w:i/>
          <w:iCs/>
          <w:color w:val="000000"/>
          <w:sz w:val="24"/>
          <w:szCs w:val="24"/>
          <w:lang w:eastAsia="es-MX"/>
        </w:rPr>
        <w:t xml:space="preserve">, </w:t>
      </w:r>
      <w:r w:rsidRPr="009844D1">
        <w:rPr>
          <w:rFonts w:cs="Calibri"/>
          <w:b/>
          <w:i/>
          <w:iCs/>
          <w:color w:val="000000"/>
          <w:sz w:val="24"/>
          <w:szCs w:val="24"/>
          <w:lang w:eastAsia="es-MX"/>
        </w:rPr>
        <w:t>si el juicio de amparo resulta procedente en cuanto al acto de aplicación impugnado</w:t>
      </w:r>
      <w:r w:rsidRPr="009844D1">
        <w:rPr>
          <w:rFonts w:cs="Calibri"/>
          <w:i/>
          <w:iCs/>
          <w:color w:val="000000"/>
          <w:sz w:val="24"/>
          <w:szCs w:val="24"/>
          <w:lang w:eastAsia="es-MX"/>
        </w:rPr>
        <w:t xml:space="preserve">, es decir, si constituye el primero que concrete en perjuicio del peticionario de garantías la hipótesis jurídica controvertida </w:t>
      </w:r>
      <w:r w:rsidRPr="009844D1">
        <w:rPr>
          <w:rFonts w:cs="Calibri"/>
          <w:i/>
          <w:iCs/>
          <w:color w:val="000000"/>
          <w:sz w:val="24"/>
          <w:szCs w:val="24"/>
          <w:u w:val="single"/>
          <w:lang w:eastAsia="es-MX"/>
        </w:rPr>
        <w:t>y si en relación con él no se actualiza una diversa causa de improcedencia</w:t>
      </w:r>
      <w:r w:rsidRPr="009844D1">
        <w:rPr>
          <w:rFonts w:cs="Calibri"/>
          <w:i/>
          <w:iCs/>
          <w:color w:val="000000"/>
          <w:sz w:val="24"/>
          <w:szCs w:val="24"/>
          <w:lang w:eastAsia="es-MX"/>
        </w:rPr>
        <w:t xml:space="preserve">; </w:t>
      </w:r>
      <w:r w:rsidRPr="009844D1">
        <w:rPr>
          <w:rFonts w:cs="Calibri"/>
          <w:b/>
          <w:i/>
          <w:iCs/>
          <w:color w:val="000000"/>
          <w:sz w:val="24"/>
          <w:szCs w:val="24"/>
          <w:lang w:eastAsia="es-MX"/>
        </w:rPr>
        <w:t>de no acontecer así</w:t>
      </w:r>
      <w:r w:rsidRPr="009844D1">
        <w:rPr>
          <w:rFonts w:cs="Calibri"/>
          <w:i/>
          <w:iCs/>
          <w:color w:val="000000"/>
          <w:sz w:val="24"/>
          <w:szCs w:val="24"/>
          <w:lang w:eastAsia="es-MX"/>
        </w:rPr>
        <w:t xml:space="preserve">, </w:t>
      </w:r>
      <w:r w:rsidRPr="009844D1">
        <w:rPr>
          <w:rFonts w:cs="Calibri"/>
          <w:b/>
          <w:i/>
          <w:iCs/>
          <w:color w:val="000000"/>
          <w:sz w:val="24"/>
          <w:szCs w:val="24"/>
          <w:lang w:eastAsia="es-MX"/>
        </w:rPr>
        <w:t xml:space="preserve">se impondrá sobreseer en el juicio respecto del acto de aplicación </w:t>
      </w:r>
      <w:r w:rsidRPr="009844D1">
        <w:rPr>
          <w:rFonts w:cs="Calibri"/>
          <w:b/>
          <w:i/>
          <w:iCs/>
          <w:color w:val="000000"/>
          <w:sz w:val="24"/>
          <w:szCs w:val="24"/>
          <w:u w:val="single"/>
          <w:lang w:eastAsia="es-MX"/>
        </w:rPr>
        <w:t>y la norma impugnada</w:t>
      </w:r>
      <w:r w:rsidRPr="009844D1">
        <w:rPr>
          <w:rFonts w:cs="Calibri"/>
          <w:i/>
          <w:iCs/>
          <w:color w:val="000000"/>
          <w:sz w:val="24"/>
          <w:szCs w:val="24"/>
          <w:lang w:eastAsia="es-MX"/>
        </w:rPr>
        <w:t>. Por otra parte, de resultar procedente el juicio en cuanto al acto de aplicación, debe analizarse la constitucionalidad de la disposición impugnada determinando lo conducente y, únicamente en el caso de que se determine negar el amparo por lo que corresponde a ésta, será factible abordar el estudio de los conceptos de violación enderezados por vicios propios, en su caso, en contra del acto de aplicación; siendo incorrecto, por ello, el estudio de estas últimas cuestiones antes de concluir sobre la constitucionalidad de la norma reclamada.</w:t>
      </w:r>
      <w:r w:rsidRPr="009844D1">
        <w:rPr>
          <w:rFonts w:cs="Calibri"/>
          <w:b/>
          <w:i/>
          <w:iCs/>
          <w:color w:val="000000"/>
          <w:sz w:val="24"/>
          <w:szCs w:val="24"/>
          <w:lang w:eastAsia="es-MX"/>
        </w:rPr>
        <w:t>””</w:t>
      </w:r>
    </w:p>
    <w:p w14:paraId="615C3607"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29919E3C"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Tesis de jurisprudencia 71/2000. Aprobada por la Segunda Sala de este Alto Tribunal, en sesión privada del cuatro de agosto del año dos mil.</w:t>
      </w:r>
    </w:p>
    <w:p w14:paraId="527028A8"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33D48C19"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Registro digital: 164460</w:t>
      </w:r>
    </w:p>
    <w:p w14:paraId="7C0F7777"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Instancia: Tribunales Colegiados de Circuito</w:t>
      </w:r>
    </w:p>
    <w:p w14:paraId="78670F02"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Novena Época</w:t>
      </w:r>
    </w:p>
    <w:p w14:paraId="24B7A675"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Materias(s): Administrativa</w:t>
      </w:r>
    </w:p>
    <w:p w14:paraId="34798B2E"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Tesis: VI.1o.A.291 A</w:t>
      </w:r>
    </w:p>
    <w:p w14:paraId="35DD31CA"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Fuente: Semanario Judicial de la Federación y su Gaceta. Tomo XXXI, Junio de 2010, página 935</w:t>
      </w:r>
    </w:p>
    <w:p w14:paraId="01CBD034"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Tipo: Aislada</w:t>
      </w:r>
    </w:p>
    <w:p w14:paraId="02FF08C0"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0CFF6787" w14:textId="77777777" w:rsidR="00177FB2" w:rsidRPr="009844D1" w:rsidRDefault="00177FB2" w:rsidP="00177FB2">
      <w:pPr>
        <w:spacing w:after="0" w:line="240" w:lineRule="auto"/>
        <w:ind w:left="567" w:right="618"/>
        <w:jc w:val="both"/>
        <w:rPr>
          <w:rFonts w:cs="Calibri"/>
          <w:i/>
          <w:iCs/>
          <w:color w:val="000000"/>
          <w:sz w:val="24"/>
          <w:szCs w:val="24"/>
          <w:lang w:eastAsia="es-MX"/>
        </w:rPr>
      </w:pPr>
      <w:r w:rsidRPr="009844D1">
        <w:rPr>
          <w:rFonts w:cs="Calibri"/>
          <w:b/>
          <w:i/>
          <w:iCs/>
          <w:color w:val="000000"/>
          <w:sz w:val="24"/>
          <w:szCs w:val="24"/>
          <w:lang w:eastAsia="es-MX"/>
        </w:rPr>
        <w:t xml:space="preserve">“”JUICIO CONTENCIOSO ADMINISTRATIVO. </w:t>
      </w:r>
      <w:r w:rsidRPr="009844D1">
        <w:rPr>
          <w:rFonts w:cs="Calibri"/>
          <w:b/>
          <w:i/>
          <w:iCs/>
          <w:color w:val="000000"/>
          <w:sz w:val="24"/>
          <w:szCs w:val="24"/>
          <w:u w:val="single"/>
          <w:lang w:eastAsia="es-MX"/>
        </w:rPr>
        <w:t>TÉCNICA PARA SU ESTUDIO CUANDO SE PROMUEVE</w:t>
      </w:r>
      <w:r w:rsidRPr="009844D1">
        <w:rPr>
          <w:rFonts w:cs="Calibri"/>
          <w:b/>
          <w:i/>
          <w:iCs/>
          <w:color w:val="000000"/>
          <w:sz w:val="24"/>
          <w:szCs w:val="24"/>
          <w:lang w:eastAsia="es-MX"/>
        </w:rPr>
        <w:t xml:space="preserve"> CONTRA ACTOS ADMINISTRATIVOS, DECRETOS Y ACUERDOS DE CARÁCTER GENERAL, IMPUGNADOS POR SU SOLA ENTRADA EN VIGOR O </w:t>
      </w:r>
      <w:r w:rsidRPr="009844D1">
        <w:rPr>
          <w:rFonts w:cs="Calibri"/>
          <w:b/>
          <w:i/>
          <w:iCs/>
          <w:color w:val="000000"/>
          <w:sz w:val="24"/>
          <w:szCs w:val="24"/>
          <w:u w:val="single"/>
          <w:lang w:eastAsia="es-MX"/>
        </w:rPr>
        <w:t>CON MOTIVO DEL PRIMER ACTO DE APLICACIÓN</w:t>
      </w:r>
      <w:r w:rsidRPr="009844D1">
        <w:rPr>
          <w:rFonts w:cs="Calibri"/>
          <w:b/>
          <w:i/>
          <w:iCs/>
          <w:color w:val="000000"/>
          <w:sz w:val="24"/>
          <w:szCs w:val="24"/>
          <w:lang w:eastAsia="es-MX"/>
        </w:rPr>
        <w:t xml:space="preserve">. </w:t>
      </w:r>
      <w:r w:rsidRPr="009844D1">
        <w:rPr>
          <w:rFonts w:cs="Calibri"/>
          <w:i/>
          <w:iCs/>
          <w:color w:val="000000"/>
          <w:sz w:val="24"/>
          <w:szCs w:val="24"/>
          <w:lang w:eastAsia="es-MX"/>
        </w:rPr>
        <w:t xml:space="preserve">Con la entrada en vigor de la Ley Federal de Procedimiento Contencioso Administrativo, a partir del primero de enero de dos mil seis, la hipótesis legal de procedencia del juicio de nulidad para combatir disposiciones de observancia general, ha evolucionado de tal forma que es legalmente factible impugnar mediante el juicio de referencia, entre otros, actos administrativos de carácter general, diversos a los reglamentos, ya sea que se controviertan como autoaplicativos o cuando el gobernado los impugne conjuntamente con el primer acto de aplicación. </w:t>
      </w:r>
      <w:r w:rsidRPr="009844D1">
        <w:rPr>
          <w:rFonts w:cs="Calibri"/>
          <w:i/>
          <w:iCs/>
          <w:color w:val="000000"/>
          <w:sz w:val="24"/>
          <w:szCs w:val="24"/>
          <w:u w:val="single"/>
          <w:lang w:eastAsia="es-MX"/>
        </w:rPr>
        <w:t>Al respecto, existen semejanzas relevantes entre el juicio de amparo contra leyes promovido por la sola entrada en vigor de la norma reclamada o con motivo de su primer acto de aplicación, con el juicio contencioso administrativo en el que se impugne la nulidad de un acto, acuerdo o decreto de carácter general en dichas vías</w:t>
      </w:r>
      <w:r w:rsidRPr="009844D1">
        <w:rPr>
          <w:rFonts w:cs="Calibri"/>
          <w:i/>
          <w:iCs/>
          <w:color w:val="000000"/>
          <w:sz w:val="24"/>
          <w:szCs w:val="24"/>
          <w:lang w:eastAsia="es-MX"/>
        </w:rPr>
        <w:t xml:space="preserve">, conforme a lo dispuesto por el artículo 2o. de la Ley Federal de Procedimiento </w:t>
      </w:r>
      <w:r w:rsidRPr="009844D1">
        <w:rPr>
          <w:rFonts w:cs="Calibri"/>
          <w:i/>
          <w:iCs/>
          <w:color w:val="000000"/>
          <w:sz w:val="24"/>
          <w:szCs w:val="24"/>
          <w:lang w:eastAsia="es-MX"/>
        </w:rPr>
        <w:lastRenderedPageBreak/>
        <w:t xml:space="preserve">Contencioso Administrativo; lo que permite aplicar en forma analógica la técnica del juicio de amparo contra leyes en la vía de constitucionalidad, que ha sido objeto de desarrollo jurisprudencial por parte de la Suprema Corte de Justicia de la Nación, al examen de los actos, acuerdos o decretos de carácter general que realice el Tribunal Federal de Justicia Fiscal y Administrativa en la vía de legalidad, con las particularidades propias de esta última y atendiendo a cada caso concreto. En efecto, en primer término se estima que para el examen en el juicio de nulidad de los actos administrativos de carácter general, impugnados por su sola entrada en vigor, es necesario que quien acude al juicio demuestre que es sujeto de la norma y que sus disposiciones afectan su interés jurídico, por lo que sólo una vez demostrado dicho extremo, se deberá proceder al examen de los planteamientos enderezados en contra del acto de carácter general combatido, declarando su nulidad o reconociendo su validez según sea el caso. En segundo lugar, </w:t>
      </w:r>
      <w:r w:rsidRPr="009844D1">
        <w:rPr>
          <w:rFonts w:cs="Calibri"/>
          <w:i/>
          <w:iCs/>
          <w:color w:val="000000"/>
          <w:sz w:val="24"/>
          <w:szCs w:val="24"/>
          <w:u w:val="single"/>
          <w:lang w:eastAsia="es-MX"/>
        </w:rPr>
        <w:t>para el estudio de la legalidad de los actos de carácter general combatidos en el juicio contencioso administrativo con motivo de su primer acto de aplicación</w:t>
      </w:r>
      <w:r w:rsidRPr="009844D1">
        <w:rPr>
          <w:rFonts w:cs="Calibri"/>
          <w:i/>
          <w:iCs/>
          <w:color w:val="000000"/>
          <w:sz w:val="24"/>
          <w:szCs w:val="24"/>
          <w:lang w:eastAsia="es-MX"/>
        </w:rPr>
        <w:t xml:space="preserve">, </w:t>
      </w:r>
      <w:r w:rsidRPr="009844D1">
        <w:rPr>
          <w:rFonts w:cs="Calibri"/>
          <w:i/>
          <w:iCs/>
          <w:color w:val="000000"/>
          <w:sz w:val="24"/>
          <w:szCs w:val="24"/>
          <w:u w:val="single"/>
          <w:lang w:eastAsia="es-MX"/>
        </w:rPr>
        <w:t>la técnica que por regla general rige en la vía de constitucionalidad para el juicio de amparo</w:t>
      </w:r>
      <w:r w:rsidRPr="009844D1">
        <w:rPr>
          <w:rFonts w:cs="Calibri"/>
          <w:i/>
          <w:iCs/>
          <w:color w:val="000000"/>
          <w:sz w:val="24"/>
          <w:szCs w:val="24"/>
          <w:lang w:eastAsia="es-MX"/>
        </w:rPr>
        <w:t xml:space="preserve"> contra leyes en esos casos, </w:t>
      </w:r>
      <w:r w:rsidRPr="009844D1">
        <w:rPr>
          <w:rFonts w:cs="Calibri"/>
          <w:i/>
          <w:iCs/>
          <w:color w:val="000000"/>
          <w:sz w:val="24"/>
          <w:szCs w:val="24"/>
          <w:u w:val="single"/>
          <w:lang w:eastAsia="es-MX"/>
        </w:rPr>
        <w:t>se estima aplicable analógicamente al juicio fiscal</w:t>
      </w:r>
      <w:r w:rsidRPr="009844D1">
        <w:rPr>
          <w:rFonts w:cs="Calibri"/>
          <w:i/>
          <w:iCs/>
          <w:color w:val="000000"/>
          <w:sz w:val="24"/>
          <w:szCs w:val="24"/>
          <w:lang w:eastAsia="es-MX"/>
        </w:rPr>
        <w:t xml:space="preserve">, debiendo proceder el Tribunal Federal de Justicia Fiscal y Administrativa de la siguiente forma: </w:t>
      </w:r>
      <w:r w:rsidRPr="009844D1">
        <w:rPr>
          <w:rFonts w:cs="Calibri"/>
          <w:b/>
          <w:i/>
          <w:iCs/>
          <w:color w:val="000000"/>
          <w:sz w:val="24"/>
          <w:szCs w:val="24"/>
          <w:lang w:eastAsia="es-MX"/>
        </w:rPr>
        <w:t xml:space="preserve">1. </w:t>
      </w:r>
      <w:r w:rsidRPr="009844D1">
        <w:rPr>
          <w:rFonts w:cs="Calibri"/>
          <w:i/>
          <w:iCs/>
          <w:color w:val="000000"/>
          <w:sz w:val="24"/>
          <w:szCs w:val="24"/>
          <w:u w:val="single"/>
          <w:lang w:eastAsia="es-MX"/>
        </w:rPr>
        <w:t>Deberá examinar la procedencia del juicio contencioso administrativo respecto del acto concreto de aplicación</w:t>
      </w:r>
      <w:r w:rsidRPr="009844D1">
        <w:rPr>
          <w:rFonts w:cs="Calibri"/>
          <w:b/>
          <w:i/>
          <w:iCs/>
          <w:color w:val="000000"/>
          <w:sz w:val="24"/>
          <w:szCs w:val="24"/>
          <w:lang w:eastAsia="es-MX"/>
        </w:rPr>
        <w:t xml:space="preserve"> con motivo del cual se combate también la ilegalidad del acto, acuerdo o decreto general que le sirve de fundamento legal</w:t>
      </w:r>
      <w:r w:rsidRPr="009844D1">
        <w:rPr>
          <w:rFonts w:cs="Calibri"/>
          <w:i/>
          <w:iCs/>
          <w:color w:val="000000"/>
          <w:sz w:val="24"/>
          <w:szCs w:val="24"/>
          <w:lang w:eastAsia="es-MX"/>
        </w:rPr>
        <w:t xml:space="preserve">; </w:t>
      </w:r>
      <w:r w:rsidRPr="009844D1">
        <w:rPr>
          <w:rFonts w:cs="Calibri"/>
          <w:b/>
          <w:i/>
          <w:iCs/>
          <w:color w:val="000000"/>
          <w:sz w:val="24"/>
          <w:szCs w:val="24"/>
          <w:lang w:eastAsia="es-MX"/>
        </w:rPr>
        <w:t xml:space="preserve">2. </w:t>
      </w:r>
      <w:r w:rsidRPr="009844D1">
        <w:rPr>
          <w:rFonts w:cs="Calibri"/>
          <w:i/>
          <w:iCs/>
          <w:color w:val="000000"/>
          <w:sz w:val="24"/>
          <w:szCs w:val="24"/>
          <w:u w:val="single"/>
          <w:lang w:eastAsia="es-MX"/>
        </w:rPr>
        <w:t>En caso de estimar improcedente el juicio en contra del acto de aplicación</w:t>
      </w:r>
      <w:r w:rsidRPr="009844D1">
        <w:rPr>
          <w:rFonts w:cs="Calibri"/>
          <w:i/>
          <w:iCs/>
          <w:color w:val="000000"/>
          <w:sz w:val="24"/>
          <w:szCs w:val="24"/>
          <w:lang w:eastAsia="es-MX"/>
        </w:rPr>
        <w:t>,</w:t>
      </w:r>
      <w:r w:rsidRPr="009844D1">
        <w:rPr>
          <w:rFonts w:cs="Calibri"/>
          <w:b/>
          <w:i/>
          <w:iCs/>
          <w:color w:val="000000"/>
          <w:sz w:val="24"/>
          <w:szCs w:val="24"/>
          <w:lang w:eastAsia="es-MX"/>
        </w:rPr>
        <w:t xml:space="preserve"> deberá sobreseer respecto de éste </w:t>
      </w:r>
      <w:r w:rsidRPr="009844D1">
        <w:rPr>
          <w:rFonts w:cs="Calibri"/>
          <w:b/>
          <w:i/>
          <w:iCs/>
          <w:color w:val="000000"/>
          <w:sz w:val="24"/>
          <w:szCs w:val="24"/>
          <w:u w:val="single"/>
          <w:lang w:eastAsia="es-MX"/>
        </w:rPr>
        <w:t>y, en vía de consecuencia, en relación con el acto de carácter general impugnado, al no poder desvincularse uno de otro</w:t>
      </w:r>
      <w:r w:rsidRPr="009844D1">
        <w:rPr>
          <w:rFonts w:cs="Calibri"/>
          <w:i/>
          <w:iCs/>
          <w:color w:val="000000"/>
          <w:sz w:val="24"/>
          <w:szCs w:val="24"/>
          <w:lang w:eastAsia="es-MX"/>
        </w:rPr>
        <w:t xml:space="preserve">; 3. En el diverso supuesto de que el juicio fiscal resulte procedente en relación con el acto concreto de aplicación, lo será también respecto del acto de carácter general impugnado, y la Sala Fiscal deberá analizar en primer término los planteamientos de ilegalidad formulados en contra de la norma general combatida, pues de resultar ésta contraria a derecho, lo será también en vía de consecuencia el acto de aplicación impugnado por la parte actora, obteniendo ésta una declaratoria de ilegalidad tanto de la norma como del acto, lo que le depara un mayor beneficio a la sola anulación de este último por vicios propios; y, 4. Sólo en caso de que el Tribunal Federal de Justicia Fiscal y Administrativa desestime los conceptos de impugnación enderezados a combatir la ilegalidad de la norma general respectiva, deberá reconocer la validez de esta última y, posteriormente, analizar los planteamientos de nulidad relativos al acto de aplicación por vicios propios, declarando su nulidad o reconociendo su validez. Es por tanto incorrecto que el mencionado tribunal analice en primer lugar las cuestiones de ilegalidad del acto de aplicación combatido por vicios propios, en forma previa al examen de los planteamientos de nulidad enderezados en contra del acto, acuerdo o decreto de </w:t>
      </w:r>
      <w:r w:rsidRPr="009844D1">
        <w:rPr>
          <w:rFonts w:cs="Calibri"/>
          <w:i/>
          <w:iCs/>
          <w:color w:val="000000"/>
          <w:sz w:val="24"/>
          <w:szCs w:val="24"/>
          <w:lang w:eastAsia="es-MX"/>
        </w:rPr>
        <w:lastRenderedPageBreak/>
        <w:t>carácter general, pues ello implica desvincular el análisis de ambos actos.</w:t>
      </w:r>
      <w:r w:rsidRPr="009844D1">
        <w:rPr>
          <w:rFonts w:cs="Calibri"/>
          <w:b/>
          <w:i/>
          <w:iCs/>
          <w:color w:val="000000"/>
          <w:sz w:val="24"/>
          <w:szCs w:val="24"/>
          <w:lang w:eastAsia="es-MX"/>
        </w:rPr>
        <w:t>””</w:t>
      </w:r>
    </w:p>
    <w:p w14:paraId="3D334BE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73F2BE89"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PRIMER TRIBUNAL COLEGIADO EN MATERIA ADMINISTRATIVA DEL SEXTO CIRCUITO.</w:t>
      </w:r>
    </w:p>
    <w:p w14:paraId="4284868E"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712AC7EE"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(Énfasis añadido)</w:t>
      </w:r>
    </w:p>
    <w:p w14:paraId="1144E735"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1B66858B"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Asimismo, en la parte conducente, sirve de criterio orientador la Jurisprudencia 2a./J. 95/2005 del tenor siguiente:</w:t>
      </w:r>
    </w:p>
    <w:p w14:paraId="471DDC32"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5F95349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Registro digital: 177265</w:t>
      </w:r>
    </w:p>
    <w:p w14:paraId="7A0E86AC"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Instancia: Segunda Sala</w:t>
      </w:r>
    </w:p>
    <w:p w14:paraId="1A51792F"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Novena Época</w:t>
      </w:r>
    </w:p>
    <w:p w14:paraId="42A2CDED"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Materias(s): Común</w:t>
      </w:r>
    </w:p>
    <w:p w14:paraId="7AC2CC5E"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Tesis: 2a./J. 95/2005</w:t>
      </w:r>
    </w:p>
    <w:p w14:paraId="1E273919"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Fuente: Semanario Judicial de la Federación y su Gaceta. Tomo XXII, Septiembre de 2005, página 328</w:t>
      </w:r>
    </w:p>
    <w:p w14:paraId="61C62CCD"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Tipo: Jurisprudencia</w:t>
      </w:r>
    </w:p>
    <w:p w14:paraId="0AB1A192"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5B90237F" w14:textId="77777777" w:rsidR="00177FB2" w:rsidRPr="009844D1" w:rsidRDefault="00177FB2" w:rsidP="00177FB2">
      <w:pPr>
        <w:spacing w:after="0" w:line="240" w:lineRule="auto"/>
        <w:ind w:left="567" w:right="618"/>
        <w:jc w:val="both"/>
        <w:rPr>
          <w:rFonts w:cs="Calibri"/>
          <w:i/>
          <w:iCs/>
          <w:color w:val="000000"/>
          <w:sz w:val="24"/>
          <w:szCs w:val="24"/>
          <w:lang w:eastAsia="es-MX"/>
        </w:rPr>
      </w:pPr>
      <w:r w:rsidRPr="009844D1">
        <w:rPr>
          <w:rFonts w:cs="Calibri"/>
          <w:b/>
          <w:i/>
          <w:iCs/>
          <w:color w:val="000000"/>
          <w:sz w:val="24"/>
          <w:szCs w:val="24"/>
          <w:lang w:eastAsia="es-MX"/>
        </w:rPr>
        <w:t xml:space="preserve">“”LEYES AUTOAPLICATIVAS COMBATIDAS CON MOTIVO DE SU PRIMER ACTO DE APLICACIÓN. CUANDO LA DEMANDA ES EXTEMPORÁNEA RESPECTO DE ÉSTE, TAMBIÉN LO ES EN RELACIÓN CON LA LEY, AUN CUANDO NO HAYA TRANSCURRIDO EL PLAZO DE 30 DÍAS PARA SU IMPUGNACIÓN. </w:t>
      </w:r>
      <w:r w:rsidRPr="009844D1">
        <w:rPr>
          <w:rFonts w:cs="Calibri"/>
          <w:i/>
          <w:iCs/>
          <w:color w:val="000000"/>
          <w:sz w:val="24"/>
          <w:szCs w:val="24"/>
          <w:lang w:eastAsia="es-MX"/>
        </w:rPr>
        <w:t xml:space="preserve">Conforme a los artículos 21, 22 y 73, fracción XII, de la Ley de Amparo, una ley autoaplicativa puede ser combatida en dos diferentes momentos: a) dentro de los 30 días a partir de su entrada en vigor, y b) dentro de los 15 días siguientes al en que haya surtido efectos, conforme a la ley del acto, la notificación al quejoso de la resolución o acuerdo que reclame, o al en que haya tenido conocimiento de ellos. Ahora bien, la existencia de estos dos plazos para combatir la ley no significa que simultáneamente puedan coexistir, pues tal circunstancia provocaría inseguridad jurídica. Por ello, si el quejoso impugna la ley a partir de su entrada en vigor, el plazo será el de 30 días, pero si la combate con motivo de su primer acto de aplicación, el plazo será de 15 días en los términos destacados. En ese tenor, </w:t>
      </w:r>
      <w:r w:rsidRPr="009844D1">
        <w:rPr>
          <w:rFonts w:cs="Calibri"/>
          <w:b/>
          <w:i/>
          <w:iCs/>
          <w:color w:val="000000"/>
          <w:sz w:val="24"/>
          <w:szCs w:val="24"/>
          <w:lang w:eastAsia="es-MX"/>
        </w:rPr>
        <w:t>si el quejoso combate la ley con motivo de su primer acto de aplicación</w:t>
      </w:r>
      <w:r w:rsidRPr="009844D1">
        <w:rPr>
          <w:rFonts w:cs="Calibri"/>
          <w:i/>
          <w:iCs/>
          <w:color w:val="000000"/>
          <w:sz w:val="24"/>
          <w:szCs w:val="24"/>
          <w:lang w:eastAsia="es-MX"/>
        </w:rPr>
        <w:t xml:space="preserve">, </w:t>
      </w:r>
      <w:r w:rsidRPr="009844D1">
        <w:rPr>
          <w:rFonts w:cs="Calibri"/>
          <w:b/>
          <w:i/>
          <w:iCs/>
          <w:color w:val="000000"/>
          <w:sz w:val="24"/>
          <w:szCs w:val="24"/>
          <w:lang w:eastAsia="es-MX"/>
        </w:rPr>
        <w:t>pero</w:t>
      </w:r>
      <w:r w:rsidRPr="009844D1">
        <w:rPr>
          <w:rFonts w:cs="Calibri"/>
          <w:i/>
          <w:iCs/>
          <w:color w:val="000000"/>
          <w:sz w:val="24"/>
          <w:szCs w:val="24"/>
          <w:lang w:eastAsia="es-MX"/>
        </w:rPr>
        <w:t xml:space="preserve"> la demanda la presenta fuera del plazo de 15 días aludido, </w:t>
      </w:r>
      <w:r w:rsidRPr="009844D1">
        <w:rPr>
          <w:rFonts w:cs="Calibri"/>
          <w:b/>
          <w:i/>
          <w:iCs/>
          <w:color w:val="000000"/>
          <w:sz w:val="24"/>
          <w:szCs w:val="24"/>
          <w:lang w:eastAsia="es-MX"/>
        </w:rPr>
        <w:t xml:space="preserve">el juicio de garantías resulta improcedente por lo que hace al acto de aplicación </w:t>
      </w:r>
      <w:r w:rsidRPr="009844D1">
        <w:rPr>
          <w:rFonts w:cs="Calibri"/>
          <w:b/>
          <w:i/>
          <w:iCs/>
          <w:color w:val="000000"/>
          <w:sz w:val="24"/>
          <w:szCs w:val="24"/>
          <w:u w:val="single"/>
          <w:lang w:eastAsia="es-MX"/>
        </w:rPr>
        <w:t>y, consecuentemente, también lo será por lo que respecta a la ley</w:t>
      </w:r>
      <w:r w:rsidRPr="009844D1">
        <w:rPr>
          <w:rFonts w:cs="Calibri"/>
          <w:i/>
          <w:iCs/>
          <w:color w:val="000000"/>
          <w:sz w:val="24"/>
          <w:szCs w:val="24"/>
          <w:lang w:eastAsia="es-MX"/>
        </w:rPr>
        <w:t xml:space="preserve">, sin que resulte válido pretender que en relación con esta última se aplique el plazo de 30 días por tratarse de una ley autoaplicativa, pues aun cuando tenga este carácter, </w:t>
      </w:r>
      <w:r w:rsidRPr="009844D1">
        <w:rPr>
          <w:rFonts w:cs="Calibri"/>
          <w:b/>
          <w:i/>
          <w:iCs/>
          <w:color w:val="000000"/>
          <w:sz w:val="24"/>
          <w:szCs w:val="24"/>
          <w:u w:val="single"/>
          <w:lang w:eastAsia="es-MX"/>
        </w:rPr>
        <w:t>el quejoso la combatió a través de su primer acto de aplicación</w:t>
      </w:r>
      <w:r w:rsidRPr="009844D1">
        <w:rPr>
          <w:rFonts w:cs="Calibri"/>
          <w:i/>
          <w:iCs/>
          <w:color w:val="000000"/>
          <w:sz w:val="24"/>
          <w:szCs w:val="24"/>
          <w:lang w:eastAsia="es-MX"/>
        </w:rPr>
        <w:t>.</w:t>
      </w:r>
      <w:r w:rsidRPr="009844D1">
        <w:rPr>
          <w:rFonts w:cs="Calibri"/>
          <w:b/>
          <w:i/>
          <w:iCs/>
          <w:color w:val="000000"/>
          <w:sz w:val="24"/>
          <w:szCs w:val="24"/>
          <w:lang w:eastAsia="es-MX"/>
        </w:rPr>
        <w:t>””</w:t>
      </w:r>
    </w:p>
    <w:p w14:paraId="43AEA796"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1E600747"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Contradicción de tesis 27/2005-SS. Entre las sustentadas por el Tercer Tribunal Colegiado en Materia Administrativa del Tercer Circuito y el Primer Tribunal Colegiado del Décimo Quinto Circuito. 27 de mayo de 2005. Mayoría de tres votos. Disidentes: Sergio Salvador Aguirre Anguiano y Guillermo I. Ortiz Mayagoitia. Ponente: Margarita Beatriz Luna Ramos. Secretaria: Estela Jasso Figueroa.</w:t>
      </w:r>
    </w:p>
    <w:p w14:paraId="6503E3D7"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6148A005"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Tesis de jurisprudencia 95/2005. Aprobada por la Segunda Sala de este Alto Tribunal, en sesión privada del doce de agosto de dos mil cinco.</w:t>
      </w:r>
    </w:p>
    <w:p w14:paraId="3A2FD5C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58282334"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(Lo añadido es nuestro)</w:t>
      </w:r>
    </w:p>
    <w:p w14:paraId="16DB76C8"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7C6897EA" w14:textId="30B0681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lastRenderedPageBreak/>
        <w:t xml:space="preserve">Mas aun, se considera que respecto al referido acto de carácter general, consistente en el </w:t>
      </w:r>
      <w:r w:rsidRPr="009844D1">
        <w:rPr>
          <w:rFonts w:ascii="Arial Narrow" w:hAnsi="Arial Narrow" w:cs="Arial"/>
          <w:b/>
          <w:bCs/>
          <w:i/>
          <w:sz w:val="24"/>
          <w:szCs w:val="24"/>
        </w:rPr>
        <w:t>Plan del Centro de Población Estratégico de Población San Luis Potosí - Soledad de Graciano Sánchez</w:t>
      </w:r>
      <w:r w:rsidRPr="009844D1">
        <w:rPr>
          <w:rFonts w:ascii="Arial Narrow" w:hAnsi="Arial Narrow" w:cs="Arial"/>
          <w:i/>
          <w:sz w:val="24"/>
          <w:szCs w:val="24"/>
        </w:rPr>
        <w:t xml:space="preserve">, se actualiza de manera destacada la causal de improcedencia prevista en el artículo 228, fracción IX del Código Procesal Administrativo para el Estado de San Luis Potosí, </w:t>
      </w:r>
      <w:r w:rsidRPr="009844D1">
        <w:rPr>
          <w:rFonts w:ascii="Arial Narrow" w:hAnsi="Arial Narrow" w:cs="Arial"/>
          <w:b/>
          <w:i/>
          <w:sz w:val="24"/>
          <w:szCs w:val="24"/>
        </w:rPr>
        <w:t>ya que no puede surtir efectos legales por haber dejado de existir el objeto o materia de su aplicación</w:t>
      </w:r>
      <w:r w:rsidRPr="009844D1">
        <w:rPr>
          <w:rFonts w:ascii="Arial Narrow" w:hAnsi="Arial Narrow" w:cs="Arial"/>
          <w:i/>
          <w:sz w:val="24"/>
          <w:szCs w:val="24"/>
        </w:rPr>
        <w:t xml:space="preserve">, es decir, </w:t>
      </w:r>
      <w:r w:rsidRPr="009844D1">
        <w:rPr>
          <w:rFonts w:ascii="Arial Narrow" w:hAnsi="Arial Narrow" w:cs="Arial"/>
          <w:i/>
          <w:sz w:val="24"/>
          <w:szCs w:val="24"/>
          <w:u w:val="single"/>
        </w:rPr>
        <w:t xml:space="preserve">la </w:t>
      </w:r>
      <w:r w:rsidRPr="009844D1">
        <w:rPr>
          <w:rFonts w:ascii="Arial Narrow" w:hAnsi="Arial Narrow" w:cs="Arial"/>
          <w:b/>
          <w:i/>
          <w:sz w:val="24"/>
          <w:szCs w:val="24"/>
          <w:u w:val="single"/>
        </w:rPr>
        <w:t>negativa</w:t>
      </w:r>
      <w:r w:rsidRPr="009844D1">
        <w:rPr>
          <w:rFonts w:ascii="Arial Narrow" w:hAnsi="Arial Narrow" w:cs="Arial"/>
          <w:i/>
          <w:sz w:val="24"/>
          <w:szCs w:val="24"/>
          <w:u w:val="single"/>
        </w:rPr>
        <w:t xml:space="preserve"> por parte de la autoridad demandada de expedir la licencia de uso de suelo de mérito, al cesar dichos efectos en sentido negativo</w:t>
      </w:r>
      <w:r w:rsidRPr="009844D1">
        <w:rPr>
          <w:rFonts w:ascii="Arial Narrow" w:hAnsi="Arial Narrow" w:cs="Arial"/>
          <w:i/>
          <w:sz w:val="24"/>
          <w:szCs w:val="24"/>
        </w:rPr>
        <w:t xml:space="preserve">, precisamente, por la expedición de la Licencia de uso de suelo con número de folio </w:t>
      </w:r>
      <w:r w:rsidR="0050127A">
        <w:rPr>
          <w:rFonts w:ascii="Arial Narrow" w:hAnsi="Arial Narrow" w:cs="Arial"/>
          <w:b/>
          <w:i/>
          <w:color w:val="FF0000"/>
          <w:sz w:val="24"/>
          <w:szCs w:val="24"/>
        </w:rPr>
        <w:t>**********</w:t>
      </w:r>
      <w:r w:rsidRPr="009844D1">
        <w:rPr>
          <w:rFonts w:ascii="Arial Narrow" w:hAnsi="Arial Narrow" w:cs="Arial"/>
          <w:i/>
          <w:sz w:val="24"/>
          <w:szCs w:val="24"/>
        </w:rPr>
        <w:t xml:space="preserve">de fecha </w:t>
      </w:r>
      <w:r w:rsidRPr="009844D1">
        <w:rPr>
          <w:rFonts w:ascii="Arial Narrow" w:hAnsi="Arial Narrow" w:cs="Arial"/>
          <w:b/>
          <w:i/>
          <w:color w:val="0033CC"/>
          <w:sz w:val="24"/>
          <w:szCs w:val="24"/>
        </w:rPr>
        <w:t>16 de julio de 2020</w:t>
      </w:r>
      <w:r w:rsidRPr="009844D1">
        <w:rPr>
          <w:rFonts w:ascii="Arial Narrow" w:hAnsi="Arial Narrow" w:cs="Arial"/>
          <w:i/>
          <w:sz w:val="24"/>
          <w:szCs w:val="24"/>
        </w:rPr>
        <w:t>, tal como se dilucidó en párrafos precedentes y, en consecuencia, procede el sobreseimiento del juicio con relación al referido acto de carácter general impugnado, en términos de lo dispuesto en el artículo 229, fracción II del mismo ordenamiento legal.</w:t>
      </w:r>
    </w:p>
    <w:p w14:paraId="5398F43A"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2DDE379A"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Sirve de apoyo a lo anterior, la tesis 1a. XV/2003 de la Primera Sala de la Suprema Corte de Justicia de la Nación del tenor siguiente:</w:t>
      </w:r>
    </w:p>
    <w:p w14:paraId="4107E35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66A8622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Registro digital: 184309</w:t>
      </w:r>
    </w:p>
    <w:p w14:paraId="64C985AB"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Instancia: Primera Sala</w:t>
      </w:r>
    </w:p>
    <w:p w14:paraId="2219F0BA"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Novena Época</w:t>
      </w:r>
    </w:p>
    <w:p w14:paraId="5834CFDC"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Materias(s): Común</w:t>
      </w:r>
    </w:p>
    <w:p w14:paraId="7D16FEEA"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 xml:space="preserve">Tesis: 1a. XV/2003         </w:t>
      </w:r>
    </w:p>
    <w:p w14:paraId="763E4899"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Fuente: Semanario Judicial de la Federación y su Gaceta. Tomo XVII, Mayo de 2003, página 243</w:t>
      </w:r>
    </w:p>
    <w:p w14:paraId="4E73FD82"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Tipo: Aislada</w:t>
      </w:r>
    </w:p>
    <w:p w14:paraId="52D13BAB"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3FEAE7FD" w14:textId="77777777" w:rsidR="00177FB2" w:rsidRPr="009844D1" w:rsidRDefault="00177FB2" w:rsidP="00177FB2">
      <w:pPr>
        <w:spacing w:after="0" w:line="240" w:lineRule="auto"/>
        <w:ind w:left="567" w:right="618"/>
        <w:jc w:val="both"/>
        <w:rPr>
          <w:rFonts w:cs="Calibri"/>
          <w:i/>
          <w:iCs/>
          <w:color w:val="000000"/>
          <w:sz w:val="24"/>
          <w:szCs w:val="24"/>
          <w:lang w:eastAsia="es-MX"/>
        </w:rPr>
      </w:pPr>
      <w:r w:rsidRPr="009844D1">
        <w:rPr>
          <w:rFonts w:cs="Calibri"/>
          <w:b/>
          <w:i/>
          <w:iCs/>
          <w:color w:val="000000"/>
          <w:sz w:val="24"/>
          <w:szCs w:val="24"/>
          <w:lang w:eastAsia="es-MX"/>
        </w:rPr>
        <w:t xml:space="preserve">“”LEYES HETEROAPLICATIVAS, SOBRESEIMIENTO DEL JUICIO DE AMPARO. </w:t>
      </w:r>
      <w:r w:rsidRPr="009844D1">
        <w:rPr>
          <w:rFonts w:cs="Calibri"/>
          <w:b/>
          <w:i/>
          <w:iCs/>
          <w:color w:val="000000"/>
          <w:sz w:val="24"/>
          <w:szCs w:val="24"/>
          <w:u w:val="single"/>
          <w:lang w:eastAsia="es-MX"/>
        </w:rPr>
        <w:t>PROCEDE CUANDO CESAN LOS EFECTOS DE LOS ACTOS DE APLICACIÓN</w:t>
      </w:r>
      <w:r w:rsidRPr="009844D1">
        <w:rPr>
          <w:rFonts w:cs="Calibri"/>
          <w:b/>
          <w:i/>
          <w:iCs/>
          <w:color w:val="000000"/>
          <w:sz w:val="24"/>
          <w:szCs w:val="24"/>
          <w:lang w:eastAsia="es-MX"/>
        </w:rPr>
        <w:t xml:space="preserve">. </w:t>
      </w:r>
      <w:r w:rsidRPr="009844D1">
        <w:rPr>
          <w:rFonts w:cs="Calibri"/>
          <w:i/>
          <w:iCs/>
          <w:color w:val="000000"/>
          <w:sz w:val="24"/>
          <w:szCs w:val="24"/>
          <w:lang w:eastAsia="es-MX"/>
        </w:rPr>
        <w:t xml:space="preserve">Cuando cesan los efectos de los actos de aplicación de la ley impugnada, en virtud de que la autoridad responsable los declaró insubsistentes, el juicio de amparo debe sobreseerse por lo que se refiere a dicha ley, </w:t>
      </w:r>
      <w:r w:rsidRPr="009844D1">
        <w:rPr>
          <w:rFonts w:cs="Calibri"/>
          <w:i/>
          <w:iCs/>
          <w:color w:val="000000"/>
          <w:sz w:val="24"/>
          <w:szCs w:val="24"/>
          <w:u w:val="single"/>
          <w:lang w:eastAsia="es-MX"/>
        </w:rPr>
        <w:t>pues al haber cesado su aplicación ya no causa perjuicios al quejoso</w:t>
      </w:r>
      <w:r w:rsidRPr="009844D1">
        <w:rPr>
          <w:rFonts w:cs="Calibri"/>
          <w:i/>
          <w:iCs/>
          <w:color w:val="000000"/>
          <w:sz w:val="24"/>
          <w:szCs w:val="24"/>
          <w:lang w:eastAsia="es-MX"/>
        </w:rPr>
        <w:t>.</w:t>
      </w:r>
      <w:r w:rsidRPr="009844D1">
        <w:rPr>
          <w:rFonts w:cs="Calibri"/>
          <w:b/>
          <w:i/>
          <w:iCs/>
          <w:color w:val="000000"/>
          <w:sz w:val="24"/>
          <w:szCs w:val="24"/>
          <w:lang w:eastAsia="es-MX"/>
        </w:rPr>
        <w:t>””</w:t>
      </w:r>
    </w:p>
    <w:p w14:paraId="31D298B9"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7739B371"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Amparo en revisión 268/2002. Desarrollo Urbano del Puerto Industrial de Altamira, S.A. de C.V. 8 de enero de 2003. Cinco votos. Ponente: José de Jesús Gudiño Pelayo. Secretaria: Carmina Cortés Rodríguez.</w:t>
      </w:r>
    </w:p>
    <w:p w14:paraId="7BA5E5C4"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p>
    <w:p w14:paraId="266C89D0" w14:textId="77777777" w:rsidR="00177FB2" w:rsidRPr="009844D1" w:rsidRDefault="00177FB2" w:rsidP="00177FB2">
      <w:pPr>
        <w:spacing w:after="0" w:line="240" w:lineRule="auto"/>
        <w:ind w:left="567" w:right="618"/>
        <w:jc w:val="both"/>
        <w:rPr>
          <w:rFonts w:ascii="Arial Narrow" w:hAnsi="Arial Narrow" w:cs="Arial"/>
          <w:i/>
          <w:iCs/>
          <w:color w:val="000000"/>
          <w:sz w:val="24"/>
          <w:szCs w:val="24"/>
          <w:lang w:eastAsia="es-MX"/>
        </w:rPr>
      </w:pPr>
      <w:r w:rsidRPr="009844D1">
        <w:rPr>
          <w:rFonts w:ascii="Arial Narrow" w:hAnsi="Arial Narrow" w:cs="Arial"/>
          <w:i/>
          <w:iCs/>
          <w:color w:val="000000"/>
          <w:sz w:val="24"/>
          <w:szCs w:val="24"/>
          <w:lang w:eastAsia="es-MX"/>
        </w:rPr>
        <w:t>(Lo añadido es nuestro)</w:t>
      </w:r>
    </w:p>
    <w:p w14:paraId="2CEFC2E9" w14:textId="77777777" w:rsidR="00177FB2" w:rsidRPr="009844D1" w:rsidRDefault="00177FB2" w:rsidP="00177FB2">
      <w:pPr>
        <w:spacing w:after="0" w:line="240" w:lineRule="auto"/>
        <w:ind w:left="567" w:right="618"/>
        <w:jc w:val="both"/>
        <w:rPr>
          <w:rFonts w:ascii="Arial Narrow" w:hAnsi="Arial Narrow" w:cs="Arial"/>
          <w:bCs/>
          <w:i/>
          <w:iCs/>
          <w:sz w:val="24"/>
          <w:szCs w:val="24"/>
        </w:rPr>
      </w:pPr>
    </w:p>
    <w:p w14:paraId="05153007" w14:textId="6A131986" w:rsidR="00177FB2" w:rsidRPr="009844D1" w:rsidRDefault="00177FB2" w:rsidP="00177FB2">
      <w:pPr>
        <w:spacing w:after="0" w:line="240" w:lineRule="auto"/>
        <w:ind w:left="567" w:right="618"/>
        <w:jc w:val="both"/>
        <w:rPr>
          <w:rFonts w:ascii="Arial Narrow" w:hAnsi="Arial Narrow" w:cs="Arial"/>
          <w:bCs/>
          <w:i/>
          <w:iCs/>
          <w:sz w:val="24"/>
          <w:szCs w:val="24"/>
        </w:rPr>
      </w:pPr>
      <w:r w:rsidRPr="009844D1">
        <w:rPr>
          <w:rFonts w:ascii="Arial Narrow" w:hAnsi="Arial Narrow" w:cs="Arial"/>
          <w:bCs/>
          <w:i/>
          <w:iCs/>
          <w:sz w:val="24"/>
          <w:szCs w:val="24"/>
        </w:rPr>
        <w:t xml:space="preserve">En las relatadas consideraciones, se decreta el </w:t>
      </w:r>
      <w:r w:rsidRPr="009844D1">
        <w:rPr>
          <w:rFonts w:ascii="Arial Narrow" w:hAnsi="Arial Narrow" w:cs="Arial"/>
          <w:b/>
          <w:bCs/>
          <w:i/>
          <w:iCs/>
          <w:sz w:val="24"/>
          <w:szCs w:val="24"/>
        </w:rPr>
        <w:t>SOBRESEIMIENTO</w:t>
      </w:r>
      <w:r w:rsidRPr="009844D1">
        <w:rPr>
          <w:rFonts w:ascii="Arial Narrow" w:hAnsi="Arial Narrow" w:cs="Arial"/>
          <w:bCs/>
          <w:i/>
          <w:iCs/>
          <w:sz w:val="24"/>
          <w:szCs w:val="24"/>
        </w:rPr>
        <w:t xml:space="preserve"> del presente juicio contencioso administrativo con relación a los actos impugnados identificados en los incisos </w:t>
      </w:r>
      <w:r w:rsidRPr="009844D1">
        <w:rPr>
          <w:rFonts w:ascii="Arial Narrow" w:hAnsi="Arial Narrow" w:cs="Arial"/>
          <w:b/>
          <w:bCs/>
          <w:i/>
          <w:iCs/>
          <w:sz w:val="24"/>
          <w:szCs w:val="24"/>
        </w:rPr>
        <w:t xml:space="preserve">a) </w:t>
      </w:r>
      <w:r w:rsidRPr="009844D1">
        <w:rPr>
          <w:rFonts w:ascii="Arial Narrow" w:hAnsi="Arial Narrow" w:cs="Arial"/>
          <w:bCs/>
          <w:i/>
          <w:iCs/>
          <w:sz w:val="24"/>
          <w:szCs w:val="24"/>
        </w:rPr>
        <w:t xml:space="preserve">y </w:t>
      </w:r>
      <w:r w:rsidRPr="009844D1">
        <w:rPr>
          <w:rFonts w:ascii="Arial Narrow" w:hAnsi="Arial Narrow" w:cs="Arial"/>
          <w:b/>
          <w:bCs/>
          <w:i/>
          <w:iCs/>
          <w:sz w:val="24"/>
          <w:szCs w:val="24"/>
        </w:rPr>
        <w:t>b)</w:t>
      </w:r>
      <w:r w:rsidRPr="009844D1">
        <w:rPr>
          <w:rFonts w:ascii="Arial Narrow" w:hAnsi="Arial Narrow" w:cs="Arial"/>
          <w:bCs/>
          <w:i/>
          <w:iCs/>
          <w:sz w:val="24"/>
          <w:szCs w:val="24"/>
        </w:rPr>
        <w:t xml:space="preserve"> del Resultando </w:t>
      </w:r>
      <w:r w:rsidRPr="009844D1">
        <w:rPr>
          <w:rFonts w:ascii="Arial Narrow" w:hAnsi="Arial Narrow" w:cs="Arial"/>
          <w:b/>
          <w:bCs/>
          <w:i/>
          <w:iCs/>
          <w:sz w:val="24"/>
          <w:szCs w:val="24"/>
        </w:rPr>
        <w:t>I</w:t>
      </w:r>
      <w:r w:rsidRPr="009844D1">
        <w:rPr>
          <w:rFonts w:ascii="Arial Narrow" w:hAnsi="Arial Narrow" w:cs="Arial"/>
          <w:bCs/>
          <w:i/>
          <w:iCs/>
          <w:sz w:val="24"/>
          <w:szCs w:val="24"/>
        </w:rPr>
        <w:t xml:space="preserve"> de esta resolución, consistentes en </w:t>
      </w:r>
      <w:r w:rsidRPr="009844D1">
        <w:rPr>
          <w:rFonts w:ascii="Arial Narrow" w:hAnsi="Arial Narrow" w:cs="Arial"/>
          <w:i/>
          <w:sz w:val="24"/>
          <w:szCs w:val="24"/>
        </w:rPr>
        <w:t>la resolución contenida en el oficio número</w:t>
      </w:r>
      <w:r w:rsidRPr="009844D1">
        <w:rPr>
          <w:rFonts w:ascii="Arial Narrow" w:hAnsi="Arial Narrow" w:cs="Arial"/>
          <w:b/>
          <w:i/>
          <w:sz w:val="24"/>
          <w:szCs w:val="24"/>
        </w:rPr>
        <w:t xml:space="preserve"> </w:t>
      </w:r>
      <w:r w:rsidR="0050127A">
        <w:rPr>
          <w:rFonts w:ascii="Arial Narrow" w:hAnsi="Arial Narrow" w:cs="Arial"/>
          <w:b/>
          <w:i/>
          <w:color w:val="FF0000"/>
          <w:sz w:val="24"/>
          <w:szCs w:val="24"/>
        </w:rPr>
        <w:t>**********</w:t>
      </w:r>
      <w:r w:rsidRPr="009844D1">
        <w:rPr>
          <w:rFonts w:ascii="Arial Narrow" w:hAnsi="Arial Narrow" w:cs="Arial"/>
          <w:b/>
          <w:i/>
          <w:sz w:val="24"/>
          <w:szCs w:val="24"/>
        </w:rPr>
        <w:t xml:space="preserve"> </w:t>
      </w:r>
      <w:r w:rsidRPr="009844D1">
        <w:rPr>
          <w:rFonts w:ascii="Arial Narrow" w:hAnsi="Arial Narrow" w:cs="Arial"/>
          <w:i/>
          <w:sz w:val="24"/>
          <w:szCs w:val="24"/>
        </w:rPr>
        <w:t xml:space="preserve">de </w:t>
      </w:r>
      <w:r w:rsidRPr="009844D1">
        <w:rPr>
          <w:rFonts w:ascii="Arial Narrow" w:hAnsi="Arial Narrow" w:cs="Arial"/>
          <w:b/>
          <w:i/>
          <w:color w:val="0033CC"/>
          <w:sz w:val="24"/>
          <w:szCs w:val="24"/>
        </w:rPr>
        <w:t>11 de marzo de 2020</w:t>
      </w:r>
      <w:r w:rsidRPr="009844D1">
        <w:rPr>
          <w:rFonts w:ascii="Arial Narrow" w:hAnsi="Arial Narrow" w:cs="Arial"/>
          <w:i/>
          <w:sz w:val="24"/>
          <w:szCs w:val="24"/>
        </w:rPr>
        <w:t xml:space="preserve">, así como el </w:t>
      </w:r>
      <w:r w:rsidRPr="009844D1">
        <w:rPr>
          <w:rFonts w:ascii="Arial Narrow" w:hAnsi="Arial Narrow" w:cs="Arial"/>
          <w:b/>
          <w:bCs/>
          <w:i/>
          <w:sz w:val="24"/>
          <w:szCs w:val="24"/>
        </w:rPr>
        <w:t>Plan del Centro de Población Estratégico de Población San Luis Potosí - Soledad de Graciano Sánchez</w:t>
      </w:r>
      <w:r w:rsidRPr="009844D1">
        <w:rPr>
          <w:rFonts w:ascii="Arial Narrow" w:hAnsi="Arial Narrow" w:cs="Arial"/>
          <w:i/>
          <w:sz w:val="24"/>
          <w:szCs w:val="24"/>
        </w:rPr>
        <w:t xml:space="preserve">, éste último controvertido junto con su primer acto de aplicación, </w:t>
      </w:r>
      <w:r w:rsidRPr="009844D1">
        <w:rPr>
          <w:rFonts w:ascii="Arial Narrow" w:hAnsi="Arial Narrow" w:cs="Arial"/>
          <w:bCs/>
          <w:i/>
          <w:iCs/>
          <w:sz w:val="24"/>
          <w:szCs w:val="24"/>
        </w:rPr>
        <w:t>de acuerdo con las consideraciones, fundamentos y motivos que han quedado expuestos en este Considerando.</w:t>
      </w:r>
    </w:p>
    <w:p w14:paraId="18E025AE" w14:textId="77777777" w:rsidR="00177FB2" w:rsidRPr="009844D1" w:rsidRDefault="00177FB2" w:rsidP="00177FB2">
      <w:pPr>
        <w:spacing w:after="0" w:line="240" w:lineRule="auto"/>
        <w:ind w:left="567" w:right="618"/>
        <w:jc w:val="both"/>
        <w:rPr>
          <w:rFonts w:ascii="Arial Narrow" w:hAnsi="Arial Narrow" w:cs="Arial"/>
          <w:bCs/>
          <w:i/>
          <w:iCs/>
          <w:sz w:val="24"/>
          <w:szCs w:val="24"/>
        </w:rPr>
      </w:pPr>
    </w:p>
    <w:p w14:paraId="6A125355"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Sin que sea óbice a lo anterior, que en el acuerdo de fecha </w:t>
      </w:r>
      <w:r w:rsidRPr="009844D1">
        <w:rPr>
          <w:rFonts w:ascii="Arial Narrow" w:hAnsi="Arial Narrow" w:cs="Arial"/>
          <w:i/>
          <w:color w:val="0033CC"/>
          <w:sz w:val="24"/>
          <w:szCs w:val="24"/>
        </w:rPr>
        <w:t>once de septiembre de dos mil veinte</w:t>
      </w:r>
      <w:r w:rsidRPr="009844D1">
        <w:rPr>
          <w:rFonts w:ascii="Arial Narrow" w:hAnsi="Arial Narrow" w:cs="Arial"/>
          <w:i/>
          <w:sz w:val="24"/>
          <w:szCs w:val="24"/>
        </w:rPr>
        <w:t xml:space="preserve">, se hubiere admitido a trámite la demanda, entre </w:t>
      </w:r>
      <w:r w:rsidRPr="009844D1">
        <w:rPr>
          <w:rFonts w:ascii="Arial Narrow" w:hAnsi="Arial Narrow" w:cs="Arial"/>
          <w:i/>
          <w:sz w:val="24"/>
          <w:szCs w:val="24"/>
        </w:rPr>
        <w:lastRenderedPageBreak/>
        <w:t xml:space="preserve">otros, en contra de los referidos actos impugnados, en tanto tal consideración constituye una determinación que por su naturaleza no causa estado, al ser producto de un examen preliminar del asunto, correspondiendo en todo caso a esta Juzgadora al dictar sentencia definitiva, el estudio definitivo de procedencia del juicio, como en la especie ocurrió, precisándose en párrafos precedentes, que de las constancias de autos aparece claramente que se actualizaron las causales previstas en los artículos 228, fracciones V y IX y 229, fracción II del Código Procesal Administrativo para el Estado de San Luis Potosí, y con lo cual se dilucida la improcedencia en el juicio y su sobreseimiento. </w:t>
      </w:r>
    </w:p>
    <w:p w14:paraId="5C13DCE3"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010DD7B8"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 xml:space="preserve">En ese aspecto, cobra aplicación por analogía la Jurisprudencia 2a./J. 222/2007, de la Segunda Sala de la Suprema Corte de Justicia de la Nación, publicada en el Semanario Judicial de la Federación y su Gaceta, tomo XXVI, diciembre de 2007, página 216, del tenor siguiente: </w:t>
      </w:r>
    </w:p>
    <w:p w14:paraId="0B196CDD"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6972048B" w14:textId="77777777" w:rsidR="00177FB2" w:rsidRPr="009844D1" w:rsidRDefault="00177FB2" w:rsidP="00177FB2">
      <w:pPr>
        <w:spacing w:after="0" w:line="240" w:lineRule="auto"/>
        <w:ind w:left="567" w:right="618"/>
        <w:jc w:val="both"/>
        <w:rPr>
          <w:rFonts w:cs="Calibri"/>
          <w:i/>
          <w:sz w:val="24"/>
          <w:szCs w:val="24"/>
        </w:rPr>
      </w:pPr>
      <w:r w:rsidRPr="009844D1">
        <w:rPr>
          <w:rFonts w:cs="Calibri"/>
          <w:b/>
          <w:i/>
          <w:sz w:val="24"/>
          <w:szCs w:val="24"/>
        </w:rPr>
        <w:t>“”REVISIÓN EN AMPARO. LA ADMISIÓN DEL RECURSO NO CAUSA ESTADO.</w:t>
      </w:r>
      <w:r w:rsidRPr="009844D1">
        <w:rPr>
          <w:rFonts w:cs="Calibri"/>
          <w:i/>
          <w:sz w:val="24"/>
          <w:szCs w:val="24"/>
        </w:rPr>
        <w:t xml:space="preserve">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p>
    <w:p w14:paraId="56253EEB"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6DEBAD9C"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Tesis de jurisprudencia 222/2007. Aprobada por la Segunda Sala de este Alto Tribunal, en sesión privada del siete de noviembre de dos mil siete.</w:t>
      </w:r>
    </w:p>
    <w:p w14:paraId="05703DA0"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3DF8D1A8"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(Énfasis añadido)</w:t>
      </w:r>
    </w:p>
    <w:p w14:paraId="0D8FEC28" w14:textId="77777777" w:rsidR="00177FB2" w:rsidRPr="009844D1" w:rsidRDefault="00177FB2" w:rsidP="00177FB2">
      <w:pPr>
        <w:spacing w:after="0" w:line="240" w:lineRule="auto"/>
        <w:ind w:left="567" w:right="618"/>
        <w:jc w:val="both"/>
        <w:rPr>
          <w:rFonts w:ascii="Arial Narrow" w:hAnsi="Arial Narrow" w:cs="Arial"/>
          <w:bCs/>
          <w:i/>
          <w:iCs/>
          <w:sz w:val="24"/>
          <w:szCs w:val="24"/>
        </w:rPr>
      </w:pPr>
    </w:p>
    <w:p w14:paraId="65637101" w14:textId="77777777" w:rsidR="00177FB2" w:rsidRPr="009844D1" w:rsidRDefault="00177FB2" w:rsidP="00177FB2">
      <w:pPr>
        <w:spacing w:after="0" w:line="240" w:lineRule="auto"/>
        <w:ind w:left="567" w:right="618"/>
        <w:jc w:val="both"/>
        <w:rPr>
          <w:rFonts w:ascii="Arial Narrow" w:hAnsi="Arial Narrow" w:cs="Arial"/>
          <w:bCs/>
          <w:i/>
          <w:iCs/>
          <w:sz w:val="24"/>
          <w:szCs w:val="24"/>
        </w:rPr>
      </w:pPr>
      <w:r w:rsidRPr="009844D1">
        <w:rPr>
          <w:rFonts w:ascii="Arial Narrow" w:hAnsi="Arial Narrow" w:cs="Arial"/>
          <w:bCs/>
          <w:i/>
          <w:iCs/>
          <w:sz w:val="24"/>
          <w:szCs w:val="24"/>
        </w:rPr>
        <w:t xml:space="preserve">Finalmente, considerando que esta Primera Sala Unitaria ha decretado la procedencia de las causales analizadas en los párrafos que anteceden, resulta innecesario el estudio de los argumentos planteados por la parte actora encaminados a declarar la nulidad de los referidos actos impugnados, asimismo respecto de éstos las demás causales alegadas por las autoridades demandadas, en razón de que el hacerlo, no  cambiaría  el  sentido  de  esta decisión. </w:t>
      </w:r>
    </w:p>
    <w:p w14:paraId="32F30F3A" w14:textId="77777777" w:rsidR="00177FB2" w:rsidRPr="009844D1" w:rsidRDefault="00177FB2" w:rsidP="00177FB2">
      <w:pPr>
        <w:spacing w:after="0" w:line="240" w:lineRule="auto"/>
        <w:ind w:right="618"/>
        <w:jc w:val="both"/>
        <w:rPr>
          <w:rFonts w:ascii="Arial Narrow" w:hAnsi="Arial Narrow" w:cs="Arial"/>
          <w:bCs/>
          <w:i/>
          <w:iCs/>
          <w:sz w:val="24"/>
          <w:szCs w:val="24"/>
        </w:rPr>
      </w:pPr>
    </w:p>
    <w:p w14:paraId="319BF212" w14:textId="77777777" w:rsidR="00177FB2" w:rsidRPr="009844D1" w:rsidRDefault="00177FB2" w:rsidP="00177FB2">
      <w:pPr>
        <w:spacing w:after="0" w:line="240" w:lineRule="auto"/>
        <w:ind w:left="567" w:right="618"/>
        <w:jc w:val="both"/>
        <w:rPr>
          <w:rFonts w:ascii="Arial Narrow" w:hAnsi="Arial Narrow" w:cs="Arial"/>
          <w:bCs/>
          <w:i/>
          <w:iCs/>
          <w:sz w:val="24"/>
          <w:szCs w:val="24"/>
        </w:rPr>
      </w:pPr>
      <w:r w:rsidRPr="009844D1">
        <w:rPr>
          <w:rFonts w:ascii="Arial Narrow" w:hAnsi="Arial Narrow" w:cs="Arial"/>
          <w:bCs/>
          <w:i/>
          <w:iCs/>
          <w:sz w:val="24"/>
          <w:szCs w:val="24"/>
        </w:rPr>
        <w:t>Queda sustentado lo anterior por analogía al caso que nos ocupa, en el criterio pronunciado por el Tribunal Colegiado en Materias Administrativa y de Trabajo del Séptimo Circuito, publicado en el Semanario Judicial de la Federación, en el Tomo X, Marzo de 1993, página 233, Octava Época, que a la letra dice:</w:t>
      </w:r>
    </w:p>
    <w:p w14:paraId="46A279C0"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62259317" w14:textId="77777777" w:rsidR="00177FB2" w:rsidRPr="009844D1" w:rsidRDefault="00177FB2" w:rsidP="00177FB2">
      <w:pPr>
        <w:spacing w:after="0" w:line="240" w:lineRule="auto"/>
        <w:ind w:left="567" w:right="618"/>
        <w:jc w:val="both"/>
        <w:rPr>
          <w:rFonts w:cs="Calibri"/>
          <w:i/>
          <w:sz w:val="24"/>
          <w:szCs w:val="24"/>
        </w:rPr>
      </w:pPr>
      <w:r w:rsidRPr="009844D1">
        <w:rPr>
          <w:rFonts w:cs="Calibri"/>
          <w:b/>
          <w:i/>
          <w:sz w:val="24"/>
          <w:szCs w:val="24"/>
        </w:rPr>
        <w:t>“”CAUSALES DE IMPROCEDENCIA. CUANDO SU ESTUDIO ES INNECESARIO, ASI COMO DE LOS DEMAS  AGRAVIOS.</w:t>
      </w:r>
      <w:r w:rsidRPr="009844D1">
        <w:rPr>
          <w:rFonts w:cs="Calibri"/>
          <w:i/>
          <w:sz w:val="24"/>
          <w:szCs w:val="24"/>
        </w:rPr>
        <w:t xml:space="preserve"> Al estimarse que en el juicio de garantías se surte una causal de improcedencia y que debe sobreseerse en el mismo con apoyo en los artículos relativos de la Ley de Amparo, </w:t>
      </w:r>
      <w:r w:rsidRPr="009844D1">
        <w:rPr>
          <w:rFonts w:cs="Calibri"/>
          <w:i/>
          <w:sz w:val="24"/>
          <w:szCs w:val="24"/>
          <w:u w:val="single"/>
        </w:rPr>
        <w:t>resulta innecesaria el estudio de las demás que se aleguen en el caso y de los restantes agravios, porque no cambiaría el sentido de la resolución</w:t>
      </w:r>
      <w:r w:rsidRPr="009844D1">
        <w:rPr>
          <w:rFonts w:cs="Calibri"/>
          <w:i/>
          <w:sz w:val="24"/>
          <w:szCs w:val="24"/>
        </w:rPr>
        <w:t>.””</w:t>
      </w:r>
    </w:p>
    <w:p w14:paraId="5688B91D" w14:textId="77777777" w:rsidR="00177FB2" w:rsidRPr="009844D1" w:rsidRDefault="00177FB2" w:rsidP="00177FB2">
      <w:pPr>
        <w:spacing w:after="0" w:line="240" w:lineRule="auto"/>
        <w:ind w:left="567" w:right="618"/>
        <w:jc w:val="both"/>
        <w:rPr>
          <w:rFonts w:ascii="Arial Narrow" w:hAnsi="Arial Narrow" w:cs="Arial"/>
          <w:i/>
          <w:sz w:val="24"/>
          <w:szCs w:val="24"/>
        </w:rPr>
      </w:pPr>
    </w:p>
    <w:p w14:paraId="56326C9E" w14:textId="77777777" w:rsidR="00177FB2" w:rsidRPr="009844D1" w:rsidRDefault="00177FB2" w:rsidP="00177FB2">
      <w:pPr>
        <w:spacing w:after="0" w:line="240" w:lineRule="auto"/>
        <w:ind w:left="567" w:right="618"/>
        <w:jc w:val="both"/>
        <w:rPr>
          <w:rFonts w:ascii="Arial Narrow" w:hAnsi="Arial Narrow" w:cs="Arial"/>
          <w:i/>
          <w:sz w:val="24"/>
          <w:szCs w:val="24"/>
        </w:rPr>
      </w:pPr>
      <w:r w:rsidRPr="009844D1">
        <w:rPr>
          <w:rFonts w:ascii="Arial Narrow" w:hAnsi="Arial Narrow" w:cs="Arial"/>
          <w:i/>
          <w:sz w:val="24"/>
          <w:szCs w:val="24"/>
        </w:rPr>
        <w:t>TRIBUNAL COLEGIADO EN MATERIAS ADMINISTRATIVA Y DE TRABAJO DEL SEPTIMO CIRCUITO.</w:t>
      </w:r>
      <w:r>
        <w:rPr>
          <w:rFonts w:ascii="Arial Narrow" w:hAnsi="Arial Narrow" w:cs="Arial"/>
          <w:i/>
          <w:sz w:val="24"/>
          <w:szCs w:val="24"/>
        </w:rPr>
        <w:t>”</w:t>
      </w:r>
    </w:p>
    <w:p w14:paraId="677DD67E" w14:textId="77777777" w:rsidR="00177FB2" w:rsidRPr="009844D1" w:rsidRDefault="00177FB2" w:rsidP="00177FB2">
      <w:pPr>
        <w:widowControl w:val="0"/>
        <w:spacing w:after="120" w:line="360" w:lineRule="auto"/>
        <w:jc w:val="both"/>
        <w:rPr>
          <w:rFonts w:ascii="Arial" w:hAnsi="Arial" w:cs="Arial"/>
          <w:sz w:val="28"/>
          <w:szCs w:val="28"/>
        </w:rPr>
      </w:pPr>
      <w:r>
        <w:rPr>
          <w:rFonts w:ascii="Arial" w:hAnsi="Arial" w:cs="Arial"/>
          <w:sz w:val="28"/>
          <w:szCs w:val="28"/>
        </w:rPr>
        <w:t xml:space="preserve"> </w:t>
      </w:r>
    </w:p>
    <w:p w14:paraId="619A8B98" w14:textId="77777777" w:rsidR="00177FB2" w:rsidRDefault="00177FB2" w:rsidP="00177FB2">
      <w:pPr>
        <w:pStyle w:val="Prrafodelista"/>
        <w:widowControl w:val="0"/>
        <w:spacing w:after="120" w:line="360" w:lineRule="auto"/>
        <w:ind w:left="0" w:firstLine="851"/>
        <w:jc w:val="both"/>
        <w:rPr>
          <w:rFonts w:ascii="Arial" w:hAnsi="Arial" w:cs="Arial"/>
          <w:sz w:val="28"/>
          <w:szCs w:val="28"/>
        </w:rPr>
      </w:pPr>
      <w:r>
        <w:rPr>
          <w:rFonts w:ascii="Arial" w:hAnsi="Arial" w:cs="Arial"/>
          <w:sz w:val="28"/>
          <w:szCs w:val="28"/>
        </w:rPr>
        <w:t xml:space="preserve">Contra lo anterior decidido, la parte apelante expuso los siguientes agravios. </w:t>
      </w:r>
    </w:p>
    <w:p w14:paraId="00EA2EAC" w14:textId="77777777" w:rsidR="00177FB2" w:rsidRDefault="00177FB2" w:rsidP="00177FB2">
      <w:pPr>
        <w:pStyle w:val="Prrafodelista"/>
        <w:widowControl w:val="0"/>
        <w:spacing w:after="120" w:line="360" w:lineRule="auto"/>
        <w:ind w:left="0" w:firstLine="851"/>
        <w:jc w:val="both"/>
        <w:rPr>
          <w:rFonts w:ascii="Arial" w:hAnsi="Arial" w:cs="Arial"/>
          <w:sz w:val="28"/>
          <w:szCs w:val="28"/>
        </w:rPr>
      </w:pPr>
    </w:p>
    <w:p w14:paraId="330D37E7" w14:textId="77777777" w:rsidR="00177FB2" w:rsidRPr="007956CA" w:rsidRDefault="00177FB2" w:rsidP="00177FB2">
      <w:pPr>
        <w:pStyle w:val="Prrafodelista"/>
        <w:widowControl w:val="0"/>
        <w:spacing w:after="0" w:line="240" w:lineRule="auto"/>
        <w:ind w:left="567" w:right="618"/>
        <w:jc w:val="both"/>
        <w:rPr>
          <w:rFonts w:ascii="Arial Narrow" w:hAnsi="Arial Narrow" w:cs="Arial"/>
          <w:b/>
          <w:i/>
          <w:sz w:val="24"/>
          <w:szCs w:val="24"/>
        </w:rPr>
      </w:pPr>
      <w:r>
        <w:rPr>
          <w:rFonts w:ascii="Arial Narrow" w:hAnsi="Arial Narrow" w:cs="Arial"/>
          <w:i/>
          <w:sz w:val="24"/>
          <w:szCs w:val="24"/>
        </w:rPr>
        <w:t>“</w:t>
      </w:r>
      <w:r w:rsidRPr="007956CA">
        <w:rPr>
          <w:rFonts w:ascii="Arial Narrow" w:hAnsi="Arial Narrow" w:cs="Arial"/>
          <w:b/>
          <w:i/>
          <w:sz w:val="24"/>
          <w:szCs w:val="24"/>
        </w:rPr>
        <w:t>PRIMERO. ILEGALIDAD DE LA SENTENCIA RECURRIDA AL SOBRESEER EN EL JUICIO PROMOVIDO POR MI MANDANTE, RESPECTO DE LA RESOLUCIÓN CONTENIDA EN EL OFICIO NÚMERO MSGS/DUYCM/2979/2020 DE FECHA 11 DE MARZO DE 2020.</w:t>
      </w:r>
    </w:p>
    <w:p w14:paraId="1D26745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749B6EF" w14:textId="6700A765"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La sentencia que por esta vía se recurre es ilegal, en la medid</w:t>
      </w:r>
      <w:r>
        <w:rPr>
          <w:rFonts w:ascii="Arial Narrow" w:hAnsi="Arial Narrow" w:cs="Arial"/>
          <w:i/>
          <w:sz w:val="24"/>
          <w:szCs w:val="24"/>
        </w:rPr>
        <w:t>a en la que la Sala A quo estima</w:t>
      </w:r>
      <w:r w:rsidRPr="007956CA">
        <w:rPr>
          <w:rFonts w:ascii="Arial Narrow" w:hAnsi="Arial Narrow" w:cs="Arial"/>
          <w:i/>
          <w:sz w:val="24"/>
          <w:szCs w:val="24"/>
        </w:rPr>
        <w:t xml:space="preserve"> incorrectamente que en el caso particular se actualiza el sobreseimiento del juicio respecto de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 de fecha 11 marzo de 2020, contraviniendo lo dispuesto por el artículo 250, fracciones II y IV del Código Procesal Administrativo para el Estado de San Luis Potosí, en relación con los artículos 14 y 16 Constitucionales.</w:t>
      </w:r>
    </w:p>
    <w:p w14:paraId="11FBCD0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3F61BD5" w14:textId="12283F8F"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Ello, toda vez que la Sala A quo consideró de forma ilegal que cesaron los efectos de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de fecha 11 de marzo de 2020 en el momento en el que se emitió la licencia a mi mandante.</w:t>
      </w:r>
    </w:p>
    <w:p w14:paraId="13965F0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AC815D7" w14:textId="042EB11D" w:rsidR="00177FB2" w:rsidRPr="00C806FE" w:rsidRDefault="00177FB2" w:rsidP="00177FB2">
      <w:pPr>
        <w:pStyle w:val="Prrafodelista"/>
        <w:widowControl w:val="0"/>
        <w:spacing w:after="0" w:line="240" w:lineRule="auto"/>
        <w:ind w:left="567" w:right="618"/>
        <w:jc w:val="both"/>
        <w:rPr>
          <w:rFonts w:ascii="Arial Narrow" w:hAnsi="Arial Narrow" w:cs="Arial"/>
          <w:i/>
          <w:sz w:val="24"/>
          <w:szCs w:val="24"/>
          <w:u w:val="single"/>
        </w:rPr>
      </w:pPr>
      <w:r w:rsidRPr="007956CA">
        <w:rPr>
          <w:rFonts w:ascii="Arial Narrow" w:hAnsi="Arial Narrow" w:cs="Arial"/>
          <w:i/>
          <w:sz w:val="24"/>
          <w:szCs w:val="24"/>
        </w:rPr>
        <w:t xml:space="preserve">Aunado a ello, la Sala A quo inadvierte que los actos impugnados, en particular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 xml:space="preserve">, de fecha 11 de marzo de 2020, se encuentran Íntimamente relacionados entre sí, </w:t>
      </w:r>
      <w:r w:rsidRPr="00C806FE">
        <w:rPr>
          <w:rFonts w:ascii="Arial Narrow" w:hAnsi="Arial Narrow" w:cs="Arial"/>
          <w:i/>
          <w:sz w:val="24"/>
          <w:szCs w:val="24"/>
          <w:u w:val="single"/>
        </w:rPr>
        <w:t>razón por la cual el análisis de su legalidad debió haberse efectuado en su conj</w:t>
      </w:r>
      <w:r>
        <w:rPr>
          <w:rFonts w:ascii="Arial Narrow" w:hAnsi="Arial Narrow" w:cs="Arial"/>
          <w:i/>
          <w:sz w:val="24"/>
          <w:szCs w:val="24"/>
          <w:u w:val="single"/>
        </w:rPr>
        <w:t>unto.</w:t>
      </w:r>
    </w:p>
    <w:p w14:paraId="38FA967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06B70BC" w14:textId="482E9BD5"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virtud de lo anterior, una vez que se demuestre la ilegalidad de la sentencia recurrida, lo procedente será que se revoque, se analicen todos los actos impugnados por mi mandante y con fundamento en lo dispuesto por los artículos 250, fracción IV, 251 y 252 del Código Procesal Administrativo para el Estado de San Luis Potosí, se declare la nulidad lisa y Ilana de los actos impugnados, y reconozca que predio ubicad</w:t>
      </w:r>
      <w:r>
        <w:rPr>
          <w:rFonts w:ascii="Arial Narrow" w:hAnsi="Arial Narrow" w:cs="Arial"/>
          <w:i/>
          <w:sz w:val="24"/>
          <w:szCs w:val="24"/>
        </w:rPr>
        <w:t xml:space="preserve">o en la </w:t>
      </w:r>
      <w:r w:rsidR="0050127A">
        <w:rPr>
          <w:rFonts w:ascii="Arial Narrow" w:hAnsi="Arial Narrow" w:cs="Arial"/>
          <w:i/>
          <w:color w:val="FF0000"/>
          <w:sz w:val="24"/>
          <w:szCs w:val="24"/>
        </w:rPr>
        <w:t>**********</w:t>
      </w:r>
      <w:r w:rsidRPr="007956CA">
        <w:rPr>
          <w:rFonts w:ascii="Arial Narrow" w:hAnsi="Arial Narrow" w:cs="Arial"/>
          <w:i/>
          <w:sz w:val="24"/>
          <w:szCs w:val="24"/>
        </w:rPr>
        <w:t>, le corresponde un uso de suelo "agropecuario", compatible con el área silvestre en la que se encuentra ubicado, ordenando devolver las cantidades que mi mandante tuvo que erogar por un cambio de uso de suelo que resulta ilegal, y que se considere para efectos de la emisión de cualquier tipo de permisos y/o Licencias, que mi realiza actividades "agropecuarias", no así "agroindustriales" o "comerciales".</w:t>
      </w:r>
    </w:p>
    <w:p w14:paraId="34D0886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F0EBD4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C806FE">
        <w:rPr>
          <w:rFonts w:ascii="Arial Narrow" w:hAnsi="Arial Narrow" w:cs="Arial"/>
          <w:b/>
          <w:i/>
          <w:sz w:val="24"/>
          <w:szCs w:val="24"/>
        </w:rPr>
        <w:t>A.</w:t>
      </w:r>
      <w:r w:rsidRPr="007956CA">
        <w:rPr>
          <w:rFonts w:ascii="Arial Narrow" w:hAnsi="Arial Narrow" w:cs="Arial"/>
          <w:i/>
          <w:sz w:val="24"/>
          <w:szCs w:val="24"/>
        </w:rPr>
        <w:t xml:space="preserve"> Previo a demostrar las violaciones que a través del presente agravio se hacen valer, resulta conveniente precisar en qué consisten los principios de fundamentación y motivación transgredidos en la sentencia que en demanda se recurre.</w:t>
      </w:r>
    </w:p>
    <w:p w14:paraId="33801F8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54742C8" w14:textId="77777777" w:rsidR="00177FB2"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Al respecto, primeramente debemos señalar que el artículo 16 Constitucional en su parte conducente señala textualmente lo siguiente:</w:t>
      </w:r>
    </w:p>
    <w:p w14:paraId="29D9D55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4DA268D" w14:textId="77777777" w:rsidR="00177FB2" w:rsidRPr="00C806FE" w:rsidRDefault="00177FB2" w:rsidP="00177FB2">
      <w:pPr>
        <w:pStyle w:val="Prrafodelista"/>
        <w:widowControl w:val="0"/>
        <w:spacing w:after="0" w:line="240" w:lineRule="auto"/>
        <w:ind w:left="567" w:right="618"/>
        <w:jc w:val="both"/>
        <w:rPr>
          <w:rFonts w:cs="Calibri"/>
          <w:i/>
          <w:sz w:val="24"/>
          <w:szCs w:val="24"/>
        </w:rPr>
      </w:pPr>
      <w:r w:rsidRPr="00C806FE">
        <w:rPr>
          <w:rFonts w:cs="Calibri"/>
          <w:i/>
          <w:sz w:val="24"/>
          <w:szCs w:val="24"/>
        </w:rPr>
        <w:t>"</w:t>
      </w:r>
      <w:r>
        <w:rPr>
          <w:rFonts w:cs="Calibri"/>
          <w:i/>
          <w:sz w:val="24"/>
          <w:szCs w:val="24"/>
        </w:rPr>
        <w:t>”</w:t>
      </w:r>
      <w:r w:rsidRPr="00C806FE">
        <w:rPr>
          <w:rFonts w:cs="Calibri"/>
          <w:i/>
          <w:sz w:val="24"/>
          <w:szCs w:val="24"/>
        </w:rPr>
        <w:t>Artículo 16. Nadie puede ser molestado en su persona, familia, domicilio, papeles o posesiones, sino en virtud de mandamiento escrito de la autoridad competente que funde y motive la causa legal del procedimiento [...]</w:t>
      </w:r>
      <w:r>
        <w:rPr>
          <w:rFonts w:cs="Calibri"/>
          <w:i/>
          <w:sz w:val="24"/>
          <w:szCs w:val="24"/>
        </w:rPr>
        <w:t>””</w:t>
      </w:r>
    </w:p>
    <w:p w14:paraId="6005AEA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(Énfasis añadido).</w:t>
      </w:r>
    </w:p>
    <w:p w14:paraId="550B6A0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1EEA0E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lastRenderedPageBreak/>
        <w:t>La fórmula jurídica de fundamentación y motivación implica un razonamiento o silogismo lógico jurídico, consistente en una adecuación real de los hechos generadores del acto y la norma jurídica a los mismos.</w:t>
      </w:r>
    </w:p>
    <w:p w14:paraId="2AA0618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5CAC2D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trasladado al caso que nos ocupa, significa que las resoluciones que dicte el Tribunal Estatal de Justicia Administrativa de San Luis Potosí deben de emitirse, aplicando los preceptos legales actualizados en la especie, debiendo contener una fundamentación adecuada y un razonamiento lógico-jurídico del que se desprenda el por qué se está llegando a actuar de tal forma, pero siempre observando los hechos efectivamente acontecidos y aplicando las disposiciones normativas procedentes, pues de lo contrario se violaría la garantía de legalidad en comento, tal y como acontece en la especie.</w:t>
      </w:r>
    </w:p>
    <w:p w14:paraId="2EA2D9C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888747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Por su parte, el artículo 14 de nuestra Carta Magna establece textualmente lo siguiente:</w:t>
      </w:r>
    </w:p>
    <w:p w14:paraId="65E7D6C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A27BEA8"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“"Artículo 14. A ninguna ley se dará efecto retroactivo en perjuicio de persona alguna. Nadie podrá ser privado de la vida, de la libertad o de sus propiedades, o derechos sino mediante juicio seguido ante los tribunales previamente establecidos, en el que se cumplan las formalidades esenciales del procedimiento y conforme a las leyes expedidas con anterioridad al hecho."”</w:t>
      </w:r>
    </w:p>
    <w:p w14:paraId="31C9DA2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7C2903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los artículos antes transcritos de nuestra Carta Magna, podemos observar la garantía de legalidad, merced a la cual, todos los actos de autoridad deben estar debidamente fundados y motivados, entendiendo por lo primero, que esos actos deben sustentarse en lo previsto la Ley; en tanto que por motivación legal, se entiende la conducta que vierte la autoridad, en el sentido de adecuar sus actos a lo previsto por las disposiciones normativas.</w:t>
      </w:r>
    </w:p>
    <w:p w14:paraId="6E2442F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02A9AB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Al respecto, resultan aplicables los criterios emitidos por nuestro Máximo Tribunal y por nuestros Tribunales Federales, mismos que son del tenor literal siguiente:</w:t>
      </w:r>
    </w:p>
    <w:p w14:paraId="7D7CFD0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F0393AA"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r w:rsidRPr="00C023AD">
        <w:rPr>
          <w:rFonts w:cs="Calibri"/>
          <w:b/>
          <w:i/>
          <w:sz w:val="24"/>
          <w:szCs w:val="24"/>
        </w:rPr>
        <w:t>FUNDAMENTACION Y MOTIVACION.</w:t>
      </w:r>
      <w:r w:rsidRPr="00C023AD">
        <w:rPr>
          <w:rFonts w:cs="Calibri"/>
          <w:i/>
          <w:sz w:val="24"/>
          <w:szCs w:val="24"/>
        </w:rPr>
        <w:t xml:space="preserve"> De acuerdo con el artículo 16 de la Constitución Federal, todo acto de autoridad debe estar adecuado y suficientemente fundado y motivado, </w:t>
      </w:r>
      <w:r w:rsidRPr="00C023AD">
        <w:rPr>
          <w:rFonts w:cs="Calibri"/>
          <w:b/>
          <w:i/>
          <w:sz w:val="24"/>
          <w:szCs w:val="24"/>
        </w:rPr>
        <w:t>entendiéndose por lo primero que ha de expresarse con precisión el precepto legal aplicable al caso y, por lo segundo, que también deben señalarte con precisión, las circunstancias especiales, razones particulares o causas Inmediatas que se hayan tenido en consideración para la emisión del acto</w:t>
      </w:r>
      <w:r w:rsidRPr="00C023AD">
        <w:rPr>
          <w:rFonts w:cs="Calibri"/>
          <w:i/>
          <w:sz w:val="24"/>
          <w:szCs w:val="24"/>
        </w:rPr>
        <w:t>, siendo necesario, además, que exista adecuación entre los motivos aducidos y las normas aplicables, es decir, que en el caso concreto se configuren las hipótesis normativas.””</w:t>
      </w:r>
    </w:p>
    <w:p w14:paraId="0744C9BC"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(Énfasis añadido).</w:t>
      </w:r>
    </w:p>
    <w:p w14:paraId="74FBF721"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014491EC"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r w:rsidRPr="00C023AD">
        <w:rPr>
          <w:rFonts w:cs="Calibri"/>
          <w:b/>
          <w:i/>
          <w:sz w:val="24"/>
          <w:szCs w:val="24"/>
        </w:rPr>
        <w:t>FUNDAMENTACION Y MOTIVACION, GARANTIA DE.</w:t>
      </w:r>
      <w:r w:rsidRPr="00C023AD">
        <w:rPr>
          <w:rFonts w:cs="Calibri"/>
          <w:i/>
          <w:sz w:val="24"/>
          <w:szCs w:val="24"/>
        </w:rPr>
        <w:t xml:space="preserve"> Para que la autoridad cumpla la garantía de legalidad que establece el artículo 16 de la Constitución Federal en cuanto a suficiente fundamentación y motivación de sus determinaciones, en ella debe citar el precepto legal que le sirva de apoyo y expresar los razonamientos que la llevaron a la conclusión de que el asunto concreto de que se trate, que las origine, encuadra en los supuestos de la norma que invoca.””</w:t>
      </w:r>
    </w:p>
    <w:p w14:paraId="3E9EB19F"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(Énfasis añadido).</w:t>
      </w:r>
    </w:p>
    <w:p w14:paraId="69110504"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4CFA511B"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r w:rsidRPr="00C023AD">
        <w:rPr>
          <w:rFonts w:cs="Calibri"/>
          <w:b/>
          <w:i/>
          <w:sz w:val="24"/>
          <w:szCs w:val="24"/>
        </w:rPr>
        <w:t>FUNDAMENTACION Y MOTIVACION</w:t>
      </w:r>
      <w:r w:rsidRPr="00C023AD">
        <w:rPr>
          <w:rFonts w:cs="Calibri"/>
          <w:i/>
          <w:sz w:val="24"/>
          <w:szCs w:val="24"/>
        </w:rPr>
        <w:t xml:space="preserve">. De acuerdo con el artículo 16 de la Constitución Federal, todo acto de autoridad debe estar adecuada y suficientemente fundado y motivado, entendiéndose por </w:t>
      </w:r>
      <w:r w:rsidRPr="00C023AD">
        <w:rPr>
          <w:rFonts w:cs="Calibri"/>
          <w:i/>
          <w:sz w:val="24"/>
          <w:szCs w:val="24"/>
        </w:rPr>
        <w:lastRenderedPageBreak/>
        <w:t>lo primero que al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14:paraId="3A064CCE"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(Énfasis añadido).</w:t>
      </w:r>
    </w:p>
    <w:p w14:paraId="1EBD4611"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5E35BBBD"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r w:rsidRPr="00C023AD">
        <w:rPr>
          <w:rFonts w:cs="Calibri"/>
          <w:b/>
          <w:i/>
          <w:sz w:val="24"/>
          <w:szCs w:val="24"/>
        </w:rPr>
        <w:t>MOTIVACION Y FUNDAMENTACION, DEBEN EXPRESARSE EN EL TEXTO MISMO DEL ACTO DE AUTORIDAD.</w:t>
      </w:r>
      <w:r w:rsidRPr="00C023AD">
        <w:rPr>
          <w:rFonts w:cs="Calibri"/>
          <w:i/>
          <w:sz w:val="24"/>
          <w:szCs w:val="24"/>
        </w:rPr>
        <w:t xml:space="preserve"> En el texto mismo del acto autoritario de molestia deben expresarse los razonamientos con base en los cuales se llegó a la conclusión de que el acto concreto al que se dirige se ajusta exactamente a las prevenciones de determinados preceptos legales, puesto que motivar un acto es externar las consideraciones relativas a las circunstancias de hecho que la autoridad formuló al establecer la adecuación del caso concreto a la hipótesis legal; en tanto que fundar es señalar los preceptos legales en que se apoya el acto, debiendo existir adecuación entre el motivo y el fundamento expresado. Sin embargo, de acuerdo con la jurisprudencia 109 una resolución administrativa puede fundarse y motivarse en documentos anexos a ella, si esos documentos son del conocimiento del contribuyente.”</w:t>
      </w:r>
    </w:p>
    <w:p w14:paraId="4E701907"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(Énfasis añadido)</w:t>
      </w:r>
    </w:p>
    <w:p w14:paraId="3D7CF37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D93FDF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conformidad con lo anterior, la autoridad al actuar se encuentra obligada a encontrar un precepto legal que la faculte para hacerlo en un determinado sentido y, además, está obligada a realizar un análisis profundo de los hechos del caso concreto para luego efectuar un razonamiento lógico-juridico que la lleve a concluir que tales hechos actualizan las normas que le confieren las facultades necesarias para actuar en el sentido en que lo hace.</w:t>
      </w:r>
    </w:p>
    <w:p w14:paraId="31836E6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A2F7F1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Así, el principio de legalidad obliga a la autoridad emisora de determinado acto a señalar de manera expresa los fundamentos y motivos de su proceder, con el objeto de permitir a los particulares conocer las normas y las razones en que se basó para actuar de la forma en que lo hizo.</w:t>
      </w:r>
    </w:p>
    <w:p w14:paraId="2B2BAA7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5375C8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este sentido, de no cumplir con los requisitos antes señalados el actuar de la autoridad carecería de validez jurídica por lo que, al momento de que dicho acto sea controvertido por el particular afectado, deberá declararse su ilegalidad para garantizar el respeto a todas y cada una de las disposiciones legales aplicables, así como la observancia de los preceptos jurídicos violados, para no dejar al gobernado en un completo estado de incertidumbre e inseguridad jurídica.</w:t>
      </w:r>
    </w:p>
    <w:p w14:paraId="77E5F4A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BE747F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resulta a su vez aplicable a los actos emitidos por los órganos jurisdiccionales, mismos que al igual que los actos emitidos por autoridades administrativas deben de cumplir con los requisitos de fundamentación y motivación antes explicados.</w:t>
      </w:r>
    </w:p>
    <w:p w14:paraId="02C0A97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432392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Sirve de apoyo a lo anterior, la tesis jurisprudencial la/1. 139/2005, sustentada por la Primera Sala de la Suprema Corte de Justicia de la Nación, </w:t>
      </w:r>
      <w:r w:rsidRPr="007956CA">
        <w:rPr>
          <w:rFonts w:ascii="Arial Narrow" w:hAnsi="Arial Narrow" w:cs="Arial"/>
          <w:i/>
          <w:sz w:val="24"/>
          <w:szCs w:val="24"/>
        </w:rPr>
        <w:lastRenderedPageBreak/>
        <w:t>visible en la página 1241, Tomo I del Semanario Judicial de la Federación, de rubro y texto siguiente:</w:t>
      </w:r>
    </w:p>
    <w:p w14:paraId="05C7A833"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578C6FE3"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r w:rsidRPr="00C023AD">
        <w:rPr>
          <w:rFonts w:cs="Calibri"/>
          <w:b/>
          <w:i/>
          <w:sz w:val="24"/>
          <w:szCs w:val="24"/>
        </w:rPr>
        <w:t>FUNDAMENTACIÓN Y MOTIVACIÓN DE LAS RESOLUCIONES JURISDICCIONALES, DEREN ANALIZARSE A LA LUZ DE LOS ARTÍCULOS 14 V 16 DE LA CONSTITUCIÓN POLÍTICA DE LOS ESTADOS UNIDOS MEXICANOS RESPECTIVAMENTE</w:t>
      </w:r>
      <w:r w:rsidRPr="00C023AD">
        <w:rPr>
          <w:rFonts w:cs="Calibri"/>
          <w:i/>
          <w:sz w:val="24"/>
          <w:szCs w:val="24"/>
        </w:rPr>
        <w:t>. Entre las diversas garantías contenidas en el segundo párrafo del artículo 14 de la Constitución Política de los Estados Unidos Mexicanos, sustento de la garantía de audiencia, está relativa al proceso legal, la cual se refiere al cumplimiento de las condiciones fundamentales que deben satisfacerse en el procedimiento jurisidccional que concluye con el dictado de una resolución que dirime las cuestiones debatidas. Esta garantía obliga al juzgador a decidir las controversias sometidas a su conocimiento, considerando todos y cada uno de los argumentos aducidos en la demanda, en su contestación, así como las demás pretensiones deducidas oportunamente en el pleito, de tal forma que se condene o absuelva al demandado, resolviendo sobre todos los puntos litigiosos materia del debate. Sin embargo, esta determinación del juzgador no debe desvincularse de lo dispuesto por el primer párrafo del artículo 16 constitucional, que impone a las autoridades la obligación de fundar y motivar debidamente los actos que emitan, esto es, que se expresen las razones de derecho y los motivos de hecho considerados para su dictado, los cuales deberán ser reales, ciertos e investidos de la fuerza legal suficiente para provocar el acto de autoridad. Ahora bien, como a las garantías individuales previstas en la Carta Magna les son aplicables las consideraciones sobre la supremacía constitucional en términos de su artículo 133, es indudable que las resoluciones que emitan deben cumplir con las garantías de debido proceso legal y de legalidad contenidas en los artículos 14 y 16 de la Constitución Política de los Estados Unidos Mexicanos. Así, la fundamentación y motivación de una resolución jurisdiccional se encuentra en el análisis exhaustivo de los puntos que integran la litis, es decir, en el estudio de las acciones y excepciones del debate, apoyándose en el o los preceptos jurídicos que permiten expedirla y que establezcan la hipótesis que genere su emisión, así como en la exposición concreta de las circunstancias especiales, razones particulares o causas inmediatas tomadas en consideración para la emisión del acto, siendo necesario, además, que exista adecuación entre los motivos aducidos y las normas aplicables al caso.”</w:t>
      </w:r>
      <w:r>
        <w:rPr>
          <w:rFonts w:cs="Calibri"/>
          <w:i/>
          <w:sz w:val="24"/>
          <w:szCs w:val="24"/>
        </w:rPr>
        <w:t>”</w:t>
      </w:r>
    </w:p>
    <w:p w14:paraId="41AD3C9E" w14:textId="77777777" w:rsidR="00177FB2"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(Énfasis añadido).</w:t>
      </w:r>
    </w:p>
    <w:p w14:paraId="2DFB5B7B"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1EF14E9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términos de lo anterior, la fundamentación y motivación de una resolución jurisdiccional se encuentra en el análisis exhaustivo de los pantos que integran la Li</w:t>
      </w:r>
      <w:r>
        <w:rPr>
          <w:rFonts w:ascii="Arial Narrow" w:hAnsi="Arial Narrow" w:cs="Arial"/>
          <w:i/>
          <w:sz w:val="24"/>
          <w:szCs w:val="24"/>
        </w:rPr>
        <w:t>t</w:t>
      </w:r>
      <w:r w:rsidRPr="007956CA">
        <w:rPr>
          <w:rFonts w:ascii="Arial Narrow" w:hAnsi="Arial Narrow" w:cs="Arial"/>
          <w:i/>
          <w:sz w:val="24"/>
          <w:szCs w:val="24"/>
        </w:rPr>
        <w:t>is, apoyándose en el o los preceptos jurídicos que permiten expedirla y que establezcan la hipótesis que genere su emisión, así como en la exposición concreta de las circunstancias especiales, razones particulares o causas inmediatas tomadas en consideración para la emisión del acto, siendo necesario, además, que exista adecuación entre los motivos aducidos y las normas aplicables al caso.</w:t>
      </w:r>
    </w:p>
    <w:p w14:paraId="2A6170B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72EFA1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Ahora bien, la fracción II del artículo 249 del Código Procesal Administrativo para el Estado de San Luis Potosí, señala textualmente lo siguiente:</w:t>
      </w:r>
    </w:p>
    <w:p w14:paraId="603D591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C8F9043"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"”Artículo 249. Las sentencias que emitan las Salas, deberán de contener:</w:t>
      </w:r>
    </w:p>
    <w:p w14:paraId="1A9E2A11" w14:textId="77777777" w:rsidR="00177FB2" w:rsidRPr="00C023AD"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 xml:space="preserve">I. La fijación clara y precisa de los puntos controvertidos, la exposición </w:t>
      </w:r>
      <w:r w:rsidRPr="00C023AD">
        <w:rPr>
          <w:rFonts w:cs="Calibri"/>
          <w:i/>
          <w:sz w:val="24"/>
          <w:szCs w:val="24"/>
        </w:rPr>
        <w:lastRenderedPageBreak/>
        <w:t xml:space="preserve">de las razones por las que, en su caso, se haga uso de la facultad para suplir la deficiencia de la queja, </w:t>
      </w:r>
      <w:r w:rsidRPr="00C023AD">
        <w:rPr>
          <w:rFonts w:cs="Calibri"/>
          <w:b/>
          <w:i/>
          <w:sz w:val="24"/>
          <w:szCs w:val="24"/>
          <w:u w:val="single"/>
        </w:rPr>
        <w:t>así como el examen y valoración de las pruebas que se hayan rendido:</w:t>
      </w:r>
    </w:p>
    <w:p w14:paraId="40C08BD8"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35C1A3C1" w14:textId="77777777" w:rsidR="00177FB2" w:rsidRPr="00C023AD"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b/>
          <w:i/>
          <w:sz w:val="24"/>
          <w:szCs w:val="24"/>
          <w:u w:val="single"/>
        </w:rPr>
        <w:t>II. La exposición debidamente fundada y motivada de las consideraciones en que se basa la resolución, y</w:t>
      </w:r>
    </w:p>
    <w:p w14:paraId="60B3E520"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7069D76F"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III. Los puntos resolutivos, los que expresarán los actos o resoluciones cuya validez se reconozca o cuya nulidad se declare,"”</w:t>
      </w:r>
    </w:p>
    <w:p w14:paraId="277AC33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BA02BF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términos de la disposición normativa antes transcrita, para garantizar el estricto apego por parte de los órganos jurisdiccionales a las normas constitucionales antes citadas, el legislador estableció una fórmula que debe observarse en la impartición de justicia, estableciendo que las sentencias de las Salas deberán de examinar y valorar las pruebas que se hayan rendido, así como contener la exposición debidamente fundada y motivada de las consideraciones en que se basa la resolución.</w:t>
      </w:r>
    </w:p>
    <w:p w14:paraId="3AC3566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2D7A08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El referido precepto legal concretiza los derechos fundamentales de legalidad y seguridad jurídica, así como del debido proceso legal respetando así el orden legal establecido por la Constitución respecto del juicio contencioso administrativo ante el Tribunal Estatal de Justicia Administrativa de San Luis Potosí.</w:t>
      </w:r>
    </w:p>
    <w:p w14:paraId="55369B2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AEB433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este sentido, es clara la obligación de las Salas del Tribunal Estatal de Justicia Administrativa de San Luis Potosi de fundar y motivar la causa legal de sus resoluciones, de forma y manera tal que la situación encuadre en el marco legal vigente que regula la situación concreta y además, explicar de manera lógica y coherente los motivos y razonamientos que tomó en consideración para llegar a la conclusión que sirve de base a sus resoluciones.</w:t>
      </w:r>
    </w:p>
    <w:p w14:paraId="1E7F891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DBA78C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estos términos, podemos señalar que cuando las Salas del Tribunal Estatal de Justicia Administrativa de San Luis Potosí emitan sentencias que pongan fin a las controversias ante ellas expuestas, deberán observar en todo momento lo contemplado por el artículo 249 del Código Procesal Administrativo para el Estado de San Luis Potosí, para lo cual es necesario que se apliquen de manera exacta las disposiciones legales conducentes, además de que analicen y se pronuncien de manera congruente respecto de todos y cada uno de los conceptos de impugnación hechos valer por los particulares, sin omitir nada, ni añadir cuestiones no hechas valer, ni expresar consideraciones contrarias entre si.</w:t>
      </w:r>
    </w:p>
    <w:p w14:paraId="15B8C3E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C3FA18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Finalmente, no se omite señalar que conforme al artículo 1º Constitucional y conforme a los criterios que sobre dicho numeral han sido emitidos por nuestros tribunales jurisdiccionales, debemos de atender en todo momento al principio "pro homine" o "pro personae" que exige a las aplicar o interpretar las normas vigentes de la forma armónica y sistemática que favorezca en mayor grado al gobernado.</w:t>
      </w:r>
    </w:p>
    <w:p w14:paraId="6024652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F494A2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En efecto, el principio "pro persona" implica que debe acudirse a la norma más amplia o a la interpretación más extensiva cuando se trate de derechos protegidos, con lo cual las autoridades deben evaluar, antes de emitir </w:t>
      </w:r>
      <w:r w:rsidRPr="007956CA">
        <w:rPr>
          <w:rFonts w:ascii="Arial Narrow" w:hAnsi="Arial Narrow" w:cs="Arial"/>
          <w:i/>
          <w:sz w:val="24"/>
          <w:szCs w:val="24"/>
        </w:rPr>
        <w:lastRenderedPageBreak/>
        <w:t>cualquier acto, si existe un derecho más amplio del derecho que se pretende interpretar.</w:t>
      </w:r>
    </w:p>
    <w:p w14:paraId="69ADC05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9B86FE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Sirve de apoyo a lo anterior, el criterio la. XXVI/2012 (10a.), sostenido por la Primera Sala de esa H. Suprema Corte de Justicia de la Nación, visible en la página 659, Libro V, febrero de 2012, Tomo 1 del Semanario Judicial de la Federación, de rubro y texto siguiente:</w:t>
      </w:r>
    </w:p>
    <w:p w14:paraId="43A9771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749769B"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b/>
          <w:i/>
          <w:sz w:val="24"/>
          <w:szCs w:val="24"/>
        </w:rPr>
        <w:t>“”PRINCIPIO PRO PERSONAE. EL CONTENIDO Y ALCANCE DE LOS DERECHOS HUMANOS DEBEN ANALIZARSE A PARTIR DE AQUEL.</w:t>
      </w:r>
      <w:r w:rsidRPr="00C023AD">
        <w:rPr>
          <w:rFonts w:cs="Calibri"/>
          <w:i/>
          <w:sz w:val="24"/>
          <w:szCs w:val="24"/>
        </w:rPr>
        <w:t xml:space="preserve"> El segundo párrafo del artículo. de la Constitución Política de los Estados Unidos Mexicanos, exige que las normas relativas a los derechos humanos se interpretarán de conformidad con la propia Constitución y con los tratados internacionales de los que México es parte, de forma que favorezca ampliamente a las personas, lo que se traduce en la obligación de analizar el contenido y alcance de tales derechos a partir del principio pro personae que es un criterio hermenéutico que informa todo el Derecho Internacional de los Derechos Humanos, en virtud del cual debe acudirse a la norma más amplia, o a la interpretación más extensiva cuando se trata de reconocer derechos protegidos, e inversamente, a la norma e a la interpretación más restringida cuando se trata de establecer restricciones permanentes al ejercicio de los derechos o de su suspensión extraordinaria, es decir, dicho principio permite, lado, la plataforma de interpretación de los derechos humanos y. por otro, otorga un sentido protector a favor de la persona humana, pues ante la existencia de varias posibilidades de solución a un mismo problema, obliga a optar por la que protege en términos más amplios. Esto implica acudir a la norma jurídica que consagre el derecho más extenso y, por el contrario, al legal más restrictivo si se trata de conocer las limitaciones legitimas que pueden establecerse a su ejercicio. Por tanto, la aplicación del principio pro personae en el análisis de los derechos humanos es un componente esencial que debe utilizarse imperiosamente en el establecimiento e interpretación de normas relacionadas con la protección de la persona, a efecto de lograr su adecuada protección y el desarrollo de la jurisprudencia emitida en la materia, de manera que represente el estándar mínimo a partir del cual deben entenderse las obligaciones estatales en este rubro."</w:t>
      </w:r>
      <w:r>
        <w:rPr>
          <w:rFonts w:cs="Calibri"/>
          <w:i/>
          <w:sz w:val="24"/>
          <w:szCs w:val="24"/>
        </w:rPr>
        <w:t>”</w:t>
      </w:r>
    </w:p>
    <w:p w14:paraId="3857F15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0D1CEE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virtud de lo anterior, una vez que se demuestre la ilegalidad de la sentencia recurrida, lo procedente será que se revoque, se analicen todos los actos impugnados por mi mandante, y con fundamento en lo dispuesto por los artículos 250, fracción IV, 251 y 252 del Código Procesal Administrativo para el Estado de San Luis Potosí, se declare la nulidad lisa y llana de los actos impugnados, y se reconozca que al predio ubicado en la Carretera a la Tinaja s/n: Fracción Tinaja; Municipio de Soledad de Graciano Sánchez, le corresponde un uso de suelo "agropecuario", compatible con el área silvestre en la que se encuentra ubicado, ordenando devolver las cantidades que mi mandante tuvo que erogar por un cambio de uso de suelo que resulta ilegal, y que se considere para efectos de la emisión de cualquier tipo de permisos y/o Licencias, que mi mandante realiza actividades "agropecuarias", no así "agroindustriales" o "comerciales".</w:t>
      </w:r>
    </w:p>
    <w:p w14:paraId="2BFB2DE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E1D341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C023AD">
        <w:rPr>
          <w:rFonts w:ascii="Arial Narrow" w:hAnsi="Arial Narrow" w:cs="Arial"/>
          <w:b/>
          <w:i/>
          <w:sz w:val="24"/>
          <w:szCs w:val="24"/>
        </w:rPr>
        <w:t xml:space="preserve">B. </w:t>
      </w:r>
      <w:r w:rsidRPr="007956CA">
        <w:rPr>
          <w:rFonts w:ascii="Arial Narrow" w:hAnsi="Arial Narrow" w:cs="Arial"/>
          <w:i/>
          <w:sz w:val="24"/>
          <w:szCs w:val="24"/>
        </w:rPr>
        <w:t>En principio, es menester de mi mandante traer a colación lo resuelto por la Sala Unitaria a fojas 4 a 11 de su sentencia, en donde de manera textual y en su parte conducente estableció lo siguiente:</w:t>
      </w:r>
    </w:p>
    <w:p w14:paraId="216508A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C0A2A37"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"”CONSIDERANDO</w:t>
      </w:r>
    </w:p>
    <w:p w14:paraId="6D024C41"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0C34565F"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b/>
          <w:i/>
          <w:sz w:val="24"/>
          <w:szCs w:val="24"/>
        </w:rPr>
        <w:lastRenderedPageBreak/>
        <w:t>QUINTO.</w:t>
      </w:r>
      <w:r w:rsidRPr="00C023AD">
        <w:rPr>
          <w:rFonts w:cs="Calibri"/>
          <w:i/>
          <w:sz w:val="24"/>
          <w:szCs w:val="24"/>
        </w:rPr>
        <w:t xml:space="preserve"> Previo a entrar al estudio de los conceptos de impugnación vertidos por la parte actor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trata de cuestiones de orden público que se tienen que estudiar de oficio y, cuyo análisis es preferente al del fondo del asunto.</w:t>
      </w:r>
    </w:p>
    <w:p w14:paraId="4EE23E9F"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588937DF" w14:textId="77777777" w:rsidR="00177FB2" w:rsidRPr="00C023AD"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 xml:space="preserve">Bajo esa tesitura, es criterio de esta Primera Sala Unitaria, que </w:t>
      </w:r>
      <w:r w:rsidRPr="00C023AD">
        <w:rPr>
          <w:rFonts w:cs="Calibri"/>
          <w:b/>
          <w:i/>
          <w:sz w:val="24"/>
          <w:szCs w:val="24"/>
          <w:u w:val="single"/>
        </w:rPr>
        <w:t>en el presente juicio se actualizan las causales de improcedencia y sobreseimiento previstas en los artículos 228, fracción IXy229, fracción II del Código Procesal Administrativo para el Estado de San Luis Potosí, que disponen lo siguiente:</w:t>
      </w:r>
    </w:p>
    <w:p w14:paraId="2331453F" w14:textId="77777777" w:rsidR="00177FB2" w:rsidRPr="00C023AD" w:rsidRDefault="00177FB2" w:rsidP="00177FB2">
      <w:pPr>
        <w:pStyle w:val="Prrafodelista"/>
        <w:widowControl w:val="0"/>
        <w:spacing w:after="0" w:line="240" w:lineRule="auto"/>
        <w:ind w:left="567" w:right="618"/>
        <w:jc w:val="both"/>
        <w:rPr>
          <w:rFonts w:cs="Calibri"/>
          <w:b/>
          <w:i/>
          <w:sz w:val="24"/>
          <w:szCs w:val="24"/>
          <w:u w:val="single"/>
        </w:rPr>
      </w:pPr>
    </w:p>
    <w:p w14:paraId="343A568F"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"ARTÍCULO 228. Es improcedente el juicio ante el Tribunal contra actos:</w:t>
      </w:r>
    </w:p>
    <w:p w14:paraId="3D17692B"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462A5975"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IX. Contra actos cuyos efectos legales o materiales hayan cesado o que </w:t>
      </w:r>
      <w:r>
        <w:rPr>
          <w:rFonts w:cs="Calibri"/>
          <w:i/>
          <w:sz w:val="24"/>
          <w:szCs w:val="24"/>
        </w:rPr>
        <w:t>no puedan surtir</w:t>
      </w:r>
      <w:r w:rsidRPr="00C023AD">
        <w:rPr>
          <w:rFonts w:cs="Calibri"/>
          <w:i/>
          <w:sz w:val="24"/>
          <w:szCs w:val="24"/>
        </w:rPr>
        <w:t>se efectos por haber dejado de existir el objeto o materia del mismo;</w:t>
      </w:r>
    </w:p>
    <w:p w14:paraId="61B6B83E"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39C6FB17"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"ARTICULO 229. Procede el sobreseimiento del juicio:</w:t>
      </w:r>
    </w:p>
    <w:p w14:paraId="219B6FA8"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631752C0"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II. Cuando durante la tramitación del procedimiento sobreviniere alguna de las causas de improcedencia a que se refiere el artículo anterior; (...)"</w:t>
      </w:r>
    </w:p>
    <w:p w14:paraId="10CE7DF9"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5CC37459"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De los preceptos transcritos, se advierte que el juicio contencioso administrativo es improcedente, entre otros supuestos, en contra de los actos cuyos efectos legales o materiales hayan cesado. Además se desprende que es procedente sobreseer el juicio administrativo, cuando durante el juicio sobreviniere alguna de las causas de improcedencia.</w:t>
      </w:r>
    </w:p>
    <w:p w14:paraId="515371B1"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093D7AB5"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La pretensión de la parte actora en el presente juicio, entre otras, consiste en que se declare la nulidad de la resolución contenida en el oficio MSGS/DUYCM/2979/2020 de once de marzo de dos mil veinte visible en autos a folio 046-, a través de la cual el Director de Desarrollo Urbano Municipal de Soledad de Graciano Sánchez, San Luis Potosí, resolvió no autorizar la licencia de uso de suelo solicitada por la hoy demandante, para una "granja avicola" en el predio ubicado en la Carretera a la Tinaja s/n Fracción Tinaja, en el Municipio de Soledad de Graciano Sánchez, S.L.P.</w:t>
      </w:r>
    </w:p>
    <w:p w14:paraId="16991858"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0A47B05A"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Del análisis a las constancias que obran en autos, se desprenden los antecedentes siguientes:</w:t>
      </w:r>
    </w:p>
    <w:p w14:paraId="289C2AE1" w14:textId="57EE4D6A"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1) El 18 de febrero de 2020, la actora solicitó la referida autoridad </w:t>
      </w:r>
      <w:r w:rsidRPr="00C023AD">
        <w:rPr>
          <w:rFonts w:cs="Calibri"/>
          <w:i/>
          <w:sz w:val="24"/>
          <w:szCs w:val="24"/>
        </w:rPr>
        <w:lastRenderedPageBreak/>
        <w:t xml:space="preserve">demandada la autorización de </w:t>
      </w:r>
      <w:r w:rsidRPr="008D7651">
        <w:rPr>
          <w:rFonts w:cs="Calibri"/>
          <w:b/>
          <w:i/>
          <w:sz w:val="24"/>
          <w:szCs w:val="24"/>
          <w:u w:val="single"/>
        </w:rPr>
        <w:t>Licencia de Uso de Suelo de Funcionamiento para una "Granja Avícola",</w:t>
      </w:r>
      <w:r w:rsidRPr="00C023AD">
        <w:rPr>
          <w:rFonts w:cs="Calibri"/>
          <w:i/>
          <w:sz w:val="24"/>
          <w:szCs w:val="24"/>
        </w:rPr>
        <w:t xml:space="preserve"> respecto del predio ubicado en la Carretera a la </w:t>
      </w:r>
      <w:r w:rsidR="0050127A">
        <w:rPr>
          <w:rFonts w:cs="Calibri"/>
          <w:i/>
          <w:color w:val="FF0000"/>
          <w:sz w:val="24"/>
          <w:szCs w:val="24"/>
        </w:rPr>
        <w:t>**********</w:t>
      </w:r>
    </w:p>
    <w:p w14:paraId="0A25BD67" w14:textId="24FB6248"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2) El 11 de marzo de 2020, la autoridad demandada en respuesta a dicha petición, </w:t>
      </w:r>
      <w:r w:rsidRPr="008D7651">
        <w:rPr>
          <w:rFonts w:cs="Calibri"/>
          <w:b/>
          <w:i/>
          <w:sz w:val="24"/>
          <w:szCs w:val="24"/>
        </w:rPr>
        <w:t>negó la autorización solicitada</w:t>
      </w:r>
      <w:r w:rsidRPr="00C023AD">
        <w:rPr>
          <w:rFonts w:cs="Calibri"/>
          <w:i/>
          <w:sz w:val="24"/>
          <w:szCs w:val="24"/>
        </w:rPr>
        <w:t xml:space="preserve"> mediante el oficio número </w:t>
      </w:r>
      <w:r w:rsidR="0050127A">
        <w:rPr>
          <w:rFonts w:cs="Calibri"/>
          <w:i/>
          <w:color w:val="FF0000"/>
          <w:sz w:val="24"/>
          <w:szCs w:val="24"/>
        </w:rPr>
        <w:t>**********</w:t>
      </w:r>
      <w:r w:rsidRPr="00C023AD">
        <w:rPr>
          <w:rFonts w:cs="Calibri"/>
          <w:i/>
          <w:sz w:val="24"/>
          <w:szCs w:val="24"/>
        </w:rPr>
        <w:t>de once de marzo de dos mil veinte (Acto impugnado), en virtud de que no era factible "...en base al Anexo 2 de las normas de Uso de Suelo vigentes, esto conforme al Plan del Centro de Población Estratégico San Luis Potosí -Soledad de Graciano Sánchez, ya que en dicho plan se marca coma Zona "S" Área Silvestre (son aquellas que por sus características especificas no son susceptibles de aprovechamiento, debiendo mantenerse en su estado original"). (Énfasis añadido)</w:t>
      </w:r>
    </w:p>
    <w:p w14:paraId="64DFCCB7"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78BD8070"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3) El 16 de junio de 2020, la hoy actora celebró el "CONVENIO DE RECONOCIMIENTO DE OBLIGACIÓN DE PAGO con el Ayuntamiento de Soledad de Graciano Sánchez, S.L.P., en cuya cláusula Primera se convino lo siguiente: "LA CONTRIBUYENTE" reconoce su obligación de pago por los derechos de la prestación de los servicios públicos a cargo de "EL AYUNTAMIENTO", de conformidad con lo dispuesto en los artículos 51, 52, 53 y 56 de la Ley de Hacienda para los Municipios del Estado de San Luis Potosí, como son la lice</w:t>
      </w:r>
      <w:r>
        <w:rPr>
          <w:rFonts w:cs="Calibri"/>
          <w:i/>
          <w:sz w:val="24"/>
          <w:szCs w:val="24"/>
        </w:rPr>
        <w:t xml:space="preserve">ncia de cambio de uso de suelo </w:t>
      </w:r>
      <w:r w:rsidRPr="00C023AD">
        <w:rPr>
          <w:rFonts w:cs="Calibri"/>
          <w:i/>
          <w:sz w:val="24"/>
          <w:szCs w:val="24"/>
        </w:rPr>
        <w:t xml:space="preserve">el pago de refrendo de la licencia de funcionamiento correspondiente al año 2020.". (Énfasis añadido) </w:t>
      </w:r>
    </w:p>
    <w:p w14:paraId="18F5417A"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4) El 19 de junio de 2020, la hoy impetrante mediante transferencia electrónica de fondos (SPEI), </w:t>
      </w:r>
      <w:r w:rsidRPr="008D7651">
        <w:rPr>
          <w:rFonts w:cs="Calibri"/>
          <w:b/>
          <w:i/>
          <w:sz w:val="24"/>
          <w:szCs w:val="24"/>
        </w:rPr>
        <w:t>realizó el pago</w:t>
      </w:r>
      <w:r w:rsidRPr="00C023AD">
        <w:rPr>
          <w:rFonts w:cs="Calibri"/>
          <w:i/>
          <w:sz w:val="24"/>
          <w:szCs w:val="24"/>
        </w:rPr>
        <w:t xml:space="preserve"> a favor del Municipio de Soledad de Graciano Sánchez, S.L.P., por concepto de "LICENCIA DE CAMBIO DE USO DE SUELO", "REFRENDO LICENCIA DE FUNCIONAMIENTO 2020" y "MULTA", por la cantidad total de $1,424,512.00 tal como se acordó en el convenio antes citado.</w:t>
      </w:r>
    </w:p>
    <w:p w14:paraId="13DD914E"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7152C3FA" w14:textId="304B58A0"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5) El 16 de julio de 2020, la autoridad demandada </w:t>
      </w:r>
      <w:r w:rsidRPr="008D7651">
        <w:rPr>
          <w:rFonts w:cs="Calibri"/>
          <w:b/>
          <w:i/>
          <w:sz w:val="24"/>
          <w:szCs w:val="24"/>
        </w:rPr>
        <w:t xml:space="preserve">expidió </w:t>
      </w:r>
      <w:r w:rsidRPr="00C023AD">
        <w:rPr>
          <w:rFonts w:cs="Calibri"/>
          <w:i/>
          <w:sz w:val="24"/>
          <w:szCs w:val="24"/>
        </w:rPr>
        <w:t xml:space="preserve">a favor de la hoy actora la "LICENCIA DE USO DE SUELO DE FUNCIONAMIENTO" con número de folio DUY CM/417/2020 </w:t>
      </w:r>
      <w:r w:rsidRPr="008D7651">
        <w:rPr>
          <w:rFonts w:cs="Calibri"/>
          <w:b/>
          <w:i/>
          <w:sz w:val="24"/>
          <w:szCs w:val="24"/>
        </w:rPr>
        <w:t>(También acto impugnado), para el uso solicitado de "Granja Avícola"</w:t>
      </w:r>
      <w:r w:rsidRPr="00C023AD">
        <w:rPr>
          <w:rFonts w:cs="Calibri"/>
          <w:i/>
          <w:sz w:val="24"/>
          <w:szCs w:val="24"/>
        </w:rPr>
        <w:t xml:space="preserve">, en el domicilio ubicado en </w:t>
      </w:r>
      <w:r w:rsidR="0050127A">
        <w:rPr>
          <w:rFonts w:cs="Calibri"/>
          <w:i/>
          <w:color w:val="FF0000"/>
          <w:sz w:val="24"/>
          <w:szCs w:val="24"/>
        </w:rPr>
        <w:t>**********</w:t>
      </w:r>
    </w:p>
    <w:p w14:paraId="0F354350" w14:textId="51BD2A85" w:rsidR="00177FB2" w:rsidRPr="008D7651"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 xml:space="preserve">De los anteriores hechos no controvertidos por las partes, se desprende </w:t>
      </w:r>
      <w:r w:rsidRPr="008D7651">
        <w:rPr>
          <w:rFonts w:cs="Calibri"/>
          <w:b/>
          <w:i/>
          <w:sz w:val="24"/>
          <w:szCs w:val="24"/>
          <w:u w:val="single"/>
        </w:rPr>
        <w:t xml:space="preserve">que el Director de Desarrollo Urbano y Catastro Municipal de Soledad de Graciano Sánchez, San Luis Potosí, en primera instancia, resolvió no autorizar Licencia de Uso de Suelo de Funcionamiento para una "Granja Avícola", respecto del predio ubicado en la Carretera a la </w:t>
      </w:r>
      <w:r w:rsidR="0050127A">
        <w:rPr>
          <w:rFonts w:cs="Calibri"/>
          <w:b/>
          <w:i/>
          <w:color w:val="FF0000"/>
          <w:sz w:val="24"/>
          <w:szCs w:val="24"/>
          <w:u w:val="single"/>
        </w:rPr>
        <w:t>**********</w:t>
      </w:r>
      <w:r w:rsidRPr="008D7651">
        <w:rPr>
          <w:rFonts w:cs="Calibri"/>
          <w:b/>
          <w:i/>
          <w:sz w:val="24"/>
          <w:szCs w:val="24"/>
          <w:u w:val="single"/>
        </w:rPr>
        <w:t xml:space="preserve">y sin prejuzgar la legalidad o el alcance jurídico del mencionado "CONVENIO DE RECONOCIMIENTO DE OBLIGACIÓN DE PAGO" de 16 de junio de 2020, posteriormente, emitió la "LICENCIA DE USO DE SUELO DE FUNCIONAMIENTO" con número de folio </w:t>
      </w:r>
      <w:r w:rsidR="0050127A">
        <w:rPr>
          <w:rFonts w:cs="Calibri"/>
          <w:b/>
          <w:i/>
          <w:color w:val="FF0000"/>
          <w:sz w:val="24"/>
          <w:szCs w:val="24"/>
          <w:u w:val="single"/>
        </w:rPr>
        <w:t>**********</w:t>
      </w:r>
      <w:r w:rsidRPr="008D7651">
        <w:rPr>
          <w:rFonts w:cs="Calibri"/>
          <w:b/>
          <w:i/>
          <w:sz w:val="24"/>
          <w:szCs w:val="24"/>
          <w:u w:val="single"/>
        </w:rPr>
        <w:t>, respecto de la misma actividad y predio en cuestión.</w:t>
      </w:r>
    </w:p>
    <w:p w14:paraId="09640059"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5C6E1738" w14:textId="77777777" w:rsidR="00177FB2" w:rsidRPr="008D7651"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 xml:space="preserve">Ahora bien, de la interpretación de la fracción del IX del artículo 228 del Código Procesal Administrativo para el Estado, se obtiene que </w:t>
      </w:r>
      <w:r w:rsidRPr="008D7651">
        <w:rPr>
          <w:rFonts w:cs="Calibri"/>
          <w:b/>
          <w:i/>
          <w:sz w:val="24"/>
          <w:szCs w:val="24"/>
          <w:u w:val="single"/>
        </w:rPr>
        <w:t xml:space="preserve">existen dos hipótesis de cesación de efectos del acto impugnado, a saber: a) Por revocación v. b) Por sustitución. El segundo supuesto se actualiza cuando los efectos del acto cesan, con motivo de que sobreviene un nuevo acto de autoridad que incide en la vigencia y ejecutividad del impugnado, cuya firmeza se da por el posterior acto. Por ese motivo, el juicio de nulidad resulta improcedente, al actualizarse la segunda de las hipótesis respecto de la negativa de </w:t>
      </w:r>
      <w:r w:rsidRPr="008D7651">
        <w:rPr>
          <w:rFonts w:cs="Calibri"/>
          <w:b/>
          <w:i/>
          <w:sz w:val="24"/>
          <w:szCs w:val="24"/>
          <w:u w:val="single"/>
        </w:rPr>
        <w:lastRenderedPageBreak/>
        <w:t>la autoridad, en primera instancia, para autorizar la Licencia de Uso de Suelo de Funcionamiento solicitada por la hoy actora para su "Granja Avícola", cuando dicha autoridad, a su vez, con posterioridad expidió la Licencia de Uso de Suelo para la referida actividad (Granja Avícola).</w:t>
      </w:r>
    </w:p>
    <w:p w14:paraId="067DA4BA" w14:textId="77777777" w:rsidR="00177FB2" w:rsidRPr="008D7651" w:rsidRDefault="00177FB2" w:rsidP="00177FB2">
      <w:pPr>
        <w:pStyle w:val="Prrafodelista"/>
        <w:widowControl w:val="0"/>
        <w:spacing w:after="0" w:line="240" w:lineRule="auto"/>
        <w:ind w:left="567" w:right="618"/>
        <w:jc w:val="both"/>
        <w:rPr>
          <w:rFonts w:cs="Calibri"/>
          <w:b/>
          <w:i/>
          <w:sz w:val="24"/>
          <w:szCs w:val="24"/>
          <w:u w:val="single"/>
        </w:rPr>
      </w:pPr>
    </w:p>
    <w:p w14:paraId="1D251DD5" w14:textId="77777777" w:rsidR="00177FB2" w:rsidRPr="008D7651" w:rsidRDefault="00177FB2" w:rsidP="00177FB2">
      <w:pPr>
        <w:pStyle w:val="Prrafodelista"/>
        <w:widowControl w:val="0"/>
        <w:spacing w:after="0" w:line="240" w:lineRule="auto"/>
        <w:ind w:left="567" w:right="618"/>
        <w:jc w:val="both"/>
        <w:rPr>
          <w:rFonts w:cs="Calibri"/>
          <w:b/>
          <w:i/>
          <w:sz w:val="24"/>
          <w:szCs w:val="24"/>
          <w:u w:val="single"/>
        </w:rPr>
      </w:pPr>
      <w:r w:rsidRPr="008D7651">
        <w:rPr>
          <w:rFonts w:cs="Calibri"/>
          <w:b/>
          <w:i/>
          <w:sz w:val="24"/>
          <w:szCs w:val="24"/>
          <w:u w:val="single"/>
        </w:rPr>
        <w:t>Esto es así, porque la segunda resolución en sentido positivo incide y sustituye los efectos generados por la dictada en primera instancia, lo que impide decidir la legalidad de la negativa inicialmente impugnada pues sus efectos cesaron en razón de que fueron cancelados jurídicamente por sustitución por lo que ahora las consecuencias que inciden en la esfera jurídica de la hoy actora a ese respecto, tienen su origen en el nuevo pronunciamiento, sustituyó aquella negativa, va que constituye una nueva situación jurídica diversa</w:t>
      </w:r>
      <w:r>
        <w:rPr>
          <w:rFonts w:cs="Calibri"/>
          <w:b/>
          <w:i/>
          <w:sz w:val="24"/>
          <w:szCs w:val="24"/>
          <w:u w:val="single"/>
        </w:rPr>
        <w:t xml:space="preserve"> </w:t>
      </w:r>
      <w:r w:rsidRPr="008D7651">
        <w:rPr>
          <w:rFonts w:cs="Calibri"/>
          <w:b/>
          <w:i/>
          <w:sz w:val="24"/>
          <w:szCs w:val="24"/>
          <w:u w:val="single"/>
        </w:rPr>
        <w:t>y</w:t>
      </w:r>
      <w:r>
        <w:rPr>
          <w:rFonts w:cs="Calibri"/>
          <w:b/>
          <w:i/>
          <w:sz w:val="24"/>
          <w:szCs w:val="24"/>
          <w:u w:val="single"/>
        </w:rPr>
        <w:t xml:space="preserve"> </w:t>
      </w:r>
      <w:r w:rsidRPr="008D7651">
        <w:rPr>
          <w:rFonts w:cs="Calibri"/>
          <w:b/>
          <w:i/>
          <w:sz w:val="24"/>
          <w:szCs w:val="24"/>
          <w:u w:val="single"/>
        </w:rPr>
        <w:t>autónoma; incluso, pensar lo contrario, conllevaría a la existencia de determinaciones administrativas en sentido opuesto lo cual sería inadmisible, ya que contravendría el principio de seguridad jurídica consagrado en los artículos 14 y 16 de la Constitución federal, de ahí que se entienda dicha causal de improcedencia, pues en principio, debe considerarse el último pronunciamiento de autoridad el que afecta de manera destacada a la esfera jurídica de los gobernados.</w:t>
      </w:r>
    </w:p>
    <w:p w14:paraId="33F638F0" w14:textId="77777777" w:rsidR="00177FB2" w:rsidRPr="008D7651" w:rsidRDefault="00177FB2" w:rsidP="00177FB2">
      <w:pPr>
        <w:pStyle w:val="Prrafodelista"/>
        <w:widowControl w:val="0"/>
        <w:spacing w:after="0" w:line="240" w:lineRule="auto"/>
        <w:ind w:left="567" w:right="618"/>
        <w:jc w:val="both"/>
        <w:rPr>
          <w:rFonts w:cs="Calibri"/>
          <w:b/>
          <w:i/>
          <w:sz w:val="24"/>
          <w:szCs w:val="24"/>
          <w:u w:val="single"/>
        </w:rPr>
      </w:pPr>
    </w:p>
    <w:p w14:paraId="07F330BF" w14:textId="01279BB4" w:rsidR="00177FB2" w:rsidRPr="00C023AD" w:rsidRDefault="00177FB2" w:rsidP="00177FB2">
      <w:pPr>
        <w:pStyle w:val="Prrafodelista"/>
        <w:widowControl w:val="0"/>
        <w:spacing w:after="0" w:line="240" w:lineRule="auto"/>
        <w:ind w:left="567" w:right="618"/>
        <w:jc w:val="both"/>
        <w:rPr>
          <w:rFonts w:cs="Calibri"/>
          <w:i/>
          <w:sz w:val="24"/>
          <w:szCs w:val="24"/>
        </w:rPr>
      </w:pPr>
      <w:r w:rsidRPr="008D7651">
        <w:rPr>
          <w:rFonts w:cs="Calibri"/>
          <w:b/>
          <w:i/>
          <w:sz w:val="24"/>
          <w:szCs w:val="24"/>
          <w:u w:val="single"/>
        </w:rPr>
        <w:t>En consecuencia, ya no existe alguna consecuencia material en perjuicio de la impetrante por la manifestada negativa, pues ésta, no puede producir efectos posteriores, en atención a su propia naturaleza, en virtud de que existe un pronunciamiento posterior de manera positiva por parte de la autoridad que dejó materialmente sin efectos aquella determinación en sentido negativo, es decir, por sustitución, dejó sin efectos la no autorización de la licencia solicitada, por ende, quedaron destruidos todos sus efectos como si nunca hubiesen existido, puesto que la razón que justifica la improcedencia de mérito, es la ociosidad de examinar la legalidad de un acto que ya no está surtiendo sus efectos, ni los surtirá, y que no dejó huella alguna en la esfera jurídica de la actora que amerite ser borrada por el otorgamiento de la declaratoria de nulidad,</w:t>
      </w:r>
      <w:r w:rsidRPr="00C023AD">
        <w:rPr>
          <w:rFonts w:cs="Calibri"/>
          <w:i/>
          <w:sz w:val="24"/>
          <w:szCs w:val="24"/>
        </w:rPr>
        <w:t xml:space="preserve"> de ahí que no sería posible dejar sin efectos un acto que por sí mismo como ya no lo tiene, por lo que se actualiza en la especie la causal de improcedencia prevista en el artículo 228, fracción IX del Código Procesal Administrativa para el Estado de San Luis Potosí y conforme a </w:t>
      </w:r>
      <w:r>
        <w:rPr>
          <w:rFonts w:cs="Calibri"/>
          <w:i/>
          <w:sz w:val="24"/>
          <w:szCs w:val="24"/>
        </w:rPr>
        <w:t>l</w:t>
      </w:r>
      <w:r w:rsidRPr="00C023AD">
        <w:rPr>
          <w:rFonts w:cs="Calibri"/>
          <w:i/>
          <w:sz w:val="24"/>
          <w:szCs w:val="24"/>
        </w:rPr>
        <w:t xml:space="preserve">o dispuesto en la fracción II del artículo 229 del citado Código, procede el sobreseimiento del juicio respecto del acto impugnado consistente el oficio número </w:t>
      </w:r>
      <w:r w:rsidR="0050127A">
        <w:rPr>
          <w:rFonts w:cs="Calibri"/>
          <w:i/>
          <w:color w:val="FF0000"/>
          <w:sz w:val="24"/>
          <w:szCs w:val="24"/>
        </w:rPr>
        <w:t>**********</w:t>
      </w:r>
      <w:r w:rsidRPr="00C023AD">
        <w:rPr>
          <w:rFonts w:cs="Calibri"/>
          <w:i/>
          <w:sz w:val="24"/>
          <w:szCs w:val="24"/>
        </w:rPr>
        <w:t>de once de marzo de dos mil veinte</w:t>
      </w:r>
    </w:p>
    <w:p w14:paraId="17A1D5E6"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3697891C" w14:textId="4812B247" w:rsidR="00177FB2" w:rsidRPr="00DA344C"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Aunado a lo anterior, de conformidad con lo dispuesto por los artículos 228, fracción V</w:t>
      </w:r>
      <w:r>
        <w:rPr>
          <w:rFonts w:cs="Calibri"/>
          <w:i/>
          <w:sz w:val="24"/>
          <w:szCs w:val="24"/>
        </w:rPr>
        <w:t xml:space="preserve"> </w:t>
      </w:r>
      <w:r w:rsidRPr="00C023AD">
        <w:rPr>
          <w:rFonts w:cs="Calibri"/>
          <w:i/>
          <w:sz w:val="24"/>
          <w:szCs w:val="24"/>
        </w:rPr>
        <w:t xml:space="preserve">y 252, del Código Procesal Administrativo para el Estado, se colige que son actos consumados de modo irreparable los que han producido todos sus efectos, por ende, </w:t>
      </w:r>
      <w:r w:rsidRPr="00DA344C">
        <w:rPr>
          <w:rFonts w:cs="Calibri"/>
          <w:b/>
          <w:i/>
          <w:sz w:val="24"/>
          <w:szCs w:val="24"/>
          <w:u w:val="single"/>
        </w:rPr>
        <w:t xml:space="preserve">sin prejuzgar, en la especie las posibles consecuencias de la </w:t>
      </w:r>
      <w:r w:rsidRPr="00DA344C">
        <w:rPr>
          <w:rFonts w:cs="Calibri"/>
          <w:b/>
          <w:i/>
          <w:sz w:val="24"/>
          <w:szCs w:val="24"/>
          <w:u w:val="single"/>
        </w:rPr>
        <w:lastRenderedPageBreak/>
        <w:t xml:space="preserve">manifestada negativa contenida en el oficio </w:t>
      </w:r>
      <w:r w:rsidR="0050127A">
        <w:rPr>
          <w:rFonts w:cs="Calibri"/>
          <w:b/>
          <w:i/>
          <w:color w:val="FF0000"/>
          <w:sz w:val="24"/>
          <w:szCs w:val="24"/>
          <w:u w:val="single"/>
        </w:rPr>
        <w:t>**********</w:t>
      </w:r>
      <w:r w:rsidRPr="00DA344C">
        <w:rPr>
          <w:rFonts w:cs="Calibri"/>
          <w:b/>
          <w:i/>
          <w:sz w:val="24"/>
          <w:szCs w:val="24"/>
          <w:u w:val="single"/>
        </w:rPr>
        <w:t xml:space="preserve">de once de marzo de dos mil veinte (Acto en sentido negativo), en su caso, quedaron irreparablemente consumadas, pues únicamente se prolongaron durante el tiempo que duró tal negativa, es decir, hasta el momento de que la autoridad expidió la Licencia de Uso de Suelo número de folio </w:t>
      </w:r>
      <w:r w:rsidR="0050127A">
        <w:rPr>
          <w:rFonts w:cs="Calibri"/>
          <w:b/>
          <w:i/>
          <w:color w:val="FF0000"/>
          <w:sz w:val="24"/>
          <w:szCs w:val="24"/>
          <w:u w:val="single"/>
        </w:rPr>
        <w:t>**********</w:t>
      </w:r>
      <w:r w:rsidRPr="00DA344C">
        <w:rPr>
          <w:rFonts w:cs="Calibri"/>
          <w:b/>
          <w:i/>
          <w:sz w:val="24"/>
          <w:szCs w:val="24"/>
          <w:u w:val="single"/>
        </w:rPr>
        <w:t xml:space="preserve"> de 16 de julio de 2020, también impugnada (Acto en sentido positivo), respecto de la misma actividad (Granja Avícola)</w:t>
      </w:r>
      <w:r>
        <w:rPr>
          <w:rFonts w:cs="Calibri"/>
          <w:b/>
          <w:i/>
          <w:sz w:val="24"/>
          <w:szCs w:val="24"/>
          <w:u w:val="single"/>
        </w:rPr>
        <w:t xml:space="preserve"> </w:t>
      </w:r>
      <w:r w:rsidRPr="00DA344C">
        <w:rPr>
          <w:rFonts w:cs="Calibri"/>
          <w:b/>
          <w:i/>
          <w:sz w:val="24"/>
          <w:szCs w:val="24"/>
          <w:u w:val="single"/>
        </w:rPr>
        <w:t>y</w:t>
      </w:r>
      <w:r>
        <w:rPr>
          <w:rFonts w:cs="Calibri"/>
          <w:b/>
          <w:i/>
          <w:sz w:val="24"/>
          <w:szCs w:val="24"/>
          <w:u w:val="single"/>
        </w:rPr>
        <w:t xml:space="preserve"> </w:t>
      </w:r>
      <w:r w:rsidRPr="00DA344C">
        <w:rPr>
          <w:rFonts w:cs="Calibri"/>
          <w:b/>
          <w:i/>
          <w:sz w:val="24"/>
          <w:szCs w:val="24"/>
          <w:u w:val="single"/>
        </w:rPr>
        <w:t>con relación al mismo predio (</w:t>
      </w:r>
      <w:r w:rsidR="0050127A">
        <w:rPr>
          <w:rFonts w:cs="Calibri"/>
          <w:b/>
          <w:i/>
          <w:color w:val="FF0000"/>
          <w:sz w:val="24"/>
          <w:szCs w:val="24"/>
          <w:u w:val="single"/>
        </w:rPr>
        <w:t>**********</w:t>
      </w:r>
      <w:r w:rsidRPr="00DA344C">
        <w:rPr>
          <w:rFonts w:cs="Calibri"/>
          <w:b/>
          <w:i/>
          <w:sz w:val="24"/>
          <w:szCs w:val="24"/>
          <w:u w:val="single"/>
        </w:rPr>
        <w:t>de ahí que tampoco sería posible dejar sin efectos un acto cuyos efectos quedaron consumados de manera irreparable, lo cual, precisamente, también hace improcedente la acción de nulidad en términos del artículo citado en primer orden y en consecuencia, se actualiza la causal de sobreseimiento prevista en el artículo 229, fracción II del mismo ordenamiento legal.</w:t>
      </w:r>
    </w:p>
    <w:p w14:paraId="6E73C59F" w14:textId="77777777" w:rsidR="00177FB2" w:rsidRPr="00DA344C" w:rsidRDefault="00177FB2" w:rsidP="00177FB2">
      <w:pPr>
        <w:pStyle w:val="Prrafodelista"/>
        <w:widowControl w:val="0"/>
        <w:spacing w:after="0" w:line="240" w:lineRule="auto"/>
        <w:ind w:left="567" w:right="618"/>
        <w:jc w:val="both"/>
        <w:rPr>
          <w:rFonts w:cs="Calibri"/>
          <w:b/>
          <w:i/>
          <w:sz w:val="24"/>
          <w:szCs w:val="24"/>
          <w:u w:val="single"/>
        </w:rPr>
      </w:pPr>
    </w:p>
    <w:p w14:paraId="6A71456B"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DA344C">
        <w:rPr>
          <w:rFonts w:cs="Calibri"/>
          <w:b/>
          <w:i/>
          <w:sz w:val="24"/>
          <w:szCs w:val="24"/>
          <w:u w:val="single"/>
        </w:rPr>
        <w:t xml:space="preserve">Máxime, aun cuando se estudiara la manifestada ilegalidad de la negativa impugnada en la esfera jurídica de la impetrante, la sentencia no podría surtir plenos efectos </w:t>
      </w:r>
      <w:r w:rsidRPr="00C023AD">
        <w:rPr>
          <w:rFonts w:cs="Calibri"/>
          <w:i/>
          <w:sz w:val="24"/>
          <w:szCs w:val="24"/>
        </w:rPr>
        <w:t>conforme a lo dispuesto en el artículo 252 del Código Procesal Administrativo para el Estado, del tenor siguiente:</w:t>
      </w:r>
    </w:p>
    <w:p w14:paraId="16810000"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6DE9C994"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"ARTÍCULO 252.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p>
    <w:p w14:paraId="3CE71AD7"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08FD8F7D"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027658AC" w14:textId="77777777" w:rsidR="00177FB2" w:rsidRPr="00DA344C" w:rsidRDefault="00177FB2" w:rsidP="00177FB2">
      <w:pPr>
        <w:pStyle w:val="Prrafodelista"/>
        <w:widowControl w:val="0"/>
        <w:spacing w:after="0" w:line="240" w:lineRule="auto"/>
        <w:ind w:left="567" w:right="618"/>
        <w:jc w:val="both"/>
        <w:rPr>
          <w:rFonts w:cs="Calibri"/>
          <w:b/>
          <w:i/>
          <w:sz w:val="24"/>
          <w:szCs w:val="24"/>
          <w:u w:val="single"/>
        </w:rPr>
      </w:pPr>
      <w:r w:rsidRPr="00DA344C">
        <w:rPr>
          <w:rFonts w:cs="Calibri"/>
          <w:b/>
          <w:i/>
          <w:sz w:val="24"/>
          <w:szCs w:val="24"/>
          <w:u w:val="single"/>
        </w:rPr>
        <w:t>En efecto, pues de otorgarse la protección legal, la sentencia carecería de efectos prácticos, ante la imposibilidad jurídica para conceder el efecto restitutorio que pretende la impetrante, en el sentido de que se emita un nuevo en el que la autoridad demanda expida una licencia de uso de suelo para la actividad y en el predio de mérito, cuando va fue emitida tal licencia por sus propios fundamentos y motivos, misma que rige actualmente su situación jurídica con relación a la actividad que realiza en el predio en cuestión, por ende, no podría concederse la nulidad para el efecto de que se dicte una nueva resolución, pues ello vendría a trastocar la nueva situación jurídica diversa y autónoma, constituida por el acto en sentido positivo y que contiene su propia sustancia formal, y que podría ser legal o no, empero, ello dependerá del estudio del mismo.</w:t>
      </w:r>
    </w:p>
    <w:p w14:paraId="1134830C"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26941E8F" w14:textId="1F3C9B95" w:rsidR="00177FB2" w:rsidRPr="00DA344C"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 xml:space="preserve">En ese orden de ideas, </w:t>
      </w:r>
      <w:r w:rsidRPr="00DA344C">
        <w:rPr>
          <w:rFonts w:cs="Calibri"/>
          <w:b/>
          <w:i/>
          <w:sz w:val="24"/>
          <w:szCs w:val="24"/>
          <w:u w:val="single"/>
        </w:rPr>
        <w:t xml:space="preserve">también resulta procedente el sobreseimiento del juicio con relación al acto identificado en el inciso b) del Resultando 1 de esta resolución, consistente en el Plan del Centro de Población Estratégico de Población San Luis Potosí Soledad de Graciano Sánchez, publicado en el Periódico Oficial del Estado el veintiuno de agosto de dos mil tres, toda vez que la impetrante manifestó controvertirlo junto con su primer acto de aplicación, consistente en la resolución contenida el oficio número </w:t>
      </w:r>
      <w:r w:rsidR="0050127A">
        <w:rPr>
          <w:rFonts w:cs="Calibri"/>
          <w:b/>
          <w:i/>
          <w:color w:val="FF0000"/>
          <w:sz w:val="24"/>
          <w:szCs w:val="24"/>
          <w:u w:val="single"/>
        </w:rPr>
        <w:t>**********</w:t>
      </w:r>
      <w:r w:rsidRPr="00DA344C">
        <w:rPr>
          <w:rFonts w:cs="Calibri"/>
          <w:b/>
          <w:i/>
          <w:sz w:val="24"/>
          <w:szCs w:val="24"/>
          <w:u w:val="single"/>
        </w:rPr>
        <w:t xml:space="preserve"> de 11 de marzo de 2020, por el cual resultó improcedente el presente juicio, como va se dilucidó en párrafos precedentes,</w:t>
      </w:r>
      <w:r w:rsidRPr="00C023AD">
        <w:rPr>
          <w:rFonts w:cs="Calibri"/>
          <w:i/>
          <w:sz w:val="24"/>
          <w:szCs w:val="24"/>
        </w:rPr>
        <w:t xml:space="preserve"> luego entonces, tomando en consideración, por analogía, los criterios sustentados por la Segunda Sala del Alto Tribunal y por los Tribunales Colegiados de Circuito, que enseguida se cita, </w:t>
      </w:r>
      <w:r w:rsidRPr="00DA344C">
        <w:rPr>
          <w:rFonts w:cs="Calibri"/>
          <w:b/>
          <w:i/>
          <w:sz w:val="24"/>
          <w:szCs w:val="24"/>
          <w:u w:val="single"/>
        </w:rPr>
        <w:t xml:space="preserve">no debe desvincularse el estudio de la referida disposición impugnada del que concierne a </w:t>
      </w:r>
      <w:r w:rsidRPr="00DA344C">
        <w:rPr>
          <w:rFonts w:cs="Calibri"/>
          <w:b/>
          <w:i/>
          <w:sz w:val="24"/>
          <w:szCs w:val="24"/>
          <w:u w:val="single"/>
        </w:rPr>
        <w:lastRenderedPageBreak/>
        <w:t>su acto de aplicación, por lo que, si se estima improcedente el juicio en contra del acto de aplicación, deberá sobreseer respecto de éste y, en vía de consecuencia, también en relación con el acto de carácter general impugnado, al no poder desvincularse uno de otro; por ende, en la especie, al no poder desvincularse el estudio del referido acto de carácter general del que concierne a su acto de aplicación en comento, por el cual, se reitera, resultó improcedente el juicio, en vía de consecuencia, también procede el sobreseimiento del juicio con relación al Plan del Centro de Población Estratégico de Población San Luis Potosí Soledad de Graciano Sánchez, al no poder desvincularse uno de otro.</w:t>
      </w:r>
    </w:p>
    <w:p w14:paraId="1B650B19"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0E678BF0"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35701F19" w14:textId="13BE4C0D"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Más aún, se considera que respecto al referido acto de carácter general, consistente en el Plan del Centro de Población Estratégico de Población San Luis Potosí Soledad de Graciano Sánchez, se actualiza de manera destacada la causal de improcedencia prevista en el artículo 228, fracción IX del Código Procesal Administrativo para el Estado de San Luis Potosí, ya que no puede surtir efectos legales por haber dejado de existir el objeto o materia de su aplicación, es decir, la negativa por parte de la autoridad demandada de expedir la licencia por parte de la autoridad demandada de expedir la licencia de uso de suelo de mérito, al cesar dichos efectos en sentido negativo, precisamente, por la expedición de la Licencia de Uso de Suelo con número de folio </w:t>
      </w:r>
      <w:r w:rsidR="0050127A">
        <w:rPr>
          <w:rFonts w:cs="Calibri"/>
          <w:i/>
          <w:color w:val="FF0000"/>
          <w:sz w:val="24"/>
          <w:szCs w:val="24"/>
        </w:rPr>
        <w:t>**********</w:t>
      </w:r>
      <w:r w:rsidRPr="00C023AD">
        <w:rPr>
          <w:rFonts w:cs="Calibri"/>
          <w:i/>
          <w:sz w:val="24"/>
          <w:szCs w:val="24"/>
        </w:rPr>
        <w:t>de fecha 16 de julio de 2020, tal como se dilucidó en párrafos precedentes y, en consecuencia, procede el sobreseimiento del juicio con relación al referido acto de carácter general impugnado, en términos de lo dispuesto en el artículo 229, fracción II del mismo ordenamiento legal.</w:t>
      </w:r>
    </w:p>
    <w:p w14:paraId="2965E2AB" w14:textId="77777777" w:rsidR="00177FB2" w:rsidRPr="00C023AD" w:rsidRDefault="00177FB2" w:rsidP="00177FB2">
      <w:pPr>
        <w:pStyle w:val="Prrafodelista"/>
        <w:widowControl w:val="0"/>
        <w:spacing w:after="0" w:line="240" w:lineRule="auto"/>
        <w:ind w:left="567" w:right="618"/>
        <w:jc w:val="both"/>
        <w:rPr>
          <w:rFonts w:cs="Calibri"/>
          <w:i/>
          <w:sz w:val="24"/>
          <w:szCs w:val="24"/>
        </w:rPr>
      </w:pPr>
    </w:p>
    <w:p w14:paraId="44B572C4"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Sirve de apoyo lo anterior, la tesis XV/2003 de la Primera Sala de la Suprema Corte de Justicia de la Nación al tenor siguiente: </w:t>
      </w:r>
    </w:p>
    <w:p w14:paraId="0000AF56"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35531976" w14:textId="77777777" w:rsidR="00177FB2" w:rsidRPr="00DA344C" w:rsidRDefault="00177FB2" w:rsidP="00177FB2">
      <w:pPr>
        <w:pStyle w:val="Prrafodelista"/>
        <w:widowControl w:val="0"/>
        <w:spacing w:after="0" w:line="240" w:lineRule="auto"/>
        <w:ind w:left="567" w:right="618"/>
        <w:jc w:val="both"/>
        <w:rPr>
          <w:rFonts w:cs="Calibri"/>
          <w:b/>
          <w:i/>
          <w:sz w:val="24"/>
          <w:szCs w:val="24"/>
          <w:u w:val="single"/>
        </w:rPr>
      </w:pPr>
      <w:r w:rsidRPr="00C023AD">
        <w:rPr>
          <w:rFonts w:cs="Calibri"/>
          <w:i/>
          <w:sz w:val="24"/>
          <w:szCs w:val="24"/>
        </w:rPr>
        <w:t xml:space="preserve">En las relatadas consideraciones, se </w:t>
      </w:r>
      <w:r w:rsidRPr="00DA344C">
        <w:rPr>
          <w:rFonts w:cs="Calibri"/>
          <w:b/>
          <w:i/>
          <w:sz w:val="24"/>
          <w:szCs w:val="24"/>
          <w:u w:val="single"/>
        </w:rPr>
        <w:t>decreta el SOBRESEIMIENTO del presente juicio contencioso administrativo con relación a los actos impugnados identificados en los incisos a) y b) del Resultando I de esta resolución, consistentes en la resolución contenida en el oficio número MSGS/DUYCM/2979/2020 de 11 de marzo de 2020, así como el Plan del Centro de Población Estratégico de Población San Luis Potosí Soledad de Graciano Sánchez, éste último controvertido junto con su primer acto de aplicación, de acuerdo con las consideraciones, fundamentos y motivos que han quedado expuestos en este Considerando.</w:t>
      </w:r>
    </w:p>
    <w:p w14:paraId="50048594" w14:textId="77777777" w:rsidR="00177FB2" w:rsidRPr="00DA344C" w:rsidRDefault="00177FB2" w:rsidP="00177FB2">
      <w:pPr>
        <w:pStyle w:val="Prrafodelista"/>
        <w:widowControl w:val="0"/>
        <w:spacing w:after="0" w:line="240" w:lineRule="auto"/>
        <w:ind w:left="567" w:right="618"/>
        <w:jc w:val="both"/>
        <w:rPr>
          <w:rFonts w:cs="Calibri"/>
          <w:b/>
          <w:i/>
          <w:sz w:val="24"/>
          <w:szCs w:val="24"/>
          <w:u w:val="single"/>
        </w:rPr>
      </w:pPr>
    </w:p>
    <w:p w14:paraId="588571DB"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 xml:space="preserve">Sin que sea óbice a lo anterior, que en el acuerdo de fecha once de septiembre de dos mil veinte, se hubiere admitido a trámite la demanda, entre otros, en contra de los referidos actos impugnados, en tanto tal consideración constituye una determinación que por su naturaleza no causa estado, al ser producto de un examen preliminar del asunto, correspondiendo en todo caso a esta Juzgadora al dictar </w:t>
      </w:r>
      <w:r w:rsidRPr="00C023AD">
        <w:rPr>
          <w:rFonts w:cs="Calibri"/>
          <w:i/>
          <w:sz w:val="24"/>
          <w:szCs w:val="24"/>
        </w:rPr>
        <w:lastRenderedPageBreak/>
        <w:t>sentencia definitiva, el estudio definitivo de procedencia del juicio, como en la especie, precisándose en párrafos precedentes, que de las constancias de autos aparece claramente que se actualizaron las causales previstas en los artículos 228, fracciones V y IX y 229, fracción II del Código Procesal Administrativo para el Estado de San Luis Potosí, y con lo cual se dilucida la improcedencia en el juicio y su sobreseimiento.</w:t>
      </w:r>
    </w:p>
    <w:p w14:paraId="126DB867" w14:textId="77777777" w:rsidR="00177FB2" w:rsidRPr="00C023AD" w:rsidRDefault="00177FB2" w:rsidP="00177FB2">
      <w:pPr>
        <w:pStyle w:val="Prrafodelista"/>
        <w:widowControl w:val="0"/>
        <w:spacing w:after="0" w:line="240" w:lineRule="auto"/>
        <w:ind w:left="567" w:right="618"/>
        <w:jc w:val="both"/>
        <w:rPr>
          <w:rFonts w:cs="Calibri"/>
          <w:i/>
          <w:sz w:val="24"/>
          <w:szCs w:val="24"/>
        </w:rPr>
      </w:pPr>
      <w:r w:rsidRPr="00C023AD">
        <w:rPr>
          <w:rFonts w:cs="Calibri"/>
          <w:i/>
          <w:sz w:val="24"/>
          <w:szCs w:val="24"/>
        </w:rPr>
        <w:t>(...)</w:t>
      </w:r>
    </w:p>
    <w:p w14:paraId="1647F2B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137A2F5" w14:textId="77777777" w:rsidR="00177FB2" w:rsidRPr="00C023AD" w:rsidRDefault="00177FB2" w:rsidP="00177FB2">
      <w:pPr>
        <w:pStyle w:val="Prrafodelista"/>
        <w:widowControl w:val="0"/>
        <w:spacing w:after="0" w:line="240" w:lineRule="auto"/>
        <w:ind w:left="567" w:right="618"/>
        <w:jc w:val="both"/>
        <w:rPr>
          <w:rFonts w:asciiTheme="minorHAnsi" w:hAnsiTheme="minorHAnsi" w:cstheme="minorHAnsi"/>
          <w:i/>
          <w:sz w:val="24"/>
          <w:szCs w:val="24"/>
        </w:rPr>
      </w:pPr>
      <w:r w:rsidRPr="00C023AD">
        <w:rPr>
          <w:rFonts w:asciiTheme="minorHAnsi" w:hAnsiTheme="minorHAnsi" w:cstheme="minorHAnsi"/>
          <w:i/>
          <w:sz w:val="24"/>
          <w:szCs w:val="24"/>
        </w:rPr>
        <w:t>Finalmente, considerando que esta Primera Sala Unitaria ha decretado la procedencia de las causales analizadas en los párrafos que anteceden, resulta innecesario el estudio de los argumentos planteados por la parte actora encaminados a declarar la nulidad de los referidos actos impugnados, asimismo respecto de éstos las demás causales alegadas por la autoridades demandadas, en razón de que el hacerlo, no cambiaría el sentido de esta decisión."</w:t>
      </w:r>
      <w:r>
        <w:rPr>
          <w:rFonts w:asciiTheme="minorHAnsi" w:hAnsiTheme="minorHAnsi" w:cstheme="minorHAnsi"/>
          <w:i/>
          <w:sz w:val="24"/>
          <w:szCs w:val="24"/>
        </w:rPr>
        <w:t>”</w:t>
      </w:r>
    </w:p>
    <w:p w14:paraId="2E738598" w14:textId="77777777" w:rsidR="00177FB2" w:rsidRPr="00C023AD" w:rsidRDefault="00177FB2" w:rsidP="00177FB2">
      <w:pPr>
        <w:pStyle w:val="Prrafodelista"/>
        <w:widowControl w:val="0"/>
        <w:spacing w:after="0" w:line="240" w:lineRule="auto"/>
        <w:ind w:left="567" w:right="618"/>
        <w:jc w:val="both"/>
        <w:rPr>
          <w:rFonts w:asciiTheme="minorHAnsi" w:hAnsiTheme="minorHAnsi" w:cstheme="minorHAnsi"/>
          <w:i/>
          <w:sz w:val="24"/>
          <w:szCs w:val="24"/>
        </w:rPr>
      </w:pPr>
      <w:r w:rsidRPr="00C023AD">
        <w:rPr>
          <w:rFonts w:asciiTheme="minorHAnsi" w:hAnsiTheme="minorHAnsi" w:cstheme="minorHAnsi"/>
          <w:i/>
          <w:sz w:val="24"/>
          <w:szCs w:val="24"/>
        </w:rPr>
        <w:t>(Énfasis añadido).</w:t>
      </w:r>
    </w:p>
    <w:p w14:paraId="20D8E3F9" w14:textId="77777777" w:rsidR="00177FB2" w:rsidRPr="00C023AD" w:rsidRDefault="00177FB2" w:rsidP="00177FB2">
      <w:pPr>
        <w:pStyle w:val="Prrafodelista"/>
        <w:widowControl w:val="0"/>
        <w:spacing w:after="0" w:line="240" w:lineRule="auto"/>
        <w:ind w:left="567" w:right="618"/>
        <w:jc w:val="both"/>
        <w:rPr>
          <w:rFonts w:asciiTheme="minorHAnsi" w:hAnsiTheme="minorHAnsi" w:cstheme="minorHAnsi"/>
          <w:i/>
          <w:sz w:val="24"/>
          <w:szCs w:val="24"/>
        </w:rPr>
      </w:pPr>
    </w:p>
    <w:p w14:paraId="3BAE936F" w14:textId="77777777" w:rsidR="00177FB2"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Como es posible advertir de lo anterior, la Sala A quo determinó sustancialmente lo siguiente:</w:t>
      </w:r>
    </w:p>
    <w:p w14:paraId="335AEA3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1D7C7C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 Que en el presente juicio se actualizan las causales de improcedencia y sobreseimiento previstas en los artículos 228, fracción IX y 229, fracción II del Código Procesal Administrativo para el Estado de San Luis Potosí.</w:t>
      </w:r>
    </w:p>
    <w:p w14:paraId="0E17CC9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20FEE7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b) Que de los hechos se desprende que el Director de Desarrollo Urbano y Catastro Municipal de Soledad de Graciano Sánchez, S.L.P., en primera instancia resolvió no autorizar la Licencia de Uso de Suelo de Funcionamiento para una "Granja Avícola", y sin prejuzgar la legalidad del Convenio de Reconocimiento de Obligación de Pago, emitió la "LICENCIA DE USO DE SUELO DE FUNCIONAMIENTO" respecto de la misma actividad y predio en cuestión.</w:t>
      </w:r>
    </w:p>
    <w:p w14:paraId="783CBEA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D6BAC1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Luego entonces, la segunda resolución en sentido positivo incide y sustituye los efectos generados por la dictada en primera instancia, lo que impide decidir la legalidad de la negativa inicialmente impugnada pues sus efectos cesaron en razón de que fueron cancelados jurídicamente por sustitución por lo que ahora las consecuencias que inciden en la esfera jurídica de la hoy actora a ese respecto, tienen su origen en el nuevo pronunciamiento, que sustituyó aquella negativa.</w:t>
      </w:r>
    </w:p>
    <w:p w14:paraId="36B5E5D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B40449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 Que ya no existe alguna consecuencia material en perjuicio de la impetrante por la manifestada negativa, ya que quedaron destruidos todos su efectos como si nunca hubiesen existido, puesto que la razón que justifica la improcedencia de mérito, es la ociosidad de examinar la legalidad de un acto que ya no está surtiendo efectos, ni los surtirá, y que no dejó huella alguna en la esfera jurídica de la actora que amerite ser borrada por el otorgamiento de la declaratoria de nulidad.</w:t>
      </w:r>
    </w:p>
    <w:p w14:paraId="6B9572D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F6344F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 Que las posibles consecuencias de la negativa de Licencia de Uso de Suelo de Funcionamiento quedaron irreparablemente consumadas, pues únicamente se prolongaron durante el tiempo que duró tal negativa.</w:t>
      </w:r>
    </w:p>
    <w:p w14:paraId="7E58E39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31FCC0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Incluso, de haberse otorgado la protección legal, la sentencia carecería de efectos prácticos, ante la imposibilidad jurídica para conceder el efecto restitutorio pretendido, en el sentido de que se emita un nuevo en la licencia de uso de suelo para la actividad y en el predio de mérito, cuando ya fue emitida la licencia por sus propios fundamentos y motivos, misma que rige actualmente su situación jurídica en relación con la actividad que realiza en el predio en cuestión.</w:t>
      </w:r>
    </w:p>
    <w:p w14:paraId="65E22C6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0CDACA1" w14:textId="52A6C120"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 Que también resulta procedente el sobreseimiento del juicio del Plan del Centro de Población Estratégico San Luis Potosí - Soledad de Graciano Sánchez, toda vez que se impugnó con motivo de su primer acto de aplicación, siendo este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de 11 de marzo de 2020, por el cual resultó improcedente el juicio.</w:t>
      </w:r>
    </w:p>
    <w:p w14:paraId="5D646E1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0E0146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Dicho lo anterior, se procede a demostrar la ilegalidad de la sentencia recurrida, en la medida en que tal y como esa H. Sala Superior podrá advertir, en el caso particular no se actualizan las causales de improcedencia y sobreseimiento de los actos impugnados.</w:t>
      </w:r>
    </w:p>
    <w:p w14:paraId="5F7BF8D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206B503" w14:textId="0EC96868"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C. La sentencia que por esta vía se recurre es ilegal, en la medida en la que la Sala A quo estima incorrectamente que en el caso particular se actualiza el sobreseimiento del juicio respecto de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 de fecha 11 de marzo de 2020; contraviniendo lo dispuesto por el artículo 250, fracciones II y IV del Código Procesal Administrativo para el Estado de San Luis Potosí, en relación con los artículos 14 y 16 Constitucionales.</w:t>
      </w:r>
    </w:p>
    <w:p w14:paraId="465B0A8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DB0DAF4" w14:textId="0E5FD42B"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Lo anterior, toda vez que la Sala A quo inadvierte que los actos impugnados, en particular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 de fecha 11 de marzo de 2020, se encuentran íntimamente relacionados entre sí, razón por la cual el análisis de su legalidad debió haberse efectuado en su conjunto, y no limitarse a sobreseer dicha resolución por supuestamente considerar que fue sustituida por la nueva resolución que autoriza la Licencia de Uso de Suelo de Funcionamiento y que, según su dicho, ya no existe consecuencia material en perjuicio de mi mandante.</w:t>
      </w:r>
    </w:p>
    <w:p w14:paraId="74CC95A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796581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i. En primer lugar, en aras de hacer evidente la ilegalidad de la sentencia recurrida, y a efecto de demostrar que en el caso particular no se actualiza lo dispuesto por la fracción IX del artículo 228, del Código Procesal Administrativo para el Estado de San Luis Potosí, es necesario que H. Sala Superior tenga en perspectiva bajo qué supuestos se puede actualizar la causal de improcedencia aludida</w:t>
      </w:r>
    </w:p>
    <w:p w14:paraId="0DBF947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9AFBF6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Al respecto, la fracción IX del artículo 228 del Código Procesal Administrativo para el Estado de San Luis Potosí establece lo siguiente:</w:t>
      </w:r>
    </w:p>
    <w:p w14:paraId="364F676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F3FAE98" w14:textId="77777777" w:rsidR="00177FB2" w:rsidRPr="005516C3" w:rsidRDefault="00177FB2" w:rsidP="00177FB2">
      <w:pPr>
        <w:pStyle w:val="Prrafodelista"/>
        <w:widowControl w:val="0"/>
        <w:spacing w:after="0" w:line="240" w:lineRule="auto"/>
        <w:ind w:left="567" w:right="618"/>
        <w:jc w:val="both"/>
        <w:rPr>
          <w:rFonts w:cs="Calibri"/>
          <w:i/>
          <w:sz w:val="24"/>
          <w:szCs w:val="24"/>
        </w:rPr>
      </w:pPr>
      <w:r w:rsidRPr="005516C3">
        <w:rPr>
          <w:rFonts w:cs="Calibri"/>
          <w:i/>
          <w:sz w:val="24"/>
          <w:szCs w:val="24"/>
        </w:rPr>
        <w:t>"”</w:t>
      </w:r>
      <w:r w:rsidRPr="005516C3">
        <w:rPr>
          <w:rFonts w:cs="Calibri"/>
          <w:b/>
          <w:i/>
          <w:sz w:val="24"/>
          <w:szCs w:val="24"/>
        </w:rPr>
        <w:t>Articulo 228</w:t>
      </w:r>
      <w:r w:rsidRPr="005516C3">
        <w:rPr>
          <w:rFonts w:cs="Calibri"/>
          <w:i/>
          <w:sz w:val="24"/>
          <w:szCs w:val="24"/>
        </w:rPr>
        <w:t xml:space="preserve">. Es improcedente oficio ante el Tribunal contra actos: </w:t>
      </w:r>
    </w:p>
    <w:p w14:paraId="6919C992" w14:textId="77777777" w:rsidR="00177FB2" w:rsidRPr="005516C3" w:rsidRDefault="00177FB2" w:rsidP="00177FB2">
      <w:pPr>
        <w:pStyle w:val="Prrafodelista"/>
        <w:widowControl w:val="0"/>
        <w:spacing w:after="0" w:line="240" w:lineRule="auto"/>
        <w:ind w:left="567" w:right="618"/>
        <w:jc w:val="both"/>
        <w:rPr>
          <w:rFonts w:cs="Calibri"/>
          <w:i/>
          <w:sz w:val="24"/>
          <w:szCs w:val="24"/>
        </w:rPr>
      </w:pPr>
      <w:r w:rsidRPr="005516C3">
        <w:rPr>
          <w:rFonts w:cs="Calibri"/>
          <w:i/>
          <w:sz w:val="24"/>
          <w:szCs w:val="24"/>
        </w:rPr>
        <w:t>(...)</w:t>
      </w:r>
    </w:p>
    <w:p w14:paraId="1D56C367" w14:textId="77777777" w:rsidR="00177FB2" w:rsidRPr="005516C3" w:rsidRDefault="00177FB2" w:rsidP="00177FB2">
      <w:pPr>
        <w:pStyle w:val="Prrafodelista"/>
        <w:widowControl w:val="0"/>
        <w:spacing w:after="0" w:line="240" w:lineRule="auto"/>
        <w:ind w:left="567" w:right="618"/>
        <w:jc w:val="both"/>
        <w:rPr>
          <w:rFonts w:cs="Calibri"/>
          <w:i/>
          <w:sz w:val="24"/>
          <w:szCs w:val="24"/>
        </w:rPr>
      </w:pPr>
    </w:p>
    <w:p w14:paraId="24930655" w14:textId="77777777" w:rsidR="00177FB2" w:rsidRPr="005516C3" w:rsidRDefault="00177FB2" w:rsidP="00177FB2">
      <w:pPr>
        <w:pStyle w:val="Prrafodelista"/>
        <w:widowControl w:val="0"/>
        <w:spacing w:after="0" w:line="240" w:lineRule="auto"/>
        <w:ind w:left="567" w:right="618"/>
        <w:jc w:val="both"/>
        <w:rPr>
          <w:rFonts w:cs="Calibri"/>
          <w:i/>
          <w:sz w:val="24"/>
          <w:szCs w:val="24"/>
        </w:rPr>
      </w:pPr>
      <w:r w:rsidRPr="005516C3">
        <w:rPr>
          <w:rFonts w:cs="Calibri"/>
          <w:i/>
          <w:sz w:val="24"/>
          <w:szCs w:val="24"/>
        </w:rPr>
        <w:t>IX. Contra actos cuyos efectos legales o materiales hayan cesado o que no puedan surtirse efectos por haber dejado de existir el objeto o materia del mismo;</w:t>
      </w:r>
    </w:p>
    <w:p w14:paraId="3766C265" w14:textId="77777777" w:rsidR="00177FB2" w:rsidRPr="005516C3" w:rsidRDefault="00177FB2" w:rsidP="00177FB2">
      <w:pPr>
        <w:pStyle w:val="Prrafodelista"/>
        <w:widowControl w:val="0"/>
        <w:spacing w:after="0" w:line="240" w:lineRule="auto"/>
        <w:ind w:left="567" w:right="618"/>
        <w:jc w:val="both"/>
        <w:rPr>
          <w:rFonts w:cs="Calibri"/>
          <w:i/>
          <w:sz w:val="24"/>
          <w:szCs w:val="24"/>
        </w:rPr>
      </w:pPr>
      <w:r w:rsidRPr="005516C3">
        <w:rPr>
          <w:rFonts w:cs="Calibri"/>
          <w:i/>
          <w:sz w:val="24"/>
          <w:szCs w:val="24"/>
        </w:rPr>
        <w:t>(...)”</w:t>
      </w:r>
      <w:r>
        <w:rPr>
          <w:rFonts w:cs="Calibri"/>
          <w:i/>
          <w:sz w:val="24"/>
          <w:szCs w:val="24"/>
        </w:rPr>
        <w:t>”</w:t>
      </w:r>
      <w:r w:rsidRPr="005516C3">
        <w:rPr>
          <w:rFonts w:cs="Calibri"/>
          <w:i/>
          <w:sz w:val="24"/>
          <w:szCs w:val="24"/>
        </w:rPr>
        <w:t>.</w:t>
      </w:r>
    </w:p>
    <w:p w14:paraId="7C3C7C8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(Énfasis añadido)</w:t>
      </w:r>
    </w:p>
    <w:p w14:paraId="378206B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2491D1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lo anterior, tenemos que el juicio contencioso será Improcedente cuando sus efectos legales o materiales hayan cesado o que no puedan surtir efectos por haber dejado de existir el objeto o materia del mismo.</w:t>
      </w:r>
    </w:p>
    <w:p w14:paraId="19EC9C3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531ED0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Así, resulta importante destacar que el propósito de la fracción IX del artículo </w:t>
      </w:r>
      <w:r w:rsidRPr="007956CA">
        <w:rPr>
          <w:rFonts w:ascii="Arial Narrow" w:hAnsi="Arial Narrow" w:cs="Arial"/>
          <w:i/>
          <w:sz w:val="24"/>
          <w:szCs w:val="24"/>
        </w:rPr>
        <w:lastRenderedPageBreak/>
        <w:t>228 del Código Procesal Administrativo consiste en que el órgano jurisdiccional no se pronuncie respecto de una violación de legalidad de manera meramente doctrinal, en aquellos casos en los que los efectos de una eventual nulidad de los actos impugnados no se puedan ver materializados en la esfera jurídica del particular.</w:t>
      </w:r>
    </w:p>
    <w:p w14:paraId="075F19D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66ED69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Al respecto, de una interpretación que nuestro Máximo Tribunal ha realizado de la causal de improcedencia contenida en la fracción XXII del artículo 61 de la Ley de Amparo al resolver el amparo directo en revisión 3044/98, </w:t>
      </w:r>
      <w:r w:rsidRPr="005516C3">
        <w:rPr>
          <w:rFonts w:ascii="Arial Narrow" w:hAnsi="Arial Narrow" w:cs="Arial"/>
          <w:b/>
          <w:i/>
          <w:sz w:val="24"/>
          <w:szCs w:val="24"/>
          <w:u w:val="single"/>
        </w:rPr>
        <w:t>cuya redacción es similar a la causal de Improcedencia prevista en la fracción IX del artículo 228 del Código Procesal Administrativo y que válidamente se puede tomar en para fijar su debido alcance,</w:t>
      </w:r>
      <w:r w:rsidRPr="007956CA">
        <w:rPr>
          <w:rFonts w:ascii="Arial Narrow" w:hAnsi="Arial Narrow" w:cs="Arial"/>
          <w:i/>
          <w:sz w:val="24"/>
          <w:szCs w:val="24"/>
        </w:rPr>
        <w:t xml:space="preserve"> estableció que para fijar el extremo de la citada causal de improcedencia, conviene tener presente que, generalmente, </w:t>
      </w:r>
      <w:r w:rsidRPr="005516C3">
        <w:rPr>
          <w:rFonts w:ascii="Arial Narrow" w:hAnsi="Arial Narrow" w:cs="Arial"/>
          <w:i/>
          <w:sz w:val="24"/>
          <w:szCs w:val="24"/>
          <w:u w:val="single"/>
        </w:rPr>
        <w:t>la emisión de un determinado acto de autoridad conlleva el reconocimiento o el establecimiento de una nueva situación jurídica, la cual se distingue por llevar aparejada determinados efectos materiales y jurídicos que deben concretarse, en alguna medida, en la esfera jurídica del gobernado</w:t>
      </w:r>
      <w:r w:rsidRPr="007956CA">
        <w:rPr>
          <w:rFonts w:ascii="Arial Narrow" w:hAnsi="Arial Narrow" w:cs="Arial"/>
          <w:i/>
          <w:sz w:val="24"/>
          <w:szCs w:val="24"/>
        </w:rPr>
        <w:t xml:space="preserve"> y que lo legitiman para acudir al juicio con el fin de obtener una sentencia que declare la invalidez del acto relativo.</w:t>
      </w:r>
    </w:p>
    <w:p w14:paraId="452C6E39" w14:textId="77777777" w:rsidR="00177FB2" w:rsidRPr="005516C3" w:rsidRDefault="00177FB2" w:rsidP="00177FB2">
      <w:pPr>
        <w:widowControl w:val="0"/>
        <w:spacing w:after="0" w:line="240" w:lineRule="auto"/>
        <w:ind w:right="618"/>
        <w:jc w:val="both"/>
        <w:rPr>
          <w:rFonts w:ascii="Arial Narrow" w:hAnsi="Arial Narrow" w:cs="Arial"/>
          <w:i/>
          <w:sz w:val="24"/>
          <w:szCs w:val="24"/>
        </w:rPr>
      </w:pPr>
    </w:p>
    <w:p w14:paraId="548D6017" w14:textId="77777777" w:rsidR="00177FB2" w:rsidRPr="005516C3"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Tomando en cuenta ello, las de improcedencia que derivan del precepto normativo en comento se actualizan, </w:t>
      </w:r>
      <w:r w:rsidRPr="005516C3">
        <w:rPr>
          <w:rFonts w:ascii="Arial Narrow" w:hAnsi="Arial Narrow" w:cs="Arial"/>
          <w:b/>
          <w:i/>
          <w:sz w:val="24"/>
          <w:szCs w:val="24"/>
          <w:u w:val="single"/>
        </w:rPr>
        <w:t>ya sea porque la prerrogativa que se vio afectada por el acto de autoridad se encontraba incorporada temporalmente a la esfera jurídica de aquél, porque la situación jurídica de la que emanaba la referida prerrogativa se hubiere modificado sin dejar huella alguna en la esfera del gobernado, susceptible de reparación, o bien por cualquier otro motivo que jurídicamente impida que los efectos del acto reclamado se concreten en la esfera jurídica del actor.</w:t>
      </w:r>
    </w:p>
    <w:p w14:paraId="4EAC34F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F789CB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Sirve de apoyo a lo anterior, a manera de analogía, la tesis de Jurisprudencia 28.3. 181/2006, sustentada por la Segunda Sala de la Suprema Corte de Justicia de la Nación, visible a página 189, Tomo XXIV, Diciembre de 2006, del Semanario Judicial de la Federación y su Gaceta, de rubro y texto siguientes:</w:t>
      </w:r>
    </w:p>
    <w:p w14:paraId="11208F5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927D04D" w14:textId="77777777" w:rsidR="00177FB2" w:rsidRPr="00AC78CA" w:rsidRDefault="00177FB2" w:rsidP="00177FB2">
      <w:pPr>
        <w:pStyle w:val="Prrafodelista"/>
        <w:widowControl w:val="0"/>
        <w:spacing w:after="0" w:line="240" w:lineRule="auto"/>
        <w:ind w:left="567" w:right="618"/>
        <w:jc w:val="both"/>
        <w:rPr>
          <w:rFonts w:cs="Calibri"/>
          <w:b/>
          <w:i/>
          <w:sz w:val="24"/>
          <w:szCs w:val="24"/>
          <w:u w:val="single"/>
        </w:rPr>
      </w:pPr>
      <w:r w:rsidRPr="005516C3">
        <w:rPr>
          <w:rFonts w:cs="Calibri"/>
          <w:b/>
          <w:i/>
          <w:sz w:val="24"/>
          <w:szCs w:val="24"/>
        </w:rPr>
        <w:t>“”ACTO RECLAMADO QUE FORMALMENTE SUBSISTE PERO CUYO OBJETO O MATERIA DEJO DE EXISTIR LA CAUSA DE IMPROCEDENCIA ESTABLECIDA EN LA FRACCIÓN XVII DEL ARTÍCULO 73 DE LA LEY DE AMPARO SE ACTUALIZA CUANDO LOS EFECTOS DE AQUEL NO HAN AFECTADO LA ESFERA JURÍDICA DEL QUEJOSO Y SE MODIFICA EL ENTORNO EN EL CUAL FUE EMITIDO, DE MODO QUE LA PROTECCIÓN QUE EN SU CASO SE CONCEDIERA CARECERÍA DE EFECTOS,</w:t>
      </w:r>
      <w:r w:rsidRPr="005516C3">
        <w:rPr>
          <w:rFonts w:cs="Calibri"/>
          <w:i/>
          <w:sz w:val="24"/>
          <w:szCs w:val="24"/>
        </w:rPr>
        <w:t xml:space="preserve"> En virtud de que el juicio de amparo es un medio de control constitucional cuyo objeto es reparar las violaciones de garantías que un determinado acto de autoridad genera sobre la esfera jurídica del gobernado que lo promueva, con el fin de restituirlo en el pleno goce de sus derechos fundamentales que le hayan sido violados, el legislador ordinario ha establecido como principio que rige su procedencia la circunstancia de que el fallo protector que en su caso llegare a emitirse pueda concretarse y trascender a la esfera jurídica del gobernado que lo haya promovido. </w:t>
      </w:r>
      <w:r w:rsidRPr="00AC78CA">
        <w:rPr>
          <w:rFonts w:cs="Calibri"/>
          <w:b/>
          <w:i/>
          <w:sz w:val="24"/>
          <w:szCs w:val="24"/>
          <w:u w:val="single"/>
        </w:rPr>
        <w:t>En ese tenor, debe estimarse que la causa de improcedencia prevista en el artic</w:t>
      </w:r>
      <w:r>
        <w:rPr>
          <w:rFonts w:cs="Calibri"/>
          <w:b/>
          <w:i/>
          <w:sz w:val="24"/>
          <w:szCs w:val="24"/>
          <w:u w:val="single"/>
        </w:rPr>
        <w:t>ule 73, fracción XVII, de la Ley</w:t>
      </w:r>
      <w:r w:rsidRPr="00AC78CA">
        <w:rPr>
          <w:rFonts w:cs="Calibri"/>
          <w:b/>
          <w:i/>
          <w:sz w:val="24"/>
          <w:szCs w:val="24"/>
          <w:u w:val="single"/>
        </w:rPr>
        <w:t xml:space="preserve"> de Amparo, conforme al cual tendrá lugar su consecuencia jurídica cuando subsistiendo el acto reclamado no pueda surtir efecto legal o material alguno por haber dejado de existir el objeto o materia del mismo, se actualiza cuando el jugador de garantías advierta que los efectos del acto de autoridad impugnado no se han concretado en la esfera jurídica del quejoso, </w:t>
      </w:r>
      <w:r w:rsidRPr="00AC78CA">
        <w:rPr>
          <w:rFonts w:cs="Calibri"/>
          <w:b/>
          <w:i/>
          <w:sz w:val="24"/>
          <w:szCs w:val="24"/>
          <w:u w:val="single"/>
        </w:rPr>
        <w:lastRenderedPageBreak/>
        <w:t xml:space="preserve">ni se concretarán, en virtud de le modificación del entorno en el cual éste se cometió, por </w:t>
      </w:r>
      <w:r>
        <w:rPr>
          <w:rFonts w:cs="Calibri"/>
          <w:b/>
          <w:i/>
          <w:sz w:val="24"/>
          <w:szCs w:val="24"/>
          <w:u w:val="single"/>
        </w:rPr>
        <w:t>lo que en</w:t>
      </w:r>
      <w:r w:rsidRPr="00AC78CA">
        <w:rPr>
          <w:rFonts w:cs="Calibri"/>
          <w:b/>
          <w:i/>
          <w:sz w:val="24"/>
          <w:szCs w:val="24"/>
          <w:u w:val="single"/>
        </w:rPr>
        <w:t xml:space="preserve"> caso de concluirse que el mismo su inconstitucional, jurídicamente se tornaría imposible restituir al quejoso en el zoco de la garantía que se estime violada e bien ningún efecto jurídico tendría la respectiva sentencia confesorio, lo que generalmente sucede cuando  la situación jurídica que surgió con motive del respectivo acto de autoridad, aun cuando éste subsiste, se modifica sin dejar alguna huella en tan esfera jurídica del gobernado, susceptible de reparación, lo que impide que ese preciso acto y sus efectos trasciendan a este último y que, por ende, el falle protector cumpla con so finalidad,"”</w:t>
      </w:r>
    </w:p>
    <w:p w14:paraId="776EEFB0" w14:textId="77777777" w:rsidR="00177FB2" w:rsidRPr="005516C3" w:rsidRDefault="00177FB2" w:rsidP="00177FB2">
      <w:pPr>
        <w:pStyle w:val="Prrafodelista"/>
        <w:widowControl w:val="0"/>
        <w:spacing w:after="0" w:line="240" w:lineRule="auto"/>
        <w:ind w:left="567" w:right="618"/>
        <w:jc w:val="both"/>
        <w:rPr>
          <w:rFonts w:cs="Calibri"/>
          <w:i/>
          <w:sz w:val="24"/>
          <w:szCs w:val="24"/>
        </w:rPr>
      </w:pPr>
      <w:r w:rsidRPr="005516C3">
        <w:rPr>
          <w:rFonts w:cs="Calibri"/>
          <w:i/>
          <w:sz w:val="24"/>
          <w:szCs w:val="24"/>
        </w:rPr>
        <w:t>(Énfasis añadido).</w:t>
      </w:r>
    </w:p>
    <w:p w14:paraId="75EE2B5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D01CB4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Como es posible advertir del criterio antes mencionado, nuestra Suprema Corte de Justicia de la Nación, ha definido que la causal de improcedencia contemplada dentro de la fracción XXII del artículo 61 de la Ley de Amparo y cuya redacción es similar a la causal de improcedencia prevista en la fracción IX del artículo 228 del Código Procesal Administrativo, se actualiza cuando la sentencia que en su caso pueda emitirse no se concrete y trascienda en la esfera jurídica del quejoso, ya sea porque la situación de la que emanaba el juicio de amparo se hubiere modificado sin dejar huella alguna en la esfera del gobernado, o bien, por cualquier otro motivo que jurídicamente impida que los efectos del acto reclamado se concreten en su esfera jurídica.</w:t>
      </w:r>
    </w:p>
    <w:p w14:paraId="58E0237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9BD0FF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términos de lo anterior, se puede considerar que para que se actualice la causal de improcedencia prevista en la fracción IX del artículo 228 del Código Procesal Administrativo, necesariamente:</w:t>
      </w:r>
    </w:p>
    <w:p w14:paraId="551AC6C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F49B6A2" w14:textId="77777777" w:rsidR="00177FB2" w:rsidRPr="00AC78CA"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1. La Sala debe advertir que los efectos del acto de autoridad </w:t>
      </w:r>
      <w:r w:rsidRPr="00AC78CA">
        <w:rPr>
          <w:rFonts w:ascii="Arial Narrow" w:hAnsi="Arial Narrow" w:cs="Arial"/>
          <w:b/>
          <w:i/>
          <w:sz w:val="24"/>
          <w:szCs w:val="24"/>
          <w:u w:val="single"/>
        </w:rPr>
        <w:t>no se han concretado en la esfera jurídica de la parte actora, ni se concretarán;</w:t>
      </w:r>
    </w:p>
    <w:p w14:paraId="49F050F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35F3E7E" w14:textId="77777777" w:rsidR="00177FB2" w:rsidRPr="00AC78CA"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2. La situación jurídica que surgió con motivo del respectivo acto de autoridad, se modifica </w:t>
      </w:r>
      <w:r w:rsidRPr="00AC78CA">
        <w:rPr>
          <w:rFonts w:ascii="Arial Narrow" w:hAnsi="Arial Narrow" w:cs="Arial"/>
          <w:b/>
          <w:i/>
          <w:sz w:val="24"/>
          <w:szCs w:val="24"/>
          <w:u w:val="single"/>
        </w:rPr>
        <w:t>sin dejar alguna huella en la esfera jurídica del gobernado, susceptible de reparación.</w:t>
      </w:r>
    </w:p>
    <w:p w14:paraId="17ED400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3BE986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Así, será claro para esa H. Sala Superior, que para que la causal de improcedencia prevista en la fracción IX del artículo 228 del Código Procesal Administrativo se actualice, deberán presentarse alguno de los dos supuestos antes mencionados.</w:t>
      </w:r>
    </w:p>
    <w:p w14:paraId="41EA4A7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4369768" w14:textId="7D053898"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AC78CA">
        <w:rPr>
          <w:rFonts w:ascii="Arial Narrow" w:hAnsi="Arial Narrow" w:cs="Arial"/>
          <w:b/>
          <w:i/>
          <w:sz w:val="24"/>
          <w:szCs w:val="24"/>
        </w:rPr>
        <w:t>ii.</w:t>
      </w:r>
      <w:r w:rsidRPr="007956CA">
        <w:rPr>
          <w:rFonts w:ascii="Arial Narrow" w:hAnsi="Arial Narrow" w:cs="Arial"/>
          <w:i/>
          <w:sz w:val="24"/>
          <w:szCs w:val="24"/>
        </w:rPr>
        <w:t xml:space="preserve"> En términos de lo anteriormente señalado, y en relación con los antecedentes previamente descritos en el presente recurso, es dable considerar que el hecho de que la resolución impugnada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 xml:space="preserve"> de fecha 11 de marzo de 2020, a través de la cual la autoridad demandada negó la expedición de la Licencia de Uso de Suelo de Funcionamiento a mi mandante, haya sido sustituida como lo refiere la Sala A quo, no puede llegar a implicar de forma alguna que el objeto o materia del juicio haya dejado de existir.</w:t>
      </w:r>
    </w:p>
    <w:p w14:paraId="4D5B602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5838251" w14:textId="141CACB5"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 efecto de evidenciar lo anterior, cabe señalar nuevamente la forma en que los actos impugnados en el juicio contencioso, se encontraban relacionados entre sí, lo cual justificaba que el estudio de legalidad de los mismos se </w:t>
      </w:r>
      <w:r w:rsidRPr="007956CA">
        <w:rPr>
          <w:rFonts w:ascii="Arial Narrow" w:hAnsi="Arial Narrow" w:cs="Arial"/>
          <w:i/>
          <w:sz w:val="24"/>
          <w:szCs w:val="24"/>
        </w:rPr>
        <w:lastRenderedPageBreak/>
        <w:t xml:space="preserve">realizara en su conjunto, pues los mismos son consecuencias unos de otros, y con independencia de que la resolución contenida en el oficio número </w:t>
      </w:r>
      <w:r w:rsidR="0050127A">
        <w:rPr>
          <w:rFonts w:ascii="Arial Narrow" w:hAnsi="Arial Narrow" w:cs="Arial"/>
          <w:i/>
          <w:color w:val="FF0000"/>
          <w:sz w:val="24"/>
          <w:szCs w:val="24"/>
        </w:rPr>
        <w:t>**********</w:t>
      </w:r>
      <w:r w:rsidRPr="007956CA">
        <w:rPr>
          <w:rFonts w:ascii="Arial Narrow" w:hAnsi="Arial Narrow" w:cs="Arial"/>
          <w:i/>
          <w:sz w:val="24"/>
          <w:szCs w:val="24"/>
        </w:rPr>
        <w:t>de fecha 11 de marzo de 2020 haya sido "sustituida" como lo refiere la Sala A quo, la misma si se concretó y dejó huella en la esfera jurídica de mi mandante, por lo que es claro que la misma continúa generándole perjuicio a mi mandante.</w:t>
      </w:r>
    </w:p>
    <w:p w14:paraId="612B3D5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2DCD2E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 En fecha 28 de febrero de 2020, mi mandante solicitó la autorización de la Licencia de Uso de Suelo para Funcionamiento para una "granja avícola", respecto del predio de su propiedad.</w:t>
      </w:r>
    </w:p>
    <w:p w14:paraId="7C93A66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763D05A" w14:textId="2A6A071A"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b) Mediante resolución contenida en el oficio </w:t>
      </w:r>
      <w:r w:rsidR="0050127A">
        <w:rPr>
          <w:rFonts w:ascii="Arial Narrow" w:hAnsi="Arial Narrow" w:cs="Arial"/>
          <w:i/>
          <w:color w:val="FF0000"/>
          <w:sz w:val="24"/>
          <w:szCs w:val="24"/>
        </w:rPr>
        <w:t>**********</w:t>
      </w:r>
      <w:r w:rsidRPr="007956CA">
        <w:rPr>
          <w:rFonts w:ascii="Arial Narrow" w:hAnsi="Arial Narrow" w:cs="Arial"/>
          <w:i/>
          <w:sz w:val="24"/>
          <w:szCs w:val="24"/>
        </w:rPr>
        <w:t xml:space="preserve">de fecha 11 de marzo de 2020, misma que no fue consentida por mi mandante al haber sido controvertida en la demanda de nulidad, el Director de Desarrollo Urbano y Catastro Municipal del Municipio de Soledad de Graciano Sánchez, San Luis Potosí, informó que </w:t>
      </w:r>
      <w:r w:rsidRPr="00614399">
        <w:rPr>
          <w:rFonts w:ascii="Arial Narrow" w:hAnsi="Arial Narrow" w:cs="Arial"/>
          <w:b/>
          <w:i/>
          <w:sz w:val="24"/>
          <w:szCs w:val="24"/>
          <w:u w:val="single"/>
        </w:rPr>
        <w:t>no se autorizaba</w:t>
      </w:r>
      <w:r w:rsidRPr="007956CA">
        <w:rPr>
          <w:rFonts w:ascii="Arial Narrow" w:hAnsi="Arial Narrow" w:cs="Arial"/>
          <w:i/>
          <w:sz w:val="24"/>
          <w:szCs w:val="24"/>
        </w:rPr>
        <w:t xml:space="preserve"> la Licencia de Uso de Suelo de Funcionamiento para Granja Avícola, en virtud de que no era factible con base en el Anexo 2 de las normas de Uso de Suelo vigentes, esto conforme al Plan del Centro de Población Estratégico San Luis Potosí - Soledad de Graciano Sánchez.</w:t>
      </w:r>
    </w:p>
    <w:p w14:paraId="5B3CEE2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B8A1A4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ese sentido, derivado de diversos acercamientos efectuados con la autoridad, le fue informado a mi mandante que tenía que realizar el trámite de cambio de uso de suelo, al considerar que la actividad de mi mandante no podía ser desempeñada dentro de una Zona considerada como Área Silvestre, en términos del Plan del Centro de Población Estratégico San Luis Potos</w:t>
      </w:r>
      <w:r>
        <w:rPr>
          <w:rFonts w:ascii="Arial Narrow" w:hAnsi="Arial Narrow" w:cs="Arial"/>
          <w:i/>
          <w:sz w:val="24"/>
          <w:szCs w:val="24"/>
        </w:rPr>
        <w:t>í - Soledad de Graciano Sánchez.</w:t>
      </w:r>
    </w:p>
    <w:p w14:paraId="0C1DE44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1CBB8F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Desde aquí, podrá observar esa H. Sala Superior, que los efectos de esta resolución se concretaron por primera vez en la esfera jurídica de mi mandante, pues a través de la misma se le negó la Licencia de Uso de Suelo de Funcionamiento para Granja Avícola, y como consecuencia de ello tenía que realizar el trámite de cambio de uso de suelo, lo cual se encontraba totalmente injustificado, pues tal y como se plasmó desde el escrito inicial de demanda, la actividad de mi mandante si podía ser desempeñada dentro de una zona considerada como Área Silvestre.</w:t>
      </w:r>
    </w:p>
    <w:p w14:paraId="2F83732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0E6A65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 Ante un acto arbitrario de clausura del inmueble de mi mandante, y dado las consecuencias económicas que ello representaba para ésta, así como para evitar la muerte de las aves de corral que se encuentran en las granjas de mi mandante y, en consecuencia, evitar un problema sanitario grave; es que en fecha 16 de junio de 2020 mi mandante procedió a celebrar un "Convenio de Reconocimiento de Obligación de Pago" con el Ayuntamiento de Soledad de Graciano Sánchez, San Luis Potosí.</w:t>
      </w:r>
    </w:p>
    <w:p w14:paraId="0B894B4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D18ADB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 través de dicho Convenio, se estableció que mi mandante reconocía su obligación de pago de derechos, como lo son por la licencia de </w:t>
      </w:r>
      <w:r w:rsidRPr="00614399">
        <w:rPr>
          <w:rFonts w:ascii="Arial Narrow" w:hAnsi="Arial Narrow" w:cs="Arial"/>
          <w:i/>
          <w:sz w:val="24"/>
          <w:szCs w:val="24"/>
          <w:u w:val="single"/>
        </w:rPr>
        <w:t xml:space="preserve">cambio de uso de suelo </w:t>
      </w:r>
      <w:r w:rsidRPr="007956CA">
        <w:rPr>
          <w:rFonts w:ascii="Arial Narrow" w:hAnsi="Arial Narrow" w:cs="Arial"/>
          <w:i/>
          <w:sz w:val="24"/>
          <w:szCs w:val="24"/>
        </w:rPr>
        <w:t>y el pago de refrendo de la licencia de funcionamiento correspondiente al año 2020.</w:t>
      </w:r>
    </w:p>
    <w:p w14:paraId="26CC382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3938D6F" w14:textId="34E13E85" w:rsidR="00177FB2" w:rsidRPr="00614399" w:rsidRDefault="00177FB2" w:rsidP="00177FB2">
      <w:pPr>
        <w:pStyle w:val="Prrafodelista"/>
        <w:widowControl w:val="0"/>
        <w:spacing w:after="0" w:line="240" w:lineRule="auto"/>
        <w:ind w:left="567" w:right="618"/>
        <w:jc w:val="both"/>
        <w:rPr>
          <w:rFonts w:ascii="Arial Narrow" w:hAnsi="Arial Narrow" w:cs="Arial"/>
          <w:i/>
          <w:sz w:val="24"/>
          <w:szCs w:val="24"/>
          <w:u w:val="single"/>
        </w:rPr>
      </w:pPr>
      <w:r w:rsidRPr="007956CA">
        <w:rPr>
          <w:rFonts w:ascii="Arial Narrow" w:hAnsi="Arial Narrow" w:cs="Arial"/>
          <w:i/>
          <w:sz w:val="24"/>
          <w:szCs w:val="24"/>
        </w:rPr>
        <w:t xml:space="preserve">De este acto en particular, será claro para esa H. Sala Superior que la emisión de la resolución contenida en el oficio </w:t>
      </w:r>
      <w:r w:rsidR="0050127A">
        <w:rPr>
          <w:rFonts w:ascii="Arial Narrow" w:hAnsi="Arial Narrow" w:cs="Arial"/>
          <w:i/>
          <w:color w:val="FF0000"/>
          <w:sz w:val="24"/>
          <w:szCs w:val="24"/>
        </w:rPr>
        <w:t>**********</w:t>
      </w:r>
      <w:r w:rsidRPr="007956CA">
        <w:rPr>
          <w:rFonts w:ascii="Arial Narrow" w:hAnsi="Arial Narrow" w:cs="Arial"/>
          <w:i/>
          <w:sz w:val="24"/>
          <w:szCs w:val="24"/>
        </w:rPr>
        <w:t xml:space="preserve">de fecha 11 de marzo de detonó que mi mandante tuviera que realizar un pago por el cambio de uso de suelo, </w:t>
      </w:r>
      <w:r w:rsidRPr="00614399">
        <w:rPr>
          <w:rFonts w:ascii="Arial Narrow" w:hAnsi="Arial Narrow" w:cs="Arial"/>
          <w:i/>
          <w:sz w:val="24"/>
          <w:szCs w:val="24"/>
          <w:u w:val="single"/>
        </w:rPr>
        <w:t>por lo que los efectos de esta resolución se siguieron concretando en la esfera jurídica de mi mandante.</w:t>
      </w:r>
    </w:p>
    <w:p w14:paraId="4EA59D8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29A66AB" w14:textId="620C6B94"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En efecto, de no ser por la resolución contenida en el oficio </w:t>
      </w:r>
      <w:r w:rsidR="0050127A">
        <w:rPr>
          <w:rFonts w:ascii="Arial Narrow" w:hAnsi="Arial Narrow" w:cs="Arial"/>
          <w:i/>
          <w:color w:val="FF0000"/>
          <w:sz w:val="24"/>
          <w:szCs w:val="24"/>
        </w:rPr>
        <w:t>**********</w:t>
      </w:r>
      <w:r w:rsidRPr="007956CA">
        <w:rPr>
          <w:rFonts w:ascii="Arial Narrow" w:hAnsi="Arial Narrow" w:cs="Arial"/>
          <w:i/>
          <w:sz w:val="24"/>
          <w:szCs w:val="24"/>
        </w:rPr>
        <w:t xml:space="preserve">de fecha 11 de marzo de 2020, no se habría clausurado el inmueble de mi mandante, y tampoco se habría llegado al extremo de celebrar bajo protesta un Convenio de Reconocimiento de Obligación de Pago por la licencia de cambio de uso de suelo, pues tal y como se manifestó desde el escrito inicial </w:t>
      </w:r>
      <w:r w:rsidRPr="007956CA">
        <w:rPr>
          <w:rFonts w:ascii="Arial Narrow" w:hAnsi="Arial Narrow" w:cs="Arial"/>
          <w:i/>
          <w:sz w:val="24"/>
          <w:szCs w:val="24"/>
        </w:rPr>
        <w:lastRenderedPageBreak/>
        <w:t>de demanda, el uso de suelo previamente existente era plenamente compatible con la actividad desarrollada por mi mandante.</w:t>
      </w:r>
    </w:p>
    <w:p w14:paraId="3861814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FA9E58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Convenio que además, fue impugnado por mi mandante con el objeto de no consentir su contenido y que, dicho sea de paso, la Sala A quo fue omisa en pronunciarse respecto de los argumentos hechos valer en  contra del mismo, no obstante a través del acuerdo de admisión de demanda estableció que lo haría.</w:t>
      </w:r>
    </w:p>
    <w:p w14:paraId="03D81AC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487315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ahí la dependencia de los actos impugnados unos de otros, por lo que su ilegalidad debió haber sido analizada en su conjunto.</w:t>
      </w:r>
    </w:p>
    <w:p w14:paraId="217D68B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326391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 En fecha 3 de agosto de 2020, fue entregada a mi mandante la Licencia de uso de suelo de funcionamiento de fecha 16 de julio de 2020, con número de folio DU Y CM/417/2020, emitida por el Director de Desarrollo Urbano y Catastro Municipal del Municipio de Soledad de Graciano Sánchez, San Luis Potosí.</w:t>
      </w:r>
    </w:p>
    <w:p w14:paraId="4C68618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B72206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dicha Licencia de uso de suelo de funcionamiento, no fue emitida en los términos que fue solicitada en un principio por mi mandante, pues de la misma inclusive se desprende que el Director de Desarrollo Urbano y Catastro Municipal, clasifica el inmueble de mi mandante con un uso de suelo perteneciente al grupo de "Industria", subgrupo "Agroindustria", destinada al uso de "Granja Avícola".</w:t>
      </w:r>
    </w:p>
    <w:p w14:paraId="4452F22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D1FB17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en términos de lo dispuesto en el Plan del Centro de Población Estratégico San Luis Potosí - Soledad de Graciano Sánchez.</w:t>
      </w:r>
    </w:p>
    <w:p w14:paraId="03E89F3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E2FD6AC" w14:textId="77777777" w:rsidR="00177FB2" w:rsidRPr="00614399" w:rsidRDefault="00177FB2" w:rsidP="00177FB2">
      <w:pPr>
        <w:pStyle w:val="Prrafodelista"/>
        <w:widowControl w:val="0"/>
        <w:spacing w:after="0" w:line="240" w:lineRule="auto"/>
        <w:ind w:left="567" w:right="618"/>
        <w:jc w:val="both"/>
        <w:rPr>
          <w:rFonts w:ascii="Arial Narrow" w:hAnsi="Arial Narrow" w:cs="Arial"/>
          <w:i/>
          <w:sz w:val="24"/>
          <w:szCs w:val="24"/>
          <w:u w:val="single"/>
        </w:rPr>
      </w:pPr>
      <w:r w:rsidRPr="007956CA">
        <w:rPr>
          <w:rFonts w:ascii="Arial Narrow" w:hAnsi="Arial Narrow" w:cs="Arial"/>
          <w:i/>
          <w:sz w:val="24"/>
          <w:szCs w:val="24"/>
        </w:rPr>
        <w:t xml:space="preserve">De este acto en particular, será claro para esa H. Sala Superior que la emisión de la resolución contenida en el oficio MSGS/DUYCM/2979/2020 de fecha 11 de marzo de 2020, detonó que mi mandante tuviera que realizar un pago por el cambio de uso de suelo, y se emitiera esta Licencia de uso de suelo de funcionamiento clasificando el inmueble de mi mandante en una actividad incompatible a lo que realiza, </w:t>
      </w:r>
      <w:r w:rsidRPr="00614399">
        <w:rPr>
          <w:rFonts w:ascii="Arial Narrow" w:hAnsi="Arial Narrow" w:cs="Arial"/>
          <w:i/>
          <w:sz w:val="24"/>
          <w:szCs w:val="24"/>
          <w:u w:val="single"/>
        </w:rPr>
        <w:t>por lo que los efectos de esta resolución se siguieron concretando en la esfera jurídica de mi mandante.</w:t>
      </w:r>
    </w:p>
    <w:p w14:paraId="5C4B3CF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D6F416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efecto, de no ser por la resolución contenida en el oficio MSGS/DUYCM/2979/2020 de fecha 11 de marzo de 2020, no se habría emitido la Licencia de uso de suelo de funcionamiento de fecha 16 de julio de 2020, con número de folio DUY CM/417/2020, pues aquella motivó un supuesto cambio de uso de suelo que se encontraba injustificado, en la medida en que el uso de suelo previamente existente era plenamente compatible con la actividad desarrollada por mi mandante.</w:t>
      </w:r>
    </w:p>
    <w:p w14:paraId="402BD1B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C1880F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ahí la dependencia de los actos impugnados anos de otros, por lo que su ilegalidad debió haber sido analizada en su conjunto, y no sobreseer el juicio por cuanto hace a la resolución contenidos en el oficio MSGS/DUYCM/2979/2020 de fecha 11 de marzo de 2020.</w:t>
      </w:r>
    </w:p>
    <w:p w14:paraId="0319564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E0EEEA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Conforme a lo anterior, es claro que con independencia que se haya emitido una nueva resolución que concediera la Licencia de Uso de Suelo de Funcionamiento a favor de mi mandante, tal situación no puede implicar que el objeto o materia del juicio haya dejado de existir por cuanto hace la </w:t>
      </w:r>
      <w:r w:rsidRPr="007956CA">
        <w:rPr>
          <w:rFonts w:ascii="Arial Narrow" w:hAnsi="Arial Narrow" w:cs="Arial"/>
          <w:i/>
          <w:sz w:val="24"/>
          <w:szCs w:val="24"/>
        </w:rPr>
        <w:lastRenderedPageBreak/>
        <w:t>resolución contenida en el oficio MSGS/DUYCM/2979/2020 de fecha 11 de marzo de 2020, considerando que los efectos de una sentencia favorable a mi mandante si se verán reflejados en su esfera jurídica, puesto que en el caso particular, los efectos de los actos reclamados:</w:t>
      </w:r>
    </w:p>
    <w:p w14:paraId="1DE5695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507DB4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1. Si se concretaron en la esfera jurídica de mi mandante y</w:t>
      </w:r>
    </w:p>
    <w:p w14:paraId="1974A32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AA450B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2. Si dejaron huella en la esfera jurídica de la actora.</w:t>
      </w:r>
    </w:p>
    <w:p w14:paraId="7CB9106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2B7721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si se considera que tales violaciones se concretaron en el ámbito patrimonial de mi mandante.</w:t>
      </w:r>
    </w:p>
    <w:p w14:paraId="32A1F15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9B48DE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efecto, de no ser por la negativa de expedición de la Licencia de Uso de Suelo de Funcionamiento:</w:t>
      </w:r>
    </w:p>
    <w:p w14:paraId="6EB4444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4AB8F6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1. No se habría clausurado el inmueble de mi mandante, pues se habría emitido la Licencia de Uso de Suelo de Funcionamiento que motivo tal clausura.</w:t>
      </w:r>
    </w:p>
    <w:p w14:paraId="14A99DA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A12598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2. No se habría celebrado un Convenio de Reconocimiento de Obligación de Pago a través del cual erogó la cantidad de 51'424,512.00, pues se habría emitido la Licencia de Uso de Suelo de Funcionamiento, al ser compatible su actividad para desarrollarse en una Zona considerada como Área Silvestre.</w:t>
      </w:r>
    </w:p>
    <w:p w14:paraId="3D01508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67C407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3. No se habría emitido la Licencia de uso de suelo de funcionamiento de fecha 16 de julio de 2020, con número de folio DU Y CM/417/2020, pues además de amparar una actividad incompatible a la que realiza mi mandante, no tiene razón de ser en la medida en que la </w:t>
      </w:r>
      <w:r>
        <w:rPr>
          <w:rFonts w:ascii="Arial Narrow" w:hAnsi="Arial Narrow" w:cs="Arial"/>
          <w:i/>
          <w:sz w:val="24"/>
          <w:szCs w:val="24"/>
        </w:rPr>
        <w:t>a</w:t>
      </w:r>
      <w:r w:rsidRPr="007956CA">
        <w:rPr>
          <w:rFonts w:ascii="Arial Narrow" w:hAnsi="Arial Narrow" w:cs="Arial"/>
          <w:i/>
          <w:sz w:val="24"/>
          <w:szCs w:val="24"/>
        </w:rPr>
        <w:t>ctividad que desde siempre ha desarrollado es plenamente compatible con una Zona considerada como Área Silvestre.</w:t>
      </w:r>
    </w:p>
    <w:p w14:paraId="17C2BA4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470F88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lo anterior, que se diga que los actos impugnados dentro del presente juicio, necesariamente tendrían que haberse analizado en su conjunto, al ser consecuencia unos de otros, por lo que es claro que los mismos trascendieron en la esfera jurídica de mi mandante.</w:t>
      </w:r>
    </w:p>
    <w:p w14:paraId="1CFC335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24B06B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razón de lo anterior, es que mi mandante considera que no le asiste la razón a la Sala A quo en el momento en el que sobresee el juicio contencioso administrativo por cuanto hace a la resolución contenida en el oficio MSGS/DUYCM/2979/2020 de fecha 11 de marzo de 2020.</w:t>
      </w:r>
    </w:p>
    <w:p w14:paraId="634E9B4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9A9224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Ello, si se toman en consideración los siguientes factores previamente descritos:</w:t>
      </w:r>
    </w:p>
    <w:p w14:paraId="4895E6C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9C3FF7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1. El debate a dilucidar se encontraba íntimamente relacionado con la resolución contenida en el oficio MSGS/DUYCM/2979/2020 de fecha 11 de marzo de 2020, en la medida en que su emisión detonó los subsecuentes actos impugnados, como lo es el Convenio de reconocimiento de obligación de pago, así como la Licencia de uso de suelo con número de folio DU Y CM/417/2020.</w:t>
      </w:r>
    </w:p>
    <w:p w14:paraId="2F2D676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BE3CF9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Pensar lo contrario, haría en todo momento nugatorio el derecho de los gobernados a impugnar los actos administrativos, pues bastará que las autoridades modifiquen los actos en cualquiera de sus puntos, para que sin más, la Sala Unitaria se encuentre impedida para analizar el debate de legalidad.</w:t>
      </w:r>
    </w:p>
    <w:p w14:paraId="6D9F245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D42648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2. Los actos impugnados, y en particular la resolución contenida en el oficio MSGS/DUYCM/2979/2020 de fecha 11 de marzo de 2020, si se concretaron en la esfera jurídica de mi mandante, así como como también, dejaron huella en la misma.</w:t>
      </w:r>
    </w:p>
    <w:p w14:paraId="4717E5D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ADA200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efecto, la violación se hizo evidente desde el momento en que las autoridades demandadas negaron la autorización de la Licencia de Uso de Suelo a mi mandante, lo cual trajo como consecuencia:</w:t>
      </w:r>
    </w:p>
    <w:p w14:paraId="1D0CB1F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B136A4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 La clausura de su establecimiento, por no contar con dicha Licencia de Uso de Suelo, misma que fue negada sin justificación, en la medida en que la actividad que desarrolla en su inmueble es compatible para desarrollarse en una Zona considerada como Área Silvestre.</w:t>
      </w:r>
    </w:p>
    <w:p w14:paraId="02E2009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33C601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b. Para evitar afectaciones ambientales, y pérdidas económicas importantes derivado de dicha clausura, mi mandante se vio obligada a celebrar un Convenio de reconocimiento de obligación de pago, a través del cual se comprometió a pagar la cantidad de $1'424,512.00, por la emisión de una Licencia de Cambio de Uso de Suelo, misma que no tenía razón de ser, toda vez que la actividad que desarrolla en su inmueble es compatible para desarrollarse en una Zona considerada como Área Silvestre.</w:t>
      </w:r>
    </w:p>
    <w:p w14:paraId="2E3E382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3FD280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 La emisión de una Licencia de uso de suelo que resulta incompatible con la actividad que desarrolla mi mandante pues se encuentra relacionada con una actividad industrial, no así con una actividad agropecuaria que es la que mi mandante siempre ha desarrollado dentro de su inmueble.</w:t>
      </w:r>
    </w:p>
    <w:p w14:paraId="41F66C8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5AEC09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este sentido, la única forma en la que la Licencia de Uso de Suelo hubiera redimido los daños causados a mi mandante y entonces no hubiera dejado huella en su esfera jurídica hubiera sido que hubiese sido emitida en los términos primeramente planteados.</w:t>
      </w:r>
    </w:p>
    <w:p w14:paraId="3C1F9EF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421A34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términos de todo lo anterior, será evidente para ese H. Sala Superior que la sentencia recurrida resulta ilegal, considerando que en el caso particular no se actualizaba la causal de improcedencia comprendida en la fracción IX del artículo 228 del Código Procesal Administrativo para el Estado de San Luis Potosí.</w:t>
      </w:r>
    </w:p>
    <w:p w14:paraId="39827E5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E35A06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No pasa inadvertido lo sostenido por la Sala A quo al sostener que a su vez se actualiza la causal de improcedencia prevista en la fracción V del artículo 228 del Código Procesal Administrativo para el Estado de San Luis Potosí, al considerar que la resolución contenida en el oficio MSGS/DUYCM/2979/2020 de fecha 11 de marzo de 2020 se trata de un acto consumado de modo irreparable.</w:t>
      </w:r>
    </w:p>
    <w:p w14:paraId="4A567BB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2D5B49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es así toda vez que pareciera que la Sala A quo pasa por desapercibido el hecho de que mi mandante controvirtió el acto emitido por la autoridad fiscal, acreditando a través de su demanda la legalidad de la resolución, así como del plan de desarrollo urbano en el que se fundamentó la misma.</w:t>
      </w:r>
    </w:p>
    <w:p w14:paraId="0B7EB24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68AB73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Esto es, no puede considerarse que la resolución contenida dentro del oficio MSGS/DUYCM/2979/2020 de fecha 11 de marzo de 2020 se trata de un acto consumado de modo irreparable, pues precisamente a través del juicio de nulidad lo que se pretende era que se emita la licencia solicitada por mi mandante en los términos en dos que fue solicitada, situación que se puede lograr en términos de lo previsto dentro del artículo 251 del Código Procesal </w:t>
      </w:r>
      <w:r w:rsidRPr="007956CA">
        <w:rPr>
          <w:rFonts w:ascii="Arial Narrow" w:hAnsi="Arial Narrow" w:cs="Arial"/>
          <w:i/>
          <w:sz w:val="24"/>
          <w:szCs w:val="24"/>
        </w:rPr>
        <w:lastRenderedPageBreak/>
        <w:t>Administrativo para el Estado de San Luis Potosí.</w:t>
      </w:r>
    </w:p>
    <w:p w14:paraId="62A2CBB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A6ECB9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Sin embargo, será claro para esa H. Sala Superior, que si resultaba posible dejar sin efectos todos los actos impugnados, pues el efecto que se le debía imprimir a la sentencia dictada dentro del juicio, debió consistir en reconocer que mi mandante podía desempeñar su actividad de Granja Avícola, dentro de la Zona considerada como Área Silvestre, lo cual desde luego traería como consecuencia dejar sin efectos la resolución contenida en el oficio MSGS/DUYCM/2979/2020 de fecha 11 de marzo de 2020, así como las subsecuentes.</w:t>
      </w:r>
    </w:p>
    <w:p w14:paraId="2784D64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E1CBEF4" w14:textId="25D777C9"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En virtud de lo anterior, una vez demostrada la ilegalidad de la sentencia recurrida, lo procedente será que se revoque, se analicen todos los actos impugnados por mi mandante, y con fundamento en lo dispuesto por los artículos 250, fracción IV, 251 y 252 del Código Procesal Administrativo para el Estado de San Luis Potosí, se declare la nulidad lisa y llana de los actos impugnados, y se reconozca que al predio ubicado en la Carretera a la </w:t>
      </w:r>
      <w:r w:rsidR="0050127A">
        <w:rPr>
          <w:rFonts w:ascii="Arial Narrow" w:hAnsi="Arial Narrow" w:cs="Arial"/>
          <w:i/>
          <w:color w:val="FF0000"/>
          <w:sz w:val="24"/>
          <w:szCs w:val="24"/>
        </w:rPr>
        <w:t>**********</w:t>
      </w:r>
      <w:r w:rsidRPr="007956CA">
        <w:rPr>
          <w:rFonts w:ascii="Arial Narrow" w:hAnsi="Arial Narrow" w:cs="Arial"/>
          <w:i/>
          <w:sz w:val="24"/>
          <w:szCs w:val="24"/>
        </w:rPr>
        <w:t>le corresponde un uso de suelo "agropecuario", compatible con el área silvestre en la que se encuentra ubicado, ordenando devolver las cantidades que mi mandante tuvo que erogar por un cambio de uso de suelo que resulta ilegal, y que se considere para efectos de la emisión de cualquier tipo de permisos y/o Licencias, que mi mandante realiza actividades "agropecuarias", no así "agroindustriales" o "comerciales".</w:t>
      </w:r>
    </w:p>
    <w:p w14:paraId="1FD65EB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DFCAF0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614399">
        <w:rPr>
          <w:rFonts w:ascii="Arial Narrow" w:hAnsi="Arial Narrow" w:cs="Arial"/>
          <w:b/>
          <w:i/>
          <w:sz w:val="24"/>
          <w:szCs w:val="24"/>
        </w:rPr>
        <w:t>D.</w:t>
      </w:r>
      <w:r w:rsidRPr="007956CA">
        <w:rPr>
          <w:rFonts w:ascii="Arial Narrow" w:hAnsi="Arial Narrow" w:cs="Arial"/>
          <w:i/>
          <w:sz w:val="24"/>
          <w:szCs w:val="24"/>
        </w:rPr>
        <w:t xml:space="preserve"> La sentencia que por esta vía se recurre es ilegal, en la en la que la Sala A quo estima incorrectamente que en el caso particular se actualiza el sobreseimiento del juicio respecto de la resolución contenida en el oficio número MSGS/DUYCM/2979/2020, de fecha 11 de marzo de 2020; contraviniendo lo dispuesto por el artículo 250, fracciones II y IV del Código Procesal Administrativo para el Estado de San Luis Potosí, en relación con los artículos 14 y 16 Constitucionales.</w:t>
      </w:r>
    </w:p>
    <w:p w14:paraId="61D2A45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8F845F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toda vez que la Sala A quo pierde de vista que con la emisión de la Licencia de uso de suelo con número de folio DU Y CM/417/2020, no se da una reparación a la violación cometida a través de la resolución contenida en el oficio número MSGS/DUYCM/2979/2020 de fecha 11 de marzo de 2020, a través de la cual se reconozca que al predio ubicado en la Carretera a la Tinaja s/n; Fracción Tinaja; Municipio de Soledad de Graciano Sánchez, le corresponde un uso de suelo "agropecuario", compatible con el área silvestre en la que se encuentra ubicado, ordenando devolver las cantidades que mi mandante tuvo que erogar por un cambio de uso de suelo que resulta ilegal, y que se considere para efectos de la emisión de cualquier tipo de permisos y/o Licencias, que mi mandante realiza actividades "agropecuarias", no así "agroindustriales" o "comerciales".</w:t>
      </w:r>
    </w:p>
    <w:p w14:paraId="17A03DA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96A7A0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 fin de analizar lo anterior, conviene precisar que la fracción IX del artículo 228, así como el artículo 251, ambos del Código Procesal Administrativo para el Estado de San Luis Potosí establecen lo siguiente:</w:t>
      </w:r>
    </w:p>
    <w:p w14:paraId="04D90FA8" w14:textId="77777777" w:rsidR="00177FB2" w:rsidRPr="00614399" w:rsidRDefault="00177FB2" w:rsidP="00177FB2">
      <w:pPr>
        <w:widowControl w:val="0"/>
        <w:spacing w:after="0" w:line="240" w:lineRule="auto"/>
        <w:ind w:right="618"/>
        <w:jc w:val="both"/>
        <w:rPr>
          <w:rFonts w:ascii="Arial Narrow" w:hAnsi="Arial Narrow" w:cs="Arial"/>
          <w:i/>
          <w:sz w:val="24"/>
          <w:szCs w:val="24"/>
        </w:rPr>
      </w:pPr>
    </w:p>
    <w:p w14:paraId="163A45B9" w14:textId="77777777" w:rsidR="00177FB2" w:rsidRPr="00614399" w:rsidRDefault="00177FB2" w:rsidP="00177FB2">
      <w:pPr>
        <w:pStyle w:val="Prrafodelista"/>
        <w:widowControl w:val="0"/>
        <w:spacing w:after="0" w:line="240" w:lineRule="auto"/>
        <w:ind w:left="567" w:right="618"/>
        <w:jc w:val="both"/>
        <w:rPr>
          <w:rFonts w:cs="Calibri"/>
          <w:i/>
          <w:sz w:val="24"/>
          <w:szCs w:val="24"/>
        </w:rPr>
      </w:pPr>
      <w:r w:rsidRPr="00614399">
        <w:rPr>
          <w:rFonts w:cs="Calibri"/>
          <w:i/>
          <w:sz w:val="24"/>
          <w:szCs w:val="24"/>
        </w:rPr>
        <w:t>"”Artículo 228, Es improcedente el juicio ante el Tribunal contra actos:</w:t>
      </w:r>
    </w:p>
    <w:p w14:paraId="54918BB2" w14:textId="77777777" w:rsidR="00177FB2" w:rsidRPr="00614399" w:rsidRDefault="00177FB2" w:rsidP="00177FB2">
      <w:pPr>
        <w:pStyle w:val="Prrafodelista"/>
        <w:widowControl w:val="0"/>
        <w:spacing w:after="0" w:line="240" w:lineRule="auto"/>
        <w:ind w:left="567" w:right="618"/>
        <w:jc w:val="both"/>
        <w:rPr>
          <w:rFonts w:cs="Calibri"/>
          <w:i/>
          <w:sz w:val="24"/>
          <w:szCs w:val="24"/>
        </w:rPr>
      </w:pPr>
      <w:r w:rsidRPr="00614399">
        <w:rPr>
          <w:rFonts w:cs="Calibri"/>
          <w:i/>
          <w:sz w:val="24"/>
          <w:szCs w:val="24"/>
        </w:rPr>
        <w:t>(...)</w:t>
      </w:r>
    </w:p>
    <w:p w14:paraId="6EA8FC0F" w14:textId="77777777" w:rsidR="00177FB2" w:rsidRPr="00614399" w:rsidRDefault="00177FB2" w:rsidP="00177FB2">
      <w:pPr>
        <w:pStyle w:val="Prrafodelista"/>
        <w:widowControl w:val="0"/>
        <w:spacing w:after="0" w:line="240" w:lineRule="auto"/>
        <w:ind w:left="567" w:right="618"/>
        <w:jc w:val="both"/>
        <w:rPr>
          <w:rFonts w:cs="Calibri"/>
          <w:i/>
          <w:sz w:val="24"/>
          <w:szCs w:val="24"/>
        </w:rPr>
      </w:pPr>
      <w:r w:rsidRPr="00614399">
        <w:rPr>
          <w:rFonts w:cs="Calibri"/>
          <w:i/>
          <w:sz w:val="24"/>
          <w:szCs w:val="24"/>
        </w:rPr>
        <w:t>IX. Contra actos cuyos efectos legales o materiales hayan cesado o que no puedan surtirse efectos por haber dejado de existir el objeto o materia del mismo;</w:t>
      </w:r>
    </w:p>
    <w:p w14:paraId="63DAC7D4" w14:textId="77777777" w:rsidR="00177FB2" w:rsidRPr="00614399" w:rsidRDefault="00177FB2" w:rsidP="00177FB2">
      <w:pPr>
        <w:pStyle w:val="Prrafodelista"/>
        <w:widowControl w:val="0"/>
        <w:spacing w:after="0" w:line="240" w:lineRule="auto"/>
        <w:ind w:left="567" w:right="618"/>
        <w:jc w:val="both"/>
        <w:rPr>
          <w:rFonts w:cs="Calibri"/>
          <w:i/>
          <w:sz w:val="24"/>
          <w:szCs w:val="24"/>
        </w:rPr>
      </w:pPr>
    </w:p>
    <w:p w14:paraId="5B30FDEF" w14:textId="77777777" w:rsidR="00177FB2" w:rsidRPr="00614399" w:rsidRDefault="00177FB2" w:rsidP="00177FB2">
      <w:pPr>
        <w:pStyle w:val="Prrafodelista"/>
        <w:widowControl w:val="0"/>
        <w:spacing w:after="0" w:line="240" w:lineRule="auto"/>
        <w:ind w:left="567" w:right="618"/>
        <w:jc w:val="both"/>
        <w:rPr>
          <w:rFonts w:cs="Calibri"/>
          <w:i/>
          <w:sz w:val="24"/>
          <w:szCs w:val="24"/>
        </w:rPr>
      </w:pPr>
      <w:r w:rsidRPr="00614399">
        <w:rPr>
          <w:rFonts w:cs="Calibri"/>
          <w:i/>
          <w:sz w:val="24"/>
          <w:szCs w:val="24"/>
        </w:rPr>
        <w:t>(...)."</w:t>
      </w:r>
      <w:r>
        <w:rPr>
          <w:rFonts w:cs="Calibri"/>
          <w:i/>
          <w:sz w:val="24"/>
          <w:szCs w:val="24"/>
        </w:rPr>
        <w:t>”</w:t>
      </w:r>
    </w:p>
    <w:p w14:paraId="018AA593" w14:textId="77777777" w:rsidR="00177FB2" w:rsidRPr="00614399" w:rsidRDefault="00177FB2" w:rsidP="00177FB2">
      <w:pPr>
        <w:widowControl w:val="0"/>
        <w:spacing w:after="0" w:line="240" w:lineRule="auto"/>
        <w:ind w:right="618"/>
        <w:jc w:val="both"/>
        <w:rPr>
          <w:rFonts w:cs="Calibri"/>
          <w:i/>
          <w:sz w:val="24"/>
          <w:szCs w:val="24"/>
        </w:rPr>
      </w:pPr>
    </w:p>
    <w:p w14:paraId="3EFEB385" w14:textId="77777777" w:rsidR="00177FB2" w:rsidRPr="00614399" w:rsidRDefault="00177FB2" w:rsidP="00177FB2">
      <w:pPr>
        <w:pStyle w:val="Prrafodelista"/>
        <w:widowControl w:val="0"/>
        <w:spacing w:after="0" w:line="240" w:lineRule="auto"/>
        <w:ind w:left="567" w:right="618"/>
        <w:jc w:val="both"/>
        <w:rPr>
          <w:rFonts w:cs="Calibri"/>
          <w:i/>
          <w:sz w:val="24"/>
          <w:szCs w:val="24"/>
        </w:rPr>
      </w:pPr>
      <w:r w:rsidRPr="00614399">
        <w:rPr>
          <w:rFonts w:cs="Calibri"/>
          <w:i/>
          <w:sz w:val="24"/>
          <w:szCs w:val="24"/>
        </w:rPr>
        <w:t>"</w:t>
      </w:r>
      <w:r>
        <w:rPr>
          <w:rFonts w:cs="Calibri"/>
          <w:i/>
          <w:sz w:val="24"/>
          <w:szCs w:val="24"/>
        </w:rPr>
        <w:t>”</w:t>
      </w:r>
      <w:r w:rsidRPr="00614399">
        <w:rPr>
          <w:rFonts w:cs="Calibri"/>
          <w:i/>
          <w:sz w:val="24"/>
          <w:szCs w:val="24"/>
        </w:rPr>
        <w:t xml:space="preserve">Artículo 251. Las sentencias definitivas deberán reconocer total o parcialmente la legalidad y validez de la resolución o acto impugnado; declarar total o parcialmente In nulidad de los mismos y </w:t>
      </w:r>
      <w:r w:rsidRPr="00614399">
        <w:rPr>
          <w:rFonts w:cs="Calibri"/>
          <w:i/>
          <w:sz w:val="24"/>
          <w:szCs w:val="24"/>
        </w:rPr>
        <w:lastRenderedPageBreak/>
        <w:t>de las consecuencias que de éstos se deriven, o decretar la nulidad del acto o resolución modificándolos para determinado efecto, debiendo precisar con claridad la forma y términos con que la autoridad debe cumplir, salvo cuando se trate de facultades discrecionales."</w:t>
      </w:r>
      <w:r>
        <w:rPr>
          <w:rFonts w:cs="Calibri"/>
          <w:i/>
          <w:sz w:val="24"/>
          <w:szCs w:val="24"/>
        </w:rPr>
        <w:t>”</w:t>
      </w:r>
    </w:p>
    <w:p w14:paraId="4C39DB3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29BD9D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los numerales en cita puede apreciarse, que la cesación de los efectos del acto impugnado o la imposibilidad para que surta efecto legal alguno, genera la improcedencia del juicio.</w:t>
      </w:r>
    </w:p>
    <w:p w14:paraId="10011FE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631414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Asimismo, en relación con el último dispositivo legal señalado, cabe decir que la sentencia emitida por el Tribunal de Justicia Administrativa de San Luis Potosí, puede reconocer la validez del acto o resolución impugnados, declarar la nulidad en términos generales o en su caso, para determinados efectos.</w:t>
      </w:r>
    </w:p>
    <w:p w14:paraId="7AA2E7C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6A2E86E" w14:textId="77777777" w:rsidR="00177FB2" w:rsidRPr="00614399"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En ese tenor es dable concluir que si bien es cierto, en el juicio de nulidad procede el sobreseimiento por actualizarse alguna causa de improcedencia, en lo particular en aquellos casos en que la autoridad aduzca haber dejado insubsistente la resolución impugnada, sin embargo, </w:t>
      </w:r>
      <w:r w:rsidRPr="00614399">
        <w:rPr>
          <w:rFonts w:ascii="Arial Narrow" w:hAnsi="Arial Narrow" w:cs="Arial"/>
          <w:b/>
          <w:i/>
          <w:sz w:val="24"/>
          <w:szCs w:val="24"/>
          <w:u w:val="single"/>
        </w:rPr>
        <w:t>se estima que para ello resulta indispensable que la referida insubsistencia satisfaga la pretensión del demandante, esto es, que con la referida declaratoria de insubsistencia se obtenga un beneficio equivalente al de la nulidad lisa y llana que se pudiese llegar a decretar en el juicio</w:t>
      </w:r>
    </w:p>
    <w:p w14:paraId="42BB98B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1DE1BF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 este respecto, cabe señalar que del citado artículo 251 del Código Procesal Administrativo para el Estado de San Luis Potosí, se advierte que el legislador previó la posibilidad de obtener una resolución que declarara la nulidad del acto o en su caso, que la determinada "para efectos", de forma de forma tal que ante dicha distinción expresamente consagrada en ley de la materia, puede concluirse que en el sistema contencioso previsto en la referida legislación, si bien no se previó textualmente la existencia de la nulidad lisa y llana, lo cierto es, que de acuerdo con la distinción reseñada, si la resolución que se llegase a emitir no fuera "para efectos", entonces debería entenderse que la nulidad del acto fue plena o lisa y llana.</w:t>
      </w:r>
    </w:p>
    <w:p w14:paraId="30E2AB4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2D12AD2" w14:textId="77777777" w:rsidR="00177FB2" w:rsidRPr="00B251A4"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B251A4">
        <w:rPr>
          <w:rFonts w:ascii="Arial Narrow" w:hAnsi="Arial Narrow" w:cs="Arial"/>
          <w:b/>
          <w:i/>
          <w:sz w:val="24"/>
          <w:szCs w:val="24"/>
          <w:u w:val="single"/>
        </w:rPr>
        <w:t>Distinción la anterior que cobra relevancia, pues acorde con dichas precisiones se puede concluir que la simple determinación de la autoridad demandada de dejar insubsistente el acto impugnado es Insuficiente para generar la improcedencia del juicio intentado en su contra.</w:t>
      </w:r>
    </w:p>
    <w:p w14:paraId="2D6468F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01BD22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esos términos, toda vez que la finalidad perseguida por mi mandante fue obtener la nulidad e insubsistencia del acto impugnado de forma tal que se le repare el derecho subjetivo afectado; luego entonces resulta claro que en el caso particular la resolución contenida en el oficio número MSGS/DUYCM/2979/2020 de 11 de marzo de 2020 le sigue deparando un perjuicio.</w:t>
      </w:r>
    </w:p>
    <w:p w14:paraId="465A0DC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7CEEBC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De lo anterior, que la sentencia recurrida se ilegal, considerando que la Sala A quo no analiza debidamente la actualización de la causa de improcedencia señalada en dicha resolución, puesto que de la resolución consistente en la Licencia de uso de suelo con número de folio DU Y CM/417/2020 de fecha 16 de julio de 2020, que supuestamente sustituyó a la resolución contenida el </w:t>
      </w:r>
      <w:r w:rsidRPr="007956CA">
        <w:rPr>
          <w:rFonts w:ascii="Arial Narrow" w:hAnsi="Arial Narrow" w:cs="Arial"/>
          <w:i/>
          <w:sz w:val="24"/>
          <w:szCs w:val="24"/>
        </w:rPr>
        <w:lastRenderedPageBreak/>
        <w:t>oficio número MSGS/DUYCM/2979/2020 de 11 de marzo de 2020, no se aprecia que se reparara el derecho afectado a mi mandante, como lo es que se reconozca que al predio ubicado en la Carretera a la Tinaja s'n; Fracción Tinaja; Municipio de Soledad de Graciano Sánchez, le corresponde un uso de suelo "agropecuario", compatible con el área silvestre en la que se encuentra ubicado, ordenando devolver las cantidades que mi mandante tuvo que erogar por un cambio de uso de suelo que resulta ilegal, y que se considere para efectos de la emisión de cualquier tipo de permisos y/o Licencias, que mi mandante realiza actividades "agropecuarias", no así "agroindustriales" o "comerciales".</w:t>
      </w:r>
    </w:p>
    <w:p w14:paraId="2836FAE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044DED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Máxime, si se considera que el acto emitido consistente en la Licencia de uso de suelo con número de folio DU Y CM/417/2020 fue emitido respecto de algo que no solicitó mi mandante, esto es, respecto de un uso de suelo agroindustrial, en lugar de agropecuario compatible con una Zona considerada como Área Silvestre.</w:t>
      </w:r>
    </w:p>
    <w:p w14:paraId="4D26A7C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EFFD29D" w14:textId="77777777" w:rsidR="00177FB2" w:rsidRPr="00B251A4"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B251A4">
        <w:rPr>
          <w:rFonts w:ascii="Arial Narrow" w:hAnsi="Arial Narrow" w:cs="Arial"/>
          <w:b/>
          <w:i/>
          <w:sz w:val="24"/>
          <w:szCs w:val="24"/>
          <w:u w:val="single"/>
        </w:rPr>
        <w:t>Pensar en un sentido contrario, equivaldría a desnaturalizar la función del órgano contencioso Estatal, va que carecería de objeto instarlo para revisar lo resuelto por alguna autoridad en el ámbito de su competencia, si al final de cuentas, quedaría a discreción de las autoridades demandadas la continuación del juicio de nulidad, pues en cualquier momento podría dejar insubsistente el acto sin que ello implique la restitución en el derecho afectado a mi mandante.</w:t>
      </w:r>
    </w:p>
    <w:p w14:paraId="173FAFE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14BBC6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Se dice lo anterior, en atención a que la simple insubsistencia del acto no siempre es capaz de reparar la violación que con el se hubiese cometido y lo que no sucedería, en el caso de que, de resultar fundados los argumentos de impugnación expresados por mi mandate, se obtuviera la nulidad lisa y llana de la resolución impugnada.</w:t>
      </w:r>
    </w:p>
    <w:p w14:paraId="5186CD6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B838F90" w14:textId="77777777" w:rsidR="00177FB2" w:rsidRPr="00B251A4"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De esa forma, esa H. Sala Superior podrá concluir, que si mi mandante sometió a la jurisdicción del tribunal contencioso el análisis de la resolución contenida en el oficio número MSGS/DUYCM/2979/2020 de 11 de marzo de 2020, dicho órgano debe emprender su estudio a fin de garantizar la efectividad de dicha instancia administrativa, </w:t>
      </w:r>
      <w:r w:rsidRPr="00B251A4">
        <w:rPr>
          <w:rFonts w:ascii="Arial Narrow" w:hAnsi="Arial Narrow" w:cs="Arial"/>
          <w:b/>
          <w:i/>
          <w:sz w:val="24"/>
          <w:szCs w:val="24"/>
          <w:u w:val="single"/>
        </w:rPr>
        <w:t>por lo que en caso de que se actualizara una causa de improcedencia, la misma deberá decretarse no sólo a la luz de la insubsistencia del acto impugnado, sino previo análisis vinculado estrechamente con la reparación del derecho que fue afectado a mi mandante.</w:t>
      </w:r>
    </w:p>
    <w:p w14:paraId="412758C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D84F55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Máxime, si se considera que el nuevo acto emitido consistente en la Licencia de uso de suelo con número de folio DU Y CM/417/2020 fue emitido respecto de algo que no solicitó mi mandante, esto es, respecto de un uso de suelo agroindustrial, en lugar de agropecuario compatible con una Zona considerada como Área Silvestre, a partir de un convenio (que también fue impugnado) que mi mandante se vio en la necesidad de suscribir pues de lo contrario seguiría surtiendo los efectos la clausura que le fue instaurada, imposibilitando así su operación.</w:t>
      </w:r>
    </w:p>
    <w:p w14:paraId="10C44BB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59A82A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Asimismo, tal y como lo sostuvo el Tercer Tribunal Colegiado en materia Administrativa del Cuarto Circuito, al resolver el amparo directo 08/2012-11, debe entenderse que la satisfacción de la pretensión debe ser en un sentido claro, de forma tal que no genere duda que ante la insubsistencia decretada por la demandada, </w:t>
      </w:r>
      <w:r w:rsidRPr="00B251A4">
        <w:rPr>
          <w:rFonts w:ascii="Arial Narrow" w:hAnsi="Arial Narrow" w:cs="Arial"/>
          <w:b/>
          <w:i/>
          <w:sz w:val="24"/>
          <w:szCs w:val="24"/>
          <w:u w:val="single"/>
        </w:rPr>
        <w:t>a la parte actora se le repararía la violación o ilegalidad hecha valer en el juicio de nulidad que se estaba tramitando, pues de lo contrario, se generaría una indefensión para el accionante en virtud de que su recurso legal (juicio contencioso) se vería truncado al impedirse el análisis del acto cuestionado.</w:t>
      </w:r>
    </w:p>
    <w:p w14:paraId="2393173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CEE449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Es así, pues se reitera, no puede perderse de vista que el objeto de la </w:t>
      </w:r>
      <w:r w:rsidRPr="007956CA">
        <w:rPr>
          <w:rFonts w:ascii="Arial Narrow" w:hAnsi="Arial Narrow" w:cs="Arial"/>
          <w:i/>
          <w:sz w:val="24"/>
          <w:szCs w:val="24"/>
        </w:rPr>
        <w:lastRenderedPageBreak/>
        <w:t>demanda de nulidad es obtener la insubsistencia de la actuación que se impugna con motivo de los vicios destacados por mi mandante y lo cual persigue la imposibilidad de que el mismo se dicte nuevamente en un futuro ante la extinción de dicho acto.</w:t>
      </w:r>
    </w:p>
    <w:p w14:paraId="3BCA23C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4CA873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Soporta lo anterior, por analogía, la jurisprudencia sustentada por el Tercer Tribunal Colegiado del Octavo Circuito, visible a página 1165, Tomo XXVII, del Semanario Judicial de la Federación y su Gaceta, de rubro y texto</w:t>
      </w:r>
    </w:p>
    <w:p w14:paraId="78B23C9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8CB7778" w14:textId="77777777" w:rsidR="00177FB2" w:rsidRPr="00B251A4" w:rsidRDefault="00177FB2" w:rsidP="00177FB2">
      <w:pPr>
        <w:pStyle w:val="Prrafodelista"/>
        <w:widowControl w:val="0"/>
        <w:spacing w:after="0" w:line="240" w:lineRule="auto"/>
        <w:ind w:left="567" w:right="618"/>
        <w:jc w:val="both"/>
        <w:rPr>
          <w:rFonts w:asciiTheme="minorHAnsi" w:hAnsiTheme="minorHAnsi" w:cstheme="minorHAnsi"/>
          <w:i/>
          <w:sz w:val="24"/>
          <w:szCs w:val="24"/>
        </w:rPr>
      </w:pPr>
      <w:r w:rsidRPr="00B251A4">
        <w:rPr>
          <w:rFonts w:asciiTheme="minorHAnsi" w:hAnsiTheme="minorHAnsi" w:cstheme="minorHAnsi"/>
          <w:b/>
          <w:i/>
          <w:sz w:val="24"/>
          <w:szCs w:val="24"/>
        </w:rPr>
        <w:t>"”SOBRESEIMIENTO EN EL JUICIO DE NULIDAD. PARA QUE SE ACTUALICE LA CAUSA PREVISTA EN EL ARTICULO 90., FRACCIÓN IV, DE LA LEY FEDERAL DE PROCEDIMIENTO CONTENCIOSO ADMINISTRATIVO POR REVOCACIÓN DE LA RESOLUCIÓN IMPUGNADA, ES NECESARIO QUE SE SATISFAGA LA PRETENSIÓN DEL DEMANDANTE Y QUE LOS FUNDAMENTOS Y MOTIVOS EN LOS QUE LA AUTORIDAD SE APOYE PARA ELLO EVIDENCIEN CLARAMENTE SU VOLUNTAD DE EXTINGUIR EL ACTO DE MANERA PLENA E INCONDICIONAL SIN QUEDAR EN APTITUD DE REITERARLO.</w:t>
      </w:r>
      <w:r w:rsidRPr="00B251A4">
        <w:rPr>
          <w:rFonts w:asciiTheme="minorHAnsi" w:hAnsiTheme="minorHAnsi" w:cstheme="minorHAnsi"/>
          <w:i/>
          <w:sz w:val="24"/>
          <w:szCs w:val="24"/>
        </w:rPr>
        <w:t xml:space="preserve"> El artículo 215, tercer párrafo, del Código Fiscal de la Federación, vigente hasta el 31 de diciembre de 2005, establecía que al contestar la demanda o hasta antes del cierre de la instrucción, la autoridad demandada en el juicio de nulidad podía revocar la resolución impugnada, mientras que el artículo 203, fracción IV, del citado ordenamiento y vigencia, preveía que procedía el sobreseimiento cuando: "la autoridad demandada deja sin efecto el acto impugnado.". Por otra parte, mediante decreto publicado en el Diario Oficial de la Federación de diciembre de 2005 que entró en vigor él lo. De enero del año siguiente, fue expedida la Ley Federal de Procedimiento Contencioso Administrativo, la cual, en sus artículos 90., IV, y 22, último párrafo, establece lo siguiente: "Artículo 9o. Procede el sobreviniente: IV. Si la autoridad demandada deja sin efecto la resolución o acto impugnados, siempre y cuando se satisfaga la pretensión del demandante y "Articulo 22 En la contestación de la demanda, o hasta antes del cierre de la instrucción, la autoridad demandada podrá allanarse a las pretensiones del demandante o revocar la resolución impugnada". Así, la referida causa de sobreseimiento sufrió una modificación sustancial era su texto, pues ahora, para que el acto impugnado quede sin efecto debido a la revocación administrativa de la autoridad demandada, es necesario que mediante ella hubiese quedado satisfecha la pretensión del demandante a través de sus agravios, siempre que los fundamentos y motivos en los que la autoridad se apoye para revocar la resolución impugnada evidencien claramente su voluntad de extinguir el acto de manera plena e incondicional sin quedar en aptitud de reiterarlo."</w:t>
      </w:r>
      <w:r>
        <w:rPr>
          <w:rFonts w:asciiTheme="minorHAnsi" w:hAnsiTheme="minorHAnsi" w:cstheme="minorHAnsi"/>
          <w:i/>
          <w:sz w:val="24"/>
          <w:szCs w:val="24"/>
        </w:rPr>
        <w:t>”</w:t>
      </w:r>
    </w:p>
    <w:p w14:paraId="60B3384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6837F3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Así, resultará claro para esa H. Sala Superior que la sentencia recurrida se ilegal, considerando que la Sala A quo no analiza debidamente la actualización de la causa de improcedencia señalada en dicha resolución, puesto que de la resolución consistente en la Licencia de uso de suelo con número de folio DU Y CM/417/2020 de fecha 16 de julio de 2020, que </w:t>
      </w:r>
      <w:r w:rsidRPr="007956CA">
        <w:rPr>
          <w:rFonts w:ascii="Arial Narrow" w:hAnsi="Arial Narrow" w:cs="Arial"/>
          <w:i/>
          <w:sz w:val="24"/>
          <w:szCs w:val="24"/>
        </w:rPr>
        <w:lastRenderedPageBreak/>
        <w:t>supuestamente sustituyó a la resolución contenida en el oficio número MSGS/DUYCM/2979/2020 de 11 de marzo de 2020, no se aprecia que se reparara el derecho afectado a mi mandante, como lo es que se reconozca que al predio ubicado en la Carretera a la Tinaja sin; Fracción Tinaja; Municipio de Soledad de Graciano Sánchez, le corresponde un uso de suelo "agropecuario", compatible con el área silvestre en la que se encuentra ubicado, ordenando devolver las cantidades que mi mandante tuvo que erogar por un cambio de uso de suelo que resulta ilegal, y que se considere para de la emisión de cualquier tipo de permisos y/o Licencias, que mi mandante realiza actividades "agropecuarias", no así "agroindustriales" o "comerciales".</w:t>
      </w:r>
    </w:p>
    <w:p w14:paraId="0DB374D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896F1A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Máxime, si se considera que el nuevo acto emitido consistente en la Licencia de uso de suelo con número de folio DU Y CM/417/2020 fue emitido respecto de algo que no solicitó mi mandante, esto es, respecto de un uso de suelo agroindustrial, en lugar de agropecuario compatible con una Zona considerada como Área Silvestre, destacando incluso que mi mandante controvirtió todo lo que se encontró relacionado con los actos que derivaron de esa negativa, evidenciando que en ningún momento existió consentimiento respecto de los mismos.</w:t>
      </w:r>
    </w:p>
    <w:p w14:paraId="11C0F2A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228B9F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Soporta lo anterior en materia de la cesación de efectos, la tesis IV.30.A.12 A (10a.), sustentada por el Tercer Tribunal Colegiado en Materia Administrativa del Cuarto Circuito, visible a página 2380, Libro XIII, Octubre de 2012, Tomo 4, del Semanario Judicial de la Federación y su Gaceta, de rubro y texto siguientes:</w:t>
      </w:r>
    </w:p>
    <w:p w14:paraId="5F74254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5C6229B"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b/>
          <w:i/>
          <w:sz w:val="24"/>
          <w:szCs w:val="24"/>
        </w:rPr>
        <w:t>"”CESACIÓN DE EFECTOS DEL ACTO IMPUGNADO EN EL JUICIO CONTENCIOSO ADMINISTRATIVO. PARA QUE SE ACTUALICE ESA CAUSA DE IMPROCEDENCIA PREVISTA EN EL ARTÍCULO 56, FRACCIÓN VIII, DE LA LEY DE JUSTICIA ADMINISTRATIVA PARA EL ESTADO DE NUEVO LEÓN, AL REVOCAR EL ACTO, LA AUTORIDAD DEBE ATENDER LA PRETENSIÓN DEL ACTOR DE MANERA TOTAL E INTEGRAL.</w:t>
      </w:r>
      <w:r w:rsidRPr="00B251A4">
        <w:rPr>
          <w:rFonts w:cs="Calibri"/>
          <w:i/>
          <w:sz w:val="24"/>
          <w:szCs w:val="24"/>
        </w:rPr>
        <w:t xml:space="preserve"> El artículo 56, fracción VIII, de la Ley de Justicia Administrativa para el Estado de Nuevo León prevé la improcedencia del juicio contencioso cuando hayan cesado los efectos del acto impugnado o cuando este no pueda surtir efecto legal o material alguno. Así, para que tal causa se actualice, es necesario acudir al concepto de "cesación de efectos creado en la jurisprudencia, el cual establece que se producían siempre que los efectos del acto queden destruidos de manera absoluta, completa e incondicional, como si se hubiere reparado o restituido el derecho a quien ejerció la acción, por lo que no basta con que la autoridad simplemente derogue o revoque el acto impugnado, pues tal conducta impide al tribunal analizarlo y genera una violación a los derechos humanos de acceso a la justicia y de tutela judicial efectiva, previstos en los artículos 14, 16 y 17 de la Constitución Política de los Estados Unidos Mexicanos; 8 de la Declaración Universal de los Derechos Humanos, 8, numeral 1 y 25, numeral 1, de la Convención Americana sobre Derechos Humanos, al quedar el demandante sin pronunciamiento de fondo sobre la pretensión planteada en el contencioso. Por tanto, para que se actualice la mencionada causa de improcedencia y, por tanto, decretar el sobreseimiento en el juicio, al revocar el acto impugnado, la autoridad administrativa debe atender la pretensión del actor de manera total e integral, de otro modo, deberá continuar el trámite y la resolución del juicio, porque sólo así prevalecen, se garantizan y protegen los mencionados derechos humanos."”</w:t>
      </w:r>
    </w:p>
    <w:p w14:paraId="1D2A4EA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B192FC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Asimismo, soporta lo anterior la tesis III.40.A.15 A, sustentada por el Cuarto </w:t>
      </w:r>
      <w:r w:rsidRPr="007956CA">
        <w:rPr>
          <w:rFonts w:ascii="Arial Narrow" w:hAnsi="Arial Narrow" w:cs="Arial"/>
          <w:i/>
          <w:sz w:val="24"/>
          <w:szCs w:val="24"/>
        </w:rPr>
        <w:lastRenderedPageBreak/>
        <w:t>Tribunal en Materia Administrativa del Tercer Circuito, visible a página 2099, Tomo XXV, Mayo de 2007, del Semanario Judicial de la Federación y su Gaceta, de rubro y texto siguientes:</w:t>
      </w:r>
    </w:p>
    <w:p w14:paraId="104B5CA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62D7D42"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b/>
          <w:i/>
          <w:sz w:val="24"/>
          <w:szCs w:val="24"/>
        </w:rPr>
        <w:t>“”IMPROCEDENCIA DEL JUICIO ADMINISTRATIVO POR CESACIÓN DE EFECTOS PREVISTA EN EL ARTÍCULO 29, FRACCIÓN VIL, DE LA LEY DE JUSTICIA ADMINISTRATIVA DEL ESTADO DE PARA QUE OPERE ES NECESARIO QUE LOS EFECTOS DE LOS ACTOS IMPUGNADOS HAYAN SIDO DESTRUIDOS DE MANERA ABSOLUTA, COMPLETA E INCONDICIONAL.</w:t>
      </w:r>
      <w:r w:rsidRPr="00B251A4">
        <w:rPr>
          <w:rFonts w:cs="Calibri"/>
          <w:i/>
          <w:sz w:val="24"/>
          <w:szCs w:val="24"/>
        </w:rPr>
        <w:t xml:space="preserve"> Para que opere la causa de improcedencia del juicio prevista en el artículo 29, fracción VII, de la Ley de Justicia Administrativa. Estado de Jalisco, no basta que la autoridad derogue o revoque el acto impugnado, sino que debe hacerlo de tal manera que sus efectos queden destruidos absoluta, completa e incondicionalmente, ya que el numeral 16 de la Ley del Procedimiento Administrativo de la entidad federativa establece las hipótesis en las que procede la nulidad relativa, casos en los que la autoridad puede reiterar el acto que no reúna los requisitos de validez previstos en el diverso precepto 13 de la legislación señalada en último término, una vez que subsane las irregularidades correspondientes; de donde se sigue que cuando se pretende la anulación de un acto a través del juicio administrativo, la orden de la autoridad en el sentido de dejarlo sin efectos puede servir de base para declarar la improcedencia de aquél, solamente si éstos se destruyeron en los términos mencionados."”</w:t>
      </w:r>
    </w:p>
    <w:p w14:paraId="0A2B0E9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0DC7B5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virtud de lo anterior, una vez demostrada la ilegalidad de la sentencia recurrida, lo procedente será que se revoque, se analicen todos los actos impugnados por mi mandante, y con fundamento en lo dispuesto por los 250, fracción IV, 251 y 252 del Código Procesal Administrativo para el Estado de San Luis Potosí, se declare la nulidad lisa y llana de los actos impugnados, y se reconozca que al predio ubicado en la Carretera a la Tinaja s/n; Fracción Tinaja; Municipio de Soledad de Graciano Sánchez, le corresponde un uso de suelo "agropecuario", compatible con el área silvestre en la que se encuentra ubicado, ordenando devolver las cantidades que mi mandante tuvo que erogar por un cambio de uso de suelo que resulta ilegal, y que se considere para efectos de la emisión de cualquier de permisos y/o Licencias, que mi mandante realiza actividades "agropecuarias", no así "agroindustriales" o "comerciales".</w:t>
      </w:r>
    </w:p>
    <w:p w14:paraId="1575B94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0521430" w14:textId="77777777" w:rsidR="00177FB2" w:rsidRPr="00B251A4" w:rsidRDefault="00177FB2" w:rsidP="00177FB2">
      <w:pPr>
        <w:pStyle w:val="Prrafodelista"/>
        <w:widowControl w:val="0"/>
        <w:spacing w:after="0" w:line="240" w:lineRule="auto"/>
        <w:ind w:left="567" w:right="618"/>
        <w:jc w:val="both"/>
        <w:rPr>
          <w:rFonts w:ascii="Arial Narrow" w:hAnsi="Arial Narrow" w:cs="Arial"/>
          <w:b/>
          <w:i/>
          <w:sz w:val="24"/>
          <w:szCs w:val="24"/>
        </w:rPr>
      </w:pPr>
      <w:r w:rsidRPr="00B251A4">
        <w:rPr>
          <w:rFonts w:ascii="Arial Narrow" w:hAnsi="Arial Narrow" w:cs="Arial"/>
          <w:b/>
          <w:i/>
          <w:sz w:val="24"/>
          <w:szCs w:val="24"/>
        </w:rPr>
        <w:t>SEGUNDO. ILEGALIDAD DE LA SENTENCIA RECURRIDA AL SOBRESEER EN EL JUICIO DE AMPARO PROMOVIDO POR MI MANDANTE, RESPECTO DEL PLAN DEL CENTRO DE POBLACIÓN ESTRATÉGICO SAN LUIS POTOSÍ SOLEDAD DE GRACIANO SÁNCHEZ.</w:t>
      </w:r>
    </w:p>
    <w:p w14:paraId="47DD5A24" w14:textId="77777777" w:rsidR="00177FB2" w:rsidRPr="00B251A4" w:rsidRDefault="00177FB2" w:rsidP="00177FB2">
      <w:pPr>
        <w:pStyle w:val="Prrafodelista"/>
        <w:widowControl w:val="0"/>
        <w:spacing w:after="0" w:line="240" w:lineRule="auto"/>
        <w:ind w:left="567" w:right="618"/>
        <w:jc w:val="both"/>
        <w:rPr>
          <w:rFonts w:ascii="Arial Narrow" w:hAnsi="Arial Narrow" w:cs="Arial"/>
          <w:b/>
          <w:i/>
          <w:sz w:val="24"/>
          <w:szCs w:val="24"/>
        </w:rPr>
      </w:pPr>
    </w:p>
    <w:p w14:paraId="11D7F5B7" w14:textId="77777777" w:rsidR="00177FB2" w:rsidRPr="00B251A4"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La sentencia que por esta vía se recurre es ilegal, en la medida en la que la Sala A quo estima incorrectamente que en el caso particular se actualiza el sobreseimiento del juicio respecto del Plan del Centro de Población Estratégico San Luis Potosí Soledad de Graciano Sánchez publicado en el Periódico Oficial del Gobierno del Estado Libre y Soberano de San Luis Potosí en fecha 21 de agosto de 2003; contraviniendo lo dispuesto por el artículo 250, fracciones II y IV del Código Procesal Administrativo para el </w:t>
      </w:r>
      <w:r w:rsidRPr="007956CA">
        <w:rPr>
          <w:rFonts w:ascii="Arial Narrow" w:hAnsi="Arial Narrow" w:cs="Arial"/>
          <w:i/>
          <w:sz w:val="24"/>
          <w:szCs w:val="24"/>
        </w:rPr>
        <w:lastRenderedPageBreak/>
        <w:t>Estado de San Luis Potosí, en relación con los artí</w:t>
      </w:r>
      <w:r>
        <w:rPr>
          <w:rFonts w:ascii="Arial Narrow" w:hAnsi="Arial Narrow" w:cs="Arial"/>
          <w:i/>
          <w:sz w:val="24"/>
          <w:szCs w:val="24"/>
        </w:rPr>
        <w:t>culos 14 y 16 Constitucionales.</w:t>
      </w:r>
    </w:p>
    <w:p w14:paraId="24FA30C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D2DAD64" w14:textId="77777777" w:rsidR="00177FB2" w:rsidRPr="00B251A4" w:rsidRDefault="00177FB2" w:rsidP="00177FB2">
      <w:pPr>
        <w:pStyle w:val="Prrafodelista"/>
        <w:widowControl w:val="0"/>
        <w:spacing w:after="0" w:line="240" w:lineRule="auto"/>
        <w:ind w:left="567" w:right="618"/>
        <w:jc w:val="both"/>
        <w:rPr>
          <w:rFonts w:ascii="Arial Narrow" w:hAnsi="Arial Narrow" w:cs="Arial"/>
          <w:i/>
          <w:sz w:val="24"/>
          <w:szCs w:val="24"/>
          <w:u w:val="single"/>
        </w:rPr>
      </w:pPr>
      <w:r w:rsidRPr="007956CA">
        <w:rPr>
          <w:rFonts w:ascii="Arial Narrow" w:hAnsi="Arial Narrow" w:cs="Arial"/>
          <w:i/>
          <w:sz w:val="24"/>
          <w:szCs w:val="24"/>
        </w:rPr>
        <w:t xml:space="preserve">Se dice lo anterior, soda vez que la Sala Quo pierde de con que el sobreseimiento del juicio procederá, en la medida en que la resolución que constituye el primer acto de aplicación haya sido dejada sin efectos, </w:t>
      </w:r>
      <w:r w:rsidRPr="00B251A4">
        <w:rPr>
          <w:rFonts w:ascii="Arial Narrow" w:hAnsi="Arial Narrow" w:cs="Arial"/>
          <w:i/>
          <w:sz w:val="24"/>
          <w:szCs w:val="24"/>
          <w:u w:val="single"/>
        </w:rPr>
        <w:t>siempre que ello haya dejado de afectar los intereses jurídicos de la parte actora, lo cual en el caso no acontece.</w:t>
      </w:r>
    </w:p>
    <w:p w14:paraId="4C61952B" w14:textId="77777777" w:rsidR="00177FB2" w:rsidRPr="00B251A4" w:rsidRDefault="00177FB2" w:rsidP="00177FB2">
      <w:pPr>
        <w:pStyle w:val="Prrafodelista"/>
        <w:widowControl w:val="0"/>
        <w:spacing w:after="0" w:line="240" w:lineRule="auto"/>
        <w:ind w:left="567" w:right="618"/>
        <w:jc w:val="both"/>
        <w:rPr>
          <w:rFonts w:ascii="Arial Narrow" w:hAnsi="Arial Narrow" w:cs="Arial"/>
          <w:i/>
          <w:sz w:val="24"/>
          <w:szCs w:val="24"/>
          <w:u w:val="single"/>
        </w:rPr>
      </w:pPr>
    </w:p>
    <w:p w14:paraId="56A4632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Asimismo, considerando que la Sala A Quo pierde por completo de vista que la interpretación adoptada para sobreseer el juicio respecto del Plan del Centro de Población Estratégico San Luis Potosí</w:t>
      </w:r>
      <w:r>
        <w:rPr>
          <w:rFonts w:ascii="Arial Narrow" w:hAnsi="Arial Narrow" w:cs="Arial"/>
          <w:i/>
          <w:sz w:val="24"/>
          <w:szCs w:val="24"/>
        </w:rPr>
        <w:t xml:space="preserve"> - Soledad de Graciano Sánchez</w:t>
      </w:r>
      <w:r w:rsidRPr="007956CA">
        <w:rPr>
          <w:rFonts w:ascii="Arial Narrow" w:hAnsi="Arial Narrow" w:cs="Arial"/>
          <w:i/>
          <w:sz w:val="24"/>
          <w:szCs w:val="24"/>
        </w:rPr>
        <w:t>, resulta completamente restrictiva y violatoria del principio de tutela Judicial efectiva con</w:t>
      </w:r>
      <w:r>
        <w:rPr>
          <w:rFonts w:ascii="Arial Narrow" w:hAnsi="Arial Narrow" w:cs="Arial"/>
          <w:i/>
          <w:sz w:val="24"/>
          <w:szCs w:val="24"/>
        </w:rPr>
        <w:t>sagrado en la Constitución Genera</w:t>
      </w:r>
      <w:r w:rsidRPr="007956CA">
        <w:rPr>
          <w:rFonts w:ascii="Arial Narrow" w:hAnsi="Arial Narrow" w:cs="Arial"/>
          <w:i/>
          <w:sz w:val="24"/>
          <w:szCs w:val="24"/>
        </w:rPr>
        <w:t xml:space="preserve">l y los Tratados Internacionales en materia de Derechos Humanos, pues deja a mi mandarte en un estado de </w:t>
      </w:r>
      <w:r>
        <w:rPr>
          <w:rFonts w:ascii="Arial Narrow" w:hAnsi="Arial Narrow" w:cs="Arial"/>
          <w:i/>
          <w:sz w:val="24"/>
          <w:szCs w:val="24"/>
        </w:rPr>
        <w:t>indefensión</w:t>
      </w:r>
      <w:r w:rsidRPr="007956CA">
        <w:rPr>
          <w:rFonts w:ascii="Arial Narrow" w:hAnsi="Arial Narrow" w:cs="Arial"/>
          <w:i/>
          <w:sz w:val="24"/>
          <w:szCs w:val="24"/>
        </w:rPr>
        <w:t xml:space="preserve"> al no permitirle controvertir dicho Plan no obstante durante el juicio se hizo evidente la aplicación del mismo en tu perjuicio.</w:t>
      </w:r>
    </w:p>
    <w:p w14:paraId="7B7D4C9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0EF8915" w14:textId="67D02813"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En virtud de lo anterior, una vez que se demuestre la ilegalidad de la sentencia recurrida, lo procedente será que se revoque, se analicen todos los actos impugnados por mi mandante, y con fundamento en lo dispuesto por los artículos 250, fracción IV, 251 y 252 del Código Procesal Administrativo para el Estado de San Luis Potosí, se declare la solidad lisa y llana de los actos impugnados, y se reconozca que al predio ubicado en la </w:t>
      </w:r>
      <w:r w:rsidR="0050127A">
        <w:rPr>
          <w:rFonts w:ascii="Arial Narrow" w:hAnsi="Arial Narrow" w:cs="Arial"/>
          <w:i/>
          <w:color w:val="FF0000"/>
          <w:sz w:val="24"/>
          <w:szCs w:val="24"/>
        </w:rPr>
        <w:t>**********</w:t>
      </w:r>
      <w:r w:rsidRPr="007956CA">
        <w:rPr>
          <w:rFonts w:ascii="Arial Narrow" w:hAnsi="Arial Narrow" w:cs="Arial"/>
          <w:i/>
          <w:sz w:val="24"/>
          <w:szCs w:val="24"/>
        </w:rPr>
        <w:t>, le corresponde un uso de suelo "agropecuario", compatible con el ares silvestre en la que se encuentra ubicado, ordenando devolver la cantidades que mi mandante tuvo que erogar por un cambio de uso de suelos que resulta ilegal, y que se considere para efectos de la emisión de cualquier tipo de permisos y/o Licencias, que mi mandante realiza actividades "agropecuarias", no así "agroindustriales" o "comerciales".</w:t>
      </w:r>
    </w:p>
    <w:p w14:paraId="506AB0D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80EE327" w14:textId="77777777" w:rsidR="00177FB2" w:rsidRDefault="00177FB2" w:rsidP="00177FB2">
      <w:pPr>
        <w:pStyle w:val="Prrafodelista"/>
        <w:widowControl w:val="0"/>
        <w:spacing w:after="0" w:line="240" w:lineRule="auto"/>
        <w:ind w:left="567" w:right="618"/>
        <w:jc w:val="both"/>
        <w:rPr>
          <w:rFonts w:ascii="Arial Narrow" w:hAnsi="Arial Narrow" w:cs="Arial"/>
          <w:i/>
          <w:sz w:val="24"/>
          <w:szCs w:val="24"/>
        </w:rPr>
      </w:pPr>
      <w:r>
        <w:rPr>
          <w:rFonts w:ascii="Arial Narrow" w:hAnsi="Arial Narrow" w:cs="Arial"/>
          <w:i/>
          <w:sz w:val="24"/>
          <w:szCs w:val="24"/>
        </w:rPr>
        <w:t xml:space="preserve">A. </w:t>
      </w:r>
      <w:r w:rsidRPr="007956CA">
        <w:rPr>
          <w:rFonts w:ascii="Arial Narrow" w:hAnsi="Arial Narrow" w:cs="Arial"/>
          <w:i/>
          <w:sz w:val="24"/>
          <w:szCs w:val="24"/>
        </w:rPr>
        <w:t>A de evitar transcripciones innecesarias, solicito a esa H. Sala Superior tenga por reproducido como si a la letra se insertase el inciso A. del Primar Agravio, relativo a los requisitos de fundamentación y motivación que toda sentencia debe contener, en términos de lo dispuesto por el artículo 250 del Código Procesal Administrativo para el Estado de San Luis Potosí, garante del derecho humano a la legalidad y seguridad jurídica consagrados en los artículos 14 y 16 d</w:t>
      </w:r>
      <w:r>
        <w:rPr>
          <w:rFonts w:ascii="Arial Narrow" w:hAnsi="Arial Narrow" w:cs="Arial"/>
          <w:i/>
          <w:sz w:val="24"/>
          <w:szCs w:val="24"/>
        </w:rPr>
        <w:t>e nuestra Constitución Federal.</w:t>
      </w:r>
    </w:p>
    <w:p w14:paraId="5E2D07B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08EBCD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Pr>
          <w:rFonts w:ascii="Arial Narrow" w:hAnsi="Arial Narrow" w:cs="Arial"/>
          <w:i/>
          <w:sz w:val="24"/>
          <w:szCs w:val="24"/>
        </w:rPr>
        <w:t>B.</w:t>
      </w:r>
      <w:r w:rsidRPr="007956CA">
        <w:rPr>
          <w:rFonts w:ascii="Arial Narrow" w:hAnsi="Arial Narrow" w:cs="Arial"/>
          <w:i/>
          <w:sz w:val="24"/>
          <w:szCs w:val="24"/>
        </w:rPr>
        <w:t xml:space="preserve"> Es menester de mi mandante traer a colación lo resuelto por la Sala Unitaria a fojas 7 a 11 de su sentencia, en donde de manera textual y en su parte conducente estableció lo siguiente:</w:t>
      </w:r>
    </w:p>
    <w:p w14:paraId="7EEE91F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1637E9D"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"”CONSIDERANDO</w:t>
      </w:r>
    </w:p>
    <w:p w14:paraId="00FD1B0A"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0903057C"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w:t>
      </w:r>
    </w:p>
    <w:p w14:paraId="53F61806"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23048971" w14:textId="77777777" w:rsidR="00177FB2" w:rsidRPr="00B251A4" w:rsidRDefault="00177FB2" w:rsidP="00177FB2">
      <w:pPr>
        <w:pStyle w:val="Prrafodelista"/>
        <w:widowControl w:val="0"/>
        <w:spacing w:after="0" w:line="240" w:lineRule="auto"/>
        <w:ind w:left="567" w:right="618"/>
        <w:jc w:val="both"/>
        <w:rPr>
          <w:rFonts w:cs="Calibri"/>
          <w:b/>
          <w:i/>
          <w:sz w:val="24"/>
          <w:szCs w:val="24"/>
        </w:rPr>
      </w:pPr>
      <w:r w:rsidRPr="00B251A4">
        <w:rPr>
          <w:rFonts w:cs="Calibri"/>
          <w:b/>
          <w:i/>
          <w:sz w:val="24"/>
          <w:szCs w:val="24"/>
        </w:rPr>
        <w:t>QUINTO....</w:t>
      </w:r>
    </w:p>
    <w:p w14:paraId="00197B63"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6C9F3571" w14:textId="77777777" w:rsidR="00177FB2" w:rsidRPr="00B251A4" w:rsidRDefault="00177FB2" w:rsidP="00177FB2">
      <w:pPr>
        <w:pStyle w:val="Prrafodelista"/>
        <w:widowControl w:val="0"/>
        <w:spacing w:after="0" w:line="240" w:lineRule="auto"/>
        <w:ind w:left="567" w:right="618"/>
        <w:jc w:val="both"/>
        <w:rPr>
          <w:rFonts w:cs="Calibri"/>
          <w:b/>
          <w:i/>
          <w:sz w:val="24"/>
          <w:szCs w:val="24"/>
          <w:u w:val="single"/>
        </w:rPr>
      </w:pPr>
      <w:r w:rsidRPr="00B251A4">
        <w:rPr>
          <w:rFonts w:cs="Calibri"/>
          <w:i/>
          <w:sz w:val="24"/>
          <w:szCs w:val="24"/>
        </w:rPr>
        <w:t xml:space="preserve">En ese orden de ideas, </w:t>
      </w:r>
      <w:r w:rsidRPr="00B251A4">
        <w:rPr>
          <w:rFonts w:cs="Calibri"/>
          <w:b/>
          <w:i/>
          <w:sz w:val="24"/>
          <w:szCs w:val="24"/>
          <w:u w:val="single"/>
        </w:rPr>
        <w:t xml:space="preserve">también resulta procedente el sobreseimiento del juicio con relación al acto identificado en el inciso vi del Resultando 1 de esta resolución, consistente en el Plan del Centro de Población Estratégico sus Población San Luis Potosí Soledad de Graciano Sánchez, publicado en el Periódico Oficial del Estado el veintiuno de agosto de des mil tres, toda vez que la Impetrante manifestó controvertirlo junto con su primer acto de aplicación, costeante en la resolución contenisia.cl oficio número MSGS/DUYCM/2979/2020 de 11 de marzo de 2020, por el cual resultó improcedente el presente inicio como ya se dilucidó en </w:t>
      </w:r>
      <w:r w:rsidRPr="00B251A4">
        <w:rPr>
          <w:rFonts w:cs="Calibri"/>
          <w:b/>
          <w:i/>
          <w:sz w:val="24"/>
          <w:szCs w:val="24"/>
          <w:u w:val="single"/>
        </w:rPr>
        <w:lastRenderedPageBreak/>
        <w:t>párrafos precedentes</w:t>
      </w:r>
      <w:r w:rsidRPr="00B251A4">
        <w:rPr>
          <w:rFonts w:cs="Calibri"/>
          <w:i/>
          <w:sz w:val="24"/>
          <w:szCs w:val="24"/>
        </w:rPr>
        <w:t xml:space="preserve">, luego entonces, en consideración, por analogía, los criterios sustentados por la Segunda Sala del Alto Tribunal y por los Tribunales Colegiados de Circuito, que enseguida se cita, </w:t>
      </w:r>
      <w:r w:rsidRPr="00B251A4">
        <w:rPr>
          <w:rFonts w:cs="Calibri"/>
          <w:b/>
          <w:i/>
          <w:sz w:val="24"/>
          <w:szCs w:val="24"/>
          <w:u w:val="single"/>
        </w:rPr>
        <w:t>no debe desvincularse el estudio de la referida disposición impugnada del que concierne a su acto de aplicación, por lo que, si se estima improcedente el juicio en contra del actor de aplicación, deberá sobreseer respecto de éste v, en vía de consecuencia, también en relación con el acto de carácter general impugnado, al no poder desvincularse uno de otro; por ende, en la especie, al no poder desvincularse el estudio del referido acto de carácter general del que concierne a su acto de aplicación en comento, por el cual, se reitera, resultó improcedente el juicio, en vía de consecuencia, procede el sobreseimiento del juicio con relación al Plan del Centro de Población Estratégico de Población San Luis Potosí Soledad de Graciano Sánchez, al no poder desvincularse uno de otro.</w:t>
      </w:r>
    </w:p>
    <w:p w14:paraId="32D21DE6"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41D1CCC2"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w:t>
      </w:r>
    </w:p>
    <w:p w14:paraId="28A8FDE7"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76214F12"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Más aún, se considera que respecto al referido acto de carácter general, consistente en el Plan del Centro de Población Estratégico de Población San Luis Potosí Soledad de Graciano Sánchez, se actualiza de manera destacada la causal de improcedencia prevista en el artículo 228, fracción IX del Código Procesal Administrativo para el Estado de San Luis Potosí, ya que no puede surtir efectos legales por haber dejado de existir el objeto o materia de su aplicación, es decir, la negativa por parte de la autoridad demandada de expedir la licencia de uso de suelo de mérito, al cesar dichos efectos en sentido negativo, precisamente, por la expedición de la Licencia de Uso de Suelo con número de folio DUY CM/417/2020 de fecha 16 de julio de 2020, tal como se dilucidó en párrafos precedentes y, en consecuencia, procede el sobreseimiento del juicio con relación al referido acto de carácter general impugnado, en términos de lo dispuesto en el artículo 229, fracción II del mismo ordenamiento legal.</w:t>
      </w:r>
    </w:p>
    <w:p w14:paraId="76E362AB"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0C4D2127"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Sirve de apoyo lo anterior, la tesis XV/2003 de la Primera Sala de la Suprema Corte de Justicia de la Nación al tenor siguiente:</w:t>
      </w:r>
    </w:p>
    <w:p w14:paraId="05FD7F5B"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690B83A6"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w:t>
      </w:r>
    </w:p>
    <w:p w14:paraId="79C65CFB"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49E9F5AE" w14:textId="77777777" w:rsidR="00177FB2" w:rsidRPr="00B251A4" w:rsidRDefault="00177FB2" w:rsidP="00177FB2">
      <w:pPr>
        <w:pStyle w:val="Prrafodelista"/>
        <w:widowControl w:val="0"/>
        <w:spacing w:after="0" w:line="240" w:lineRule="auto"/>
        <w:ind w:left="567" w:right="618"/>
        <w:jc w:val="both"/>
        <w:rPr>
          <w:rFonts w:cs="Calibri"/>
          <w:b/>
          <w:i/>
          <w:sz w:val="24"/>
          <w:szCs w:val="24"/>
          <w:u w:val="single"/>
        </w:rPr>
      </w:pPr>
      <w:r w:rsidRPr="00B251A4">
        <w:rPr>
          <w:rFonts w:cs="Calibri"/>
          <w:i/>
          <w:sz w:val="24"/>
          <w:szCs w:val="24"/>
        </w:rPr>
        <w:t xml:space="preserve">En las relatadas consideraciones, </w:t>
      </w:r>
      <w:r w:rsidRPr="00B251A4">
        <w:rPr>
          <w:rFonts w:cs="Calibri"/>
          <w:b/>
          <w:i/>
          <w:sz w:val="24"/>
          <w:szCs w:val="24"/>
          <w:u w:val="single"/>
        </w:rPr>
        <w:t>se decreta el SOBRESEIMIENTO del presente inicio contencioso administrativo con relación a los actos Impugnados Identificados en los incisos a) v. b) del Resultando I de esta resolución, consistentes en la resolución contenida en el oficio número MSGS/DUYCM/2979/2020 de 11 de marzo de 2020, así como el Plan del Centro de Población Estratégico de Población San Luis Potosí Soledad de Graciano Sánchez, éste último controvertido junto con 19 primer acto de aplicación de acuerdo con las consideraciones, fundamentos y motivos que han quedado expuestos en este Considerando.</w:t>
      </w:r>
    </w:p>
    <w:p w14:paraId="2F82EEA7"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4D0A395C"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lastRenderedPageBreak/>
        <w:t>Sin que sea óbice a lo anterior, que en el acuerdo de fecha once de septiembre de dos mil veinte, se hubiere admitido a trámite la demanda, entre otros, en contra de los referidos actos impugnados, en tanto tal consideración constituye una determinación que por su naturaleza no causa estado, al ser producto de un examen preliminar del asunto, correspondiendo en todo caso a esta Juzgadora al dictar sentencia definitiva, el estudio definitivo de procedencia del juicio, como en la especie, precisándose en párrafos precedentes, que de las constancias de autos aparece claramente que se actualizaron las causales previstas en los artículos 228, fracciones V y IX y 229, fracción II del Código Procesal Administrativo para el Estado de San Luis Potosí, y con lo cual se dilucida la improcedencia en el juicio y su sobreseimiento.</w:t>
      </w:r>
    </w:p>
    <w:p w14:paraId="1C475D35"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78CF8B79"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w:t>
      </w:r>
    </w:p>
    <w:p w14:paraId="4D269D43"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5D6BFA5D" w14:textId="77777777" w:rsidR="00177FB2" w:rsidRPr="00B251A4" w:rsidRDefault="00177FB2" w:rsidP="00177FB2">
      <w:pPr>
        <w:pStyle w:val="Prrafodelista"/>
        <w:widowControl w:val="0"/>
        <w:spacing w:after="0" w:line="240" w:lineRule="auto"/>
        <w:ind w:left="567" w:right="618"/>
        <w:jc w:val="both"/>
        <w:rPr>
          <w:rFonts w:cs="Calibri"/>
          <w:i/>
          <w:sz w:val="24"/>
          <w:szCs w:val="24"/>
        </w:rPr>
      </w:pPr>
      <w:r w:rsidRPr="00B251A4">
        <w:rPr>
          <w:rFonts w:cs="Calibri"/>
          <w:i/>
          <w:sz w:val="24"/>
          <w:szCs w:val="24"/>
        </w:rPr>
        <w:t>Finalmente, considerando que esta Primera Sala Unitaria ha decretado la procedencia de las causales analizadas en los párrafos que anteceden, resulta innecesario el estudio de los argumentos planteados por la parte actora encaminados a declarar la nulidad de los referidos actos impugnados, asimismo respecto de éstos las demás causales alegadas por las autoridades demandadas, en razón de que el hacerlo, no cambiaría el sentido de esta decisión.</w:t>
      </w:r>
      <w:r>
        <w:rPr>
          <w:rFonts w:cs="Calibri"/>
          <w:i/>
          <w:sz w:val="24"/>
          <w:szCs w:val="24"/>
        </w:rPr>
        <w:t>””</w:t>
      </w:r>
    </w:p>
    <w:p w14:paraId="1270B8A0" w14:textId="77777777" w:rsidR="00177FB2" w:rsidRPr="00B251A4" w:rsidRDefault="00177FB2" w:rsidP="00177FB2">
      <w:pPr>
        <w:pStyle w:val="Prrafodelista"/>
        <w:widowControl w:val="0"/>
        <w:spacing w:after="0" w:line="240" w:lineRule="auto"/>
        <w:ind w:left="567" w:right="618"/>
        <w:jc w:val="both"/>
        <w:rPr>
          <w:rFonts w:cs="Calibri"/>
          <w:i/>
          <w:sz w:val="24"/>
          <w:szCs w:val="24"/>
        </w:rPr>
      </w:pPr>
    </w:p>
    <w:p w14:paraId="096788C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Como es posible advertir de lo anterior, la Sala A quo determinó sustancialmente que resulta procedente el sobreseimiento del juicio respecto del Plan del Centro de Población Estratégico San Luis Potosí - Soledad de Graciano Sánchez, toda vez que se impugnó con motivo de su primer acto de aplicación, siendo este la resolución contenida en el oficio número MSGS/DUYCM/2979/2020 de 11 de marzo de 2020, por el cual resultó improcedente el juicio.</w:t>
      </w:r>
    </w:p>
    <w:p w14:paraId="63F5F12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D32843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Dicho lo anterior, se procede a demostrar la ilegalidad de la sentencia recurrida, en la medida en que tal y como esa H. Sala Superior podrá advertir, en el caso particular no se actualizan las causales de improcedencia y sobreseimiento del Plan del Centro de Población Estratégico San Luis Potosí - Soledad de Graciano Sánchez.</w:t>
      </w:r>
    </w:p>
    <w:p w14:paraId="4606502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B3CAD1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E075DB">
        <w:rPr>
          <w:rFonts w:ascii="Arial Narrow" w:hAnsi="Arial Narrow" w:cs="Arial"/>
          <w:b/>
          <w:i/>
          <w:sz w:val="24"/>
          <w:szCs w:val="24"/>
        </w:rPr>
        <w:t>C.</w:t>
      </w:r>
      <w:r w:rsidRPr="007956CA">
        <w:rPr>
          <w:rFonts w:ascii="Arial Narrow" w:hAnsi="Arial Narrow" w:cs="Arial"/>
          <w:i/>
          <w:sz w:val="24"/>
          <w:szCs w:val="24"/>
        </w:rPr>
        <w:t xml:space="preserve"> La sentencia que por esta vía se recurre es ilegal, en la medida en la que la Sala A quo estima incorrectamente que en el caso particular se actualiza el sobreseimiento del juicio respecto del Plan del Centro de Población Estratégico San Luis Potosí Soledad de Graciano Sánchez, toda vez que se impugnó con motivo de su primer acto de aplicación, siendo este la resolución contenida en el oficio número MSGS/DUYCM/2979/2020 de 11 de marzo de 2020, por el cual resultó improcedente el juicio.</w:t>
      </w:r>
    </w:p>
    <w:p w14:paraId="61C8766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2728EB4" w14:textId="77777777" w:rsidR="00177FB2" w:rsidRPr="00E075DB" w:rsidRDefault="00177FB2" w:rsidP="00177FB2">
      <w:pPr>
        <w:pStyle w:val="Prrafodelista"/>
        <w:widowControl w:val="0"/>
        <w:spacing w:after="0" w:line="240" w:lineRule="auto"/>
        <w:ind w:left="567" w:right="618"/>
        <w:jc w:val="both"/>
        <w:rPr>
          <w:rFonts w:ascii="Arial Narrow" w:hAnsi="Arial Narrow" w:cs="Arial"/>
          <w:i/>
          <w:sz w:val="24"/>
          <w:szCs w:val="24"/>
          <w:u w:val="single"/>
        </w:rPr>
      </w:pPr>
      <w:r w:rsidRPr="007956CA">
        <w:rPr>
          <w:rFonts w:ascii="Arial Narrow" w:hAnsi="Arial Narrow" w:cs="Arial"/>
          <w:i/>
          <w:sz w:val="24"/>
          <w:szCs w:val="24"/>
        </w:rPr>
        <w:t xml:space="preserve">No obstante lo anterior, la Sala A quo pierde de vista que el sobreseimiento del juicio procederá, en la medida en que la resolución que constituye el primer acto de aplicación haya sido dejada sin efectos, </w:t>
      </w:r>
      <w:r w:rsidRPr="00E075DB">
        <w:rPr>
          <w:rFonts w:ascii="Arial Narrow" w:hAnsi="Arial Narrow" w:cs="Arial"/>
          <w:i/>
          <w:sz w:val="24"/>
          <w:szCs w:val="24"/>
          <w:u w:val="single"/>
        </w:rPr>
        <w:t>siempre que haya dejado de afectar los intereses jurídicos de la parte actora,</w:t>
      </w:r>
      <w:r>
        <w:rPr>
          <w:rFonts w:ascii="Arial Narrow" w:hAnsi="Arial Narrow" w:cs="Arial"/>
          <w:i/>
          <w:sz w:val="24"/>
          <w:szCs w:val="24"/>
          <w:u w:val="single"/>
        </w:rPr>
        <w:t xml:space="preserve"> lo cual en el caso no acontece.</w:t>
      </w:r>
    </w:p>
    <w:p w14:paraId="5FD967F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275F04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En efecto, la Sala A quo estima incorrectamente que en el caso particular se actualiza el sobreseimiento del juicio respecto del Plan del Centro de Población Estratégico San Luis Potosí Soledad de Graciano Sánchez, perdiendo de por completo de vista que la aplicación de dicho cuerpo normativo reflejada en la resolución contenida en el oficio número MSGS/DUYCM/2979/2020 de 11 de marzo de 2020, negó un derecho a mi mandante y, dejando así huella en su esfera jurídica, sus efectos no fueron </w:t>
      </w:r>
      <w:r w:rsidRPr="007956CA">
        <w:rPr>
          <w:rFonts w:ascii="Arial Narrow" w:hAnsi="Arial Narrow" w:cs="Arial"/>
          <w:i/>
          <w:sz w:val="24"/>
          <w:szCs w:val="24"/>
        </w:rPr>
        <w:lastRenderedPageBreak/>
        <w:t>destruidos con motivo de la supuesta "sustitución" de esta resolución impugnada.</w:t>
      </w:r>
    </w:p>
    <w:p w14:paraId="7190B30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7320E4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 esa manera, la Sala A quo sostiene de manera ilegal, que toda vez que mi mandante impugnó el Plan del Centro de Población Estratégico San Luis Potosí Soledad de Graciano Sánchez junto con su primer acto de aplicación consistente en la resolución contenida en el oficio número MSGS/DUYCM/2979/2020 de 11 de marzo de 2020, y toda vez que éste resultó improcedente al haber sido supuestamente sustituido por la Licencia de uso de suelo de funcionamiento de fecha 16 de julio de 2020, con número de folio DU Y CM/417/2020, luego entonces se debe sobreseer también el juicio respecto dicho Plan.</w:t>
      </w:r>
    </w:p>
    <w:p w14:paraId="365BA7A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53C2316" w14:textId="77777777" w:rsidR="00177FB2" w:rsidRPr="00E075DB" w:rsidRDefault="00177FB2" w:rsidP="00177FB2">
      <w:pPr>
        <w:pStyle w:val="Prrafodelista"/>
        <w:widowControl w:val="0"/>
        <w:spacing w:after="0" w:line="240" w:lineRule="auto"/>
        <w:ind w:left="567" w:right="618"/>
        <w:jc w:val="both"/>
        <w:rPr>
          <w:rFonts w:ascii="Arial Narrow" w:hAnsi="Arial Narrow" w:cs="Arial"/>
          <w:i/>
          <w:sz w:val="24"/>
          <w:szCs w:val="24"/>
          <w:u w:val="single"/>
        </w:rPr>
      </w:pPr>
      <w:r w:rsidRPr="007956CA">
        <w:rPr>
          <w:rFonts w:ascii="Arial Narrow" w:hAnsi="Arial Narrow" w:cs="Arial"/>
          <w:i/>
          <w:sz w:val="24"/>
          <w:szCs w:val="24"/>
        </w:rPr>
        <w:t xml:space="preserve">Sin embargo, tal y como ha sido demostrado desde el juicio de origen, así como dentro del Primer Agravio del presente recurso de apelación, la Sala A quo perdió de vista que los efectos generados con motivo de la aplicación del Plan del Centro de Población Estratégico San Luis Potosí Soledad de Graciano Sánchez </w:t>
      </w:r>
      <w:r w:rsidRPr="00E075DB">
        <w:rPr>
          <w:rFonts w:ascii="Arial Narrow" w:hAnsi="Arial Narrow" w:cs="Arial"/>
          <w:i/>
          <w:sz w:val="24"/>
          <w:szCs w:val="24"/>
          <w:u w:val="single"/>
        </w:rPr>
        <w:t>no fueron destruidos por la posterior emisión de la. Licencia de uso de suelo de funcionamiento de fecha 16 de julio de 2020, con número de folio DUYCM/417/2020, por lo que no puede actualizarse el sobreseimiento del juicio en los términos que lo plantea la Sala A quo.</w:t>
      </w:r>
    </w:p>
    <w:p w14:paraId="1F1AE646" w14:textId="77777777" w:rsidR="00177FB2" w:rsidRPr="00E075DB" w:rsidRDefault="00177FB2" w:rsidP="00177FB2">
      <w:pPr>
        <w:pStyle w:val="Prrafodelista"/>
        <w:widowControl w:val="0"/>
        <w:spacing w:after="0" w:line="240" w:lineRule="auto"/>
        <w:ind w:left="567" w:right="618"/>
        <w:jc w:val="both"/>
        <w:rPr>
          <w:rFonts w:ascii="Arial Narrow" w:hAnsi="Arial Narrow" w:cs="Arial"/>
          <w:i/>
          <w:sz w:val="24"/>
          <w:szCs w:val="24"/>
          <w:u w:val="single"/>
        </w:rPr>
      </w:pPr>
    </w:p>
    <w:p w14:paraId="6600D8D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Por el contrario, fue con motivo de la resolución contenida en el oficio número MSGS/DUYCM/2979/2020 de 11 de marzo de 2020 que se actualizó la aplicación del Plan del Centro de Población Estratégico San Luis Potosí Soledad de Graciano Sánchez, cuyos efectos dejaron huella en la esfera jurídica de mi mandante y que a la fecha siguen causándole un perjuicio, dado que no fueron extintos con motivo de la supuesta sustitución de dicha resolución, de ahí que no pueda actualizarse el sobreseimiento del juicio por cuando hace al referido Plan.</w:t>
      </w:r>
    </w:p>
    <w:p w14:paraId="498B2F3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B9ED73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efecto, tal y como ya fue manifestado en el Primer Agravio del presente recurso de apelación, los efectos de la resolución contenida en el oficio número MSGS/DUYCM/2979/2020 de 11 de marzo de 2020, que trajeron consigo la aplicación del Plan del Centro de Población Estratégico San Luis Potosí Soledad de Graciano Sánchez, a la fecha siguen perjudicando a mi mandante.</w:t>
      </w:r>
    </w:p>
    <w:p w14:paraId="17B29C4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A2297ED" w14:textId="77777777" w:rsidR="00177FB2" w:rsidRPr="00E075DB"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Se dice lo anterior, si se toma en consideración lo evidenciado por mi mandante dentro de la demanda de nulidad en el sentido de que el referido Plan no cumple con los principios de legalidad y seguridad jurídica, en la medida en que dicho ordenamiento considera a la actividad de "granjas avícolas" como aquellas en las que se realizan actividades industriales, en particular, actividades "agroindustriales"; no obstante de la definición y alcance de lo que el propio Plan señala como "Agroindustria", tenemos que resulta incompatible con la finalidad y actividades desarrolladas en una "granja avícola", </w:t>
      </w:r>
      <w:r w:rsidRPr="00E075DB">
        <w:rPr>
          <w:rFonts w:ascii="Arial Narrow" w:hAnsi="Arial Narrow" w:cs="Arial"/>
          <w:b/>
          <w:i/>
          <w:sz w:val="24"/>
          <w:szCs w:val="24"/>
          <w:u w:val="single"/>
        </w:rPr>
        <w:t>lo cual afecta de manera directa a mi mandante y constituye una violación que no fue subsanada a mi mandante con motivo de la supuesta sustitución de la resolución contenida en el oficio número MSGS/DUYCM/2979/2020 de 11 de marzo de 2020, con la diversa Licencia de uso de suelo de funcionamiento de fecha 16 de julio de 2020, con número de folio DU Y CM/417/2020.</w:t>
      </w:r>
    </w:p>
    <w:p w14:paraId="5C2B3F2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222B62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lastRenderedPageBreak/>
        <w:t>De ahí que no pueda considerarse procedente el sobreseimiento del juicio en relación con el Plan del Centro de Población Estratégico San Luis Potosí Soledad de Graciano Sánchez, pues la interpretación que de éste realizó la autoridad demandada, continúa afectando a mi mandante.</w:t>
      </w:r>
    </w:p>
    <w:p w14:paraId="08B1C63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70ED91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inclusive en el supuesto sin conceder que el acto de aplicación del Plan del Centro de Población Estratégico San Luis Potosí - Soledad de Graciano Sánchez haya sido sustituido y dejado sin efectos (supuesto que desde luego no se admite), pues lo cierto es que la aplicación de dicho cuerpo normativo continúa afectando a mi mandante, toda vez que sigue considerando que a la actividad de "granjas avícolas" (desarrollada por mi mandante) como aquellas en las que se realizan actividades industriales, en particular, actividades "agroindustriales"; no obstante de la definición y alcance de lo que el propio Plan señala como "Agroindustria", tenemos que resulta incompatible con la finalidad y actividades desarrolladas en una "granja avícola".</w:t>
      </w:r>
    </w:p>
    <w:p w14:paraId="7FAC454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EE9B8C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Asimismo, cabe señalar que toda vez que dentro del Agravio Primero del presente recurso de apelación (mismo que solicito se tenga por reproducido como si a la letra se insertase) se demostró que no se actualiza el sobreseimiento del en relación con la resolución contenida en el oficio número MSGS/DUYCM/2979/2020 de 11 de marzo de 2020, en vía de consecuencia el juicio también resulta procedente en contra del Plan del Centro de Población Estratégico San Luis Soledad de Graciano Sánchez.</w:t>
      </w:r>
    </w:p>
    <w:p w14:paraId="37616FC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00ABAF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No se deja de mencionar que en caso de no compartir las consideraciones previamente planteadas equivaldría a dejar en estado de indefensión a mi representada en la medida en la que caería en una trampa procesal, pues en ningún momento podría controvertir el Plan que nos ocupa bajo la estimativa errónea de que el oficio número MSGS/DUYCM/2979/2020 de 11 de marzo de 2020, fue "sustituido" a través del otorgamiento de la Licencia de Funcionamiento.</w:t>
      </w:r>
    </w:p>
    <w:p w14:paraId="26B3E8C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EF6F47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Máxime que inclusive la Licencia de Funcionamiento evidencia la aplicación del Plan en perjuicio de mi mandante, en la medida en la que como incluso se reconoce dentro de la sentencia, dentro del mismo se califica a la actividad que desempeña mi mandante como Industrial, siendo que en el caso particular es Agropecuaria.</w:t>
      </w:r>
    </w:p>
    <w:p w14:paraId="430D339A"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C81618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Por último no se omite mencionar que en el caso que nos ocupa no existe ningún elemento para considerar que el oficio número MSGS/DUYCM/2979/2020 de 11 de marzo de 2020 fue sustituido, dado que no existe ninguna resolución que establezca lo anterior, sino lo único que existe es un acto diverso consistente en la Licencia de Funcionamiento para uso Agroindustrial.</w:t>
      </w:r>
    </w:p>
    <w:p w14:paraId="3A8755E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4F855D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virtud de lo anterior, una vez demostrada la ilegalidad de la sentencia recurrida, lo procedente será que se revoque, se analicen todos los actos impugnados por mi mandante, y con fundamento en lo dispuesto por los artículos 250, fracción IV, 251 y 252 del Código Procesal Administrativo para el Estado de San Luis Potosí, se declare la nulidad lisa y llana de los actos impugnados, y se reconozca que al predio ubicado en la Carretera a la Tinaja s/n; Fracción Tinaja; Municipio de Soledad de Graciano Sánchez, le corresponde un uso de suelo "agropecuario", compatible con el área silvestre en la que se encuentra ubicado, ordenando devolver las cantidades mandante que erogar por un cambio de uso de suelo que resulta ilegal, y que se considere para efectos de la emisión de cualquier tipo de permisos y/o Licencias, que mi mandante realiza actividades "agropecuarias", no así "agroindustriales" o "comerciales".</w:t>
      </w:r>
    </w:p>
    <w:p w14:paraId="7602E748"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86FB9DA" w14:textId="77777777" w:rsidR="00177FB2" w:rsidRDefault="00177FB2" w:rsidP="00177FB2">
      <w:pPr>
        <w:pStyle w:val="Prrafodelista"/>
        <w:widowControl w:val="0"/>
        <w:spacing w:after="0" w:line="240" w:lineRule="auto"/>
        <w:ind w:left="567" w:right="618"/>
        <w:jc w:val="both"/>
        <w:rPr>
          <w:rFonts w:ascii="Arial Narrow" w:hAnsi="Arial Narrow" w:cs="Arial"/>
          <w:i/>
          <w:sz w:val="24"/>
          <w:szCs w:val="24"/>
        </w:rPr>
      </w:pPr>
      <w:r w:rsidRPr="00E075DB">
        <w:rPr>
          <w:rFonts w:ascii="Arial Narrow" w:hAnsi="Arial Narrow" w:cs="Arial"/>
          <w:b/>
          <w:i/>
          <w:sz w:val="24"/>
          <w:szCs w:val="24"/>
        </w:rPr>
        <w:t>D.</w:t>
      </w:r>
      <w:r w:rsidRPr="007956CA">
        <w:rPr>
          <w:rFonts w:ascii="Arial Narrow" w:hAnsi="Arial Narrow" w:cs="Arial"/>
          <w:i/>
          <w:sz w:val="24"/>
          <w:szCs w:val="24"/>
        </w:rPr>
        <w:t xml:space="preserve"> Por su parte, la Sala A quo pierde por completo de vista que la </w:t>
      </w:r>
      <w:r w:rsidRPr="007956CA">
        <w:rPr>
          <w:rFonts w:ascii="Arial Narrow" w:hAnsi="Arial Narrow" w:cs="Arial"/>
          <w:i/>
          <w:sz w:val="24"/>
          <w:szCs w:val="24"/>
        </w:rPr>
        <w:lastRenderedPageBreak/>
        <w:t>interpretación adoptada para sobreseer el juicio respecto del Plan del Centro de Población Estratégico San Luis Potosí Soledad de Graciano Sánchez, completamente restrictiva y violatoria del principio de tutela efectiva consagrado en la Constitución General y los Tratados en materia de Derechos pues deja a mi mandante en un estado de indefensión al no permitirle controvertir dicho Plan no obstante durante el juicio se hizo evidente la aplicación del mismo en su perjuicio.</w:t>
      </w:r>
    </w:p>
    <w:p w14:paraId="2139D469"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2968F6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En principio, cabe señalar que tal y como se desprende de la tesis jurisprudencial la/J. 42/2007, cuyo rubro es </w:t>
      </w:r>
      <w:r w:rsidRPr="00E075DB">
        <w:rPr>
          <w:rFonts w:ascii="Arial Narrow" w:hAnsi="Arial Narrow" w:cs="Arial"/>
          <w:b/>
          <w:i/>
          <w:sz w:val="24"/>
          <w:szCs w:val="24"/>
        </w:rPr>
        <w:t>"GARANTÍA A LA TUTELA JURISDICCIONAL PREVISTA EN EL ARTÍCULO 17 DE LA CONSTITUCIÓN POLÍTICA DE LOS ESTADOS UNIDOS MEXICANOS. SUS ALCANCES”,</w:t>
      </w:r>
      <w:r w:rsidRPr="007956CA">
        <w:rPr>
          <w:rFonts w:ascii="Arial Narrow" w:hAnsi="Arial Narrow" w:cs="Arial"/>
          <w:i/>
          <w:sz w:val="24"/>
          <w:szCs w:val="24"/>
        </w:rPr>
        <w:t xml:space="preserve"> la Primera Sala de la Suprema Corte de Justicia de la Nación ha definido el acceso a una tutela jurisdiccional como el: "Derecho público subjetivo que toda persona tiene, dentro de los plazos y términos que fijen las leyes, para acceder de manera expedita a tribunales independientes e imparciales, a plantear una pretensión o a defenderse de ella, con el fin de que a través de un proceso en el que se respeten ciertas formalidades, se decida sobre la pretensión o la defensa y, en su caso, se ejecute esa decisión.".</w:t>
      </w:r>
    </w:p>
    <w:p w14:paraId="2508DC7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FFE2D2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De este importante criterio se desprende que el acceso a la tutela jurisdiccional comprende tres etapas, a las que corresponden tres derechos que lo integran: (i) una etapa previa al juicio, </w:t>
      </w:r>
      <w:r w:rsidRPr="00E075DB">
        <w:rPr>
          <w:rFonts w:ascii="Arial Narrow" w:hAnsi="Arial Narrow" w:cs="Arial"/>
          <w:i/>
          <w:sz w:val="24"/>
          <w:szCs w:val="24"/>
          <w:u w:val="single"/>
        </w:rPr>
        <w:t>a la que corresponde el derecho de acceso a la jurisdicción, el cual parte del derecho de acción como una especie del derecho de petición que se dirige a las autoridades jurisdiccionales y que motiva un pronunciamiento por parte de éstas</w:t>
      </w:r>
      <w:r w:rsidRPr="007956CA">
        <w:rPr>
          <w:rFonts w:ascii="Arial Narrow" w:hAnsi="Arial Narrow" w:cs="Arial"/>
          <w:i/>
          <w:sz w:val="24"/>
          <w:szCs w:val="24"/>
        </w:rPr>
        <w:t>; (ii) una etapa judicial-desde el inicio del procedimiento y hasta la última actuación dentro del mismo-, a la que corresponden las garantías del debido proceso; y (iii) una etapa posterior al juicio, que se identifica con la eficacia de las resoluciones emitidas con motivo de aquel.</w:t>
      </w:r>
    </w:p>
    <w:p w14:paraId="3516F0E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C25CA6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relación con lo anterior, dentro de los derechos que componen el derecho a la tutela jurisdiccional efectiva, se encuentran las garantías del debido proceso, mismas que resultan aplicables a cualquier procedimiento de naturaleza jurisdiccional, y que la Suprema Corte de Justicia de la Nación ha identificado como las formalidades esenciales del procedimiento, también llamadas "garantía de tutela judicial".</w:t>
      </w:r>
    </w:p>
    <w:p w14:paraId="60D2B97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F22FC1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Estas formalidades esenciales del procedimiento permiten que los gobernados desplieguen sus defensas antes de que las autoridades modifiquen en forma definitiva su esfera jurídica, tal y como se desprende de la tesis jurisprudencial 2a. /J. 16/200810,</w:t>
      </w:r>
    </w:p>
    <w:p w14:paraId="4C2D54E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21FAA6B" w14:textId="77777777" w:rsidR="00177FB2" w:rsidRPr="00E075DB" w:rsidRDefault="00177FB2" w:rsidP="00177FB2">
      <w:pPr>
        <w:pStyle w:val="Prrafodelista"/>
        <w:widowControl w:val="0"/>
        <w:spacing w:after="0" w:line="240" w:lineRule="auto"/>
        <w:ind w:left="567" w:right="618"/>
        <w:jc w:val="both"/>
        <w:rPr>
          <w:rFonts w:ascii="Arial Narrow" w:hAnsi="Arial Narrow" w:cs="Arial"/>
          <w:b/>
          <w:i/>
          <w:sz w:val="24"/>
          <w:szCs w:val="24"/>
        </w:rPr>
      </w:pPr>
      <w:r w:rsidRPr="007956CA">
        <w:rPr>
          <w:rFonts w:ascii="Arial Narrow" w:hAnsi="Arial Narrow" w:cs="Arial"/>
          <w:i/>
          <w:sz w:val="24"/>
          <w:szCs w:val="24"/>
        </w:rPr>
        <w:t xml:space="preserve">El Tribunal Pleno de la Suprema Corte de Justicia de la Nación se ha pronunciado respecto del contenido esencial del aludido derecho, tal y como se observa en la tesis jurisprudencial P. J. 47/95, cuyo rubro es </w:t>
      </w:r>
      <w:r w:rsidRPr="00E075DB">
        <w:rPr>
          <w:rFonts w:ascii="Arial Narrow" w:hAnsi="Arial Narrow" w:cs="Arial"/>
          <w:b/>
          <w:i/>
          <w:sz w:val="24"/>
          <w:szCs w:val="24"/>
        </w:rPr>
        <w:t>"FORMALIDADES ESENCIALES DEL PROCEDIMIENTO. SON LAS QUE GARANTIZAN UNA ADECUADA Y OPORTUNA DEFENSA PREVIA AL ACTO PRIVATIVO</w:t>
      </w:r>
      <w:r>
        <w:rPr>
          <w:rFonts w:ascii="Arial Narrow" w:hAnsi="Arial Narrow" w:cs="Arial"/>
          <w:b/>
          <w:i/>
          <w:sz w:val="24"/>
          <w:szCs w:val="24"/>
        </w:rPr>
        <w:t>”.</w:t>
      </w:r>
    </w:p>
    <w:p w14:paraId="13D985B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AEAA156" w14:textId="77777777" w:rsidR="00177FB2" w:rsidRPr="00E075DB" w:rsidRDefault="00177FB2" w:rsidP="00177FB2">
      <w:pPr>
        <w:pStyle w:val="Prrafodelista"/>
        <w:widowControl w:val="0"/>
        <w:spacing w:after="0" w:line="240" w:lineRule="auto"/>
        <w:ind w:left="567" w:right="618"/>
        <w:jc w:val="both"/>
        <w:rPr>
          <w:rFonts w:ascii="Arial Narrow" w:hAnsi="Arial Narrow" w:cs="Arial"/>
          <w:b/>
          <w:i/>
          <w:sz w:val="24"/>
          <w:szCs w:val="24"/>
          <w:u w:val="single"/>
        </w:rPr>
      </w:pPr>
      <w:r w:rsidRPr="007956CA">
        <w:rPr>
          <w:rFonts w:ascii="Arial Narrow" w:hAnsi="Arial Narrow" w:cs="Arial"/>
          <w:i/>
          <w:sz w:val="24"/>
          <w:szCs w:val="24"/>
        </w:rPr>
        <w:t xml:space="preserve">Según dicha jurisprudencia, las formalidades esenciales del procedimiento, cuyo cumplimiento permite concluir que se ha respetado la garantía de </w:t>
      </w:r>
      <w:r w:rsidRPr="007956CA">
        <w:rPr>
          <w:rFonts w:ascii="Arial Narrow" w:hAnsi="Arial Narrow" w:cs="Arial"/>
          <w:i/>
          <w:sz w:val="24"/>
          <w:szCs w:val="24"/>
        </w:rPr>
        <w:lastRenderedPageBreak/>
        <w:t xml:space="preserve">audiencia de los gobernados, son: (1) la notificación del inicio del procedimiento; (ii) la oportunidad de ofrecer y desahogar las pruebas en que se finque la defensa; (iii) la oportunidad de alegar; y (iv) </w:t>
      </w:r>
      <w:r w:rsidRPr="00E075DB">
        <w:rPr>
          <w:rFonts w:ascii="Arial Narrow" w:hAnsi="Arial Narrow" w:cs="Arial"/>
          <w:b/>
          <w:i/>
          <w:sz w:val="24"/>
          <w:szCs w:val="24"/>
          <w:u w:val="single"/>
        </w:rPr>
        <w:t>la emisión de una resolución que dirima las cuestiones debatidas.</w:t>
      </w:r>
    </w:p>
    <w:p w14:paraId="363C160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3A266782"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Lo anterior, tal y como fue sustentado por la Primera Sala de la Suprema Corte de Justicia de la Nación al resolver el amparo en revisión 352/2012.</w:t>
      </w:r>
    </w:p>
    <w:p w14:paraId="6E5DB2F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BA7147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Precisado lo anterior, cabe traer a colación lo dispuesto por el artículo 7º, fracción II de la Ley Orgánica del Tribunal Estatal de Justicia Administrativa de San Luis Potosí:</w:t>
      </w:r>
    </w:p>
    <w:p w14:paraId="73C9846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4EA5052" w14:textId="77777777" w:rsidR="00177FB2" w:rsidRPr="00E075DB" w:rsidRDefault="00177FB2" w:rsidP="00177FB2">
      <w:pPr>
        <w:pStyle w:val="Prrafodelista"/>
        <w:widowControl w:val="0"/>
        <w:spacing w:after="0" w:line="240" w:lineRule="auto"/>
        <w:ind w:left="567" w:right="618"/>
        <w:jc w:val="both"/>
        <w:rPr>
          <w:rFonts w:cs="Calibri"/>
          <w:i/>
          <w:sz w:val="24"/>
          <w:szCs w:val="24"/>
        </w:rPr>
      </w:pPr>
      <w:r w:rsidRPr="00E075DB">
        <w:rPr>
          <w:rFonts w:cs="Calibri"/>
          <w:i/>
          <w:sz w:val="24"/>
          <w:szCs w:val="24"/>
        </w:rPr>
        <w:t>"”Articulo 7. El Tribunal conocerá de los juicios que se promuevan contra las resoluciones definitivas, actos administrativos y procedimientos siguientes:</w:t>
      </w:r>
    </w:p>
    <w:p w14:paraId="7C18240A" w14:textId="77777777" w:rsidR="00177FB2" w:rsidRPr="00E075DB" w:rsidRDefault="00177FB2" w:rsidP="00177FB2">
      <w:pPr>
        <w:pStyle w:val="Prrafodelista"/>
        <w:widowControl w:val="0"/>
        <w:spacing w:after="0" w:line="240" w:lineRule="auto"/>
        <w:ind w:left="567" w:right="618"/>
        <w:jc w:val="both"/>
        <w:rPr>
          <w:rFonts w:cs="Calibri"/>
          <w:i/>
          <w:sz w:val="24"/>
          <w:szCs w:val="24"/>
        </w:rPr>
      </w:pPr>
      <w:r w:rsidRPr="00E075DB">
        <w:rPr>
          <w:rFonts w:cs="Calibri"/>
          <w:i/>
          <w:sz w:val="24"/>
          <w:szCs w:val="24"/>
        </w:rPr>
        <w:t>(...)</w:t>
      </w:r>
    </w:p>
    <w:p w14:paraId="452B940F" w14:textId="77777777" w:rsidR="00177FB2" w:rsidRPr="00E075DB" w:rsidRDefault="00177FB2" w:rsidP="00177FB2">
      <w:pPr>
        <w:pStyle w:val="Prrafodelista"/>
        <w:widowControl w:val="0"/>
        <w:spacing w:after="0" w:line="240" w:lineRule="auto"/>
        <w:ind w:left="567" w:right="618"/>
        <w:jc w:val="both"/>
        <w:rPr>
          <w:rFonts w:cs="Calibri"/>
          <w:i/>
          <w:sz w:val="24"/>
          <w:szCs w:val="24"/>
        </w:rPr>
      </w:pPr>
      <w:r w:rsidRPr="00E075DB">
        <w:rPr>
          <w:rFonts w:cs="Calibri"/>
          <w:i/>
          <w:sz w:val="24"/>
          <w:szCs w:val="24"/>
        </w:rPr>
        <w:t>II. Los decretos y acuerdos estatales y municipales de carácter general, diversos a los reglamentos, cuando sean auto aplicativos o cuando el interesado los controvierta con motivo de su primer acto de aplicación;</w:t>
      </w:r>
    </w:p>
    <w:p w14:paraId="33DBEA2D" w14:textId="77777777" w:rsidR="00177FB2" w:rsidRPr="00E075DB" w:rsidRDefault="00177FB2" w:rsidP="00177FB2">
      <w:pPr>
        <w:pStyle w:val="Prrafodelista"/>
        <w:widowControl w:val="0"/>
        <w:spacing w:after="0" w:line="240" w:lineRule="auto"/>
        <w:ind w:left="567" w:right="618"/>
        <w:jc w:val="both"/>
        <w:rPr>
          <w:rFonts w:cs="Calibri"/>
          <w:i/>
          <w:sz w:val="24"/>
          <w:szCs w:val="24"/>
        </w:rPr>
      </w:pPr>
      <w:r w:rsidRPr="00E075DB">
        <w:rPr>
          <w:rFonts w:cs="Calibri"/>
          <w:i/>
          <w:sz w:val="24"/>
          <w:szCs w:val="24"/>
        </w:rPr>
        <w:t>(...)”</w:t>
      </w:r>
      <w:r>
        <w:rPr>
          <w:rFonts w:cs="Calibri"/>
          <w:i/>
          <w:sz w:val="24"/>
          <w:szCs w:val="24"/>
        </w:rPr>
        <w:t>”</w:t>
      </w:r>
    </w:p>
    <w:p w14:paraId="16B39B5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35A132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Del dispositivo transcrito, se desprende que el juicio contencioso administrativo procede, entre otros casos, contra los decretos y acuerdos estatales y municipales de carácter general, cuando el interesado los controvierta con motivo de su primer acto de aplicación.</w:t>
      </w:r>
    </w:p>
    <w:p w14:paraId="319E40E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1F2D7195"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el caso concreto, mi mandante impugnó el Plan del Centro de Población Estratégico San Luis Potosí Soledad de Graciano Sánchez, de la Federación y su Gacela, Novena Época, tome 11, diciembre de 1995, página 133</w:t>
      </w:r>
    </w:p>
    <w:p w14:paraId="2D6B1E6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017ADF0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Ahora bien, de la lectura al citado precepto se advierte que se pueden controvertir los decretos y acuerdos estatales y municipales de carácter general, y no se sujeta la procedencia del juicio contencioso administrativo en contra de los mismos, a la necesidad de que el primer acto de aplicación resulte improcedente por haber sido sustituido (lo cual desde luego no se admite), no obstante su aplicación si se materializó.</w:t>
      </w:r>
    </w:p>
    <w:p w14:paraId="61CB594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12BC531"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Es decir, al momento en el cual el legislador determinó que era procedente el juicio en contra de los decretos y acuerdos estatales y municipales de carácter general, no limitó su impugnación a que los mismos tuvieran que ser aplicados mediante un acto que posteriormente fuese sustituido, sino por el contrario, dejó abierta la posibilidad para controvertir dichos cuerpos normativos, sólo con un acto de aplicación, sin importar si este posteriormente es sustituido (supuesto que no se admite), sino simplemente señaló que debía existir una aplicación de la norma general que se deseaba controvertir.</w:t>
      </w:r>
    </w:p>
    <w:p w14:paraId="1738BF0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7705E574"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Por lo tanto, es evidente que cuando se desea impugnar un cuerpo normativo, </w:t>
      </w:r>
      <w:r w:rsidRPr="00E075DB">
        <w:rPr>
          <w:rFonts w:ascii="Arial Narrow" w:hAnsi="Arial Narrow" w:cs="Arial"/>
          <w:b/>
          <w:i/>
          <w:sz w:val="24"/>
          <w:szCs w:val="24"/>
          <w:u w:val="single"/>
        </w:rPr>
        <w:t>basta que exista un acto de aplicación</w:t>
      </w:r>
      <w:r w:rsidRPr="007956CA">
        <w:rPr>
          <w:rFonts w:ascii="Arial Narrow" w:hAnsi="Arial Narrow" w:cs="Arial"/>
          <w:i/>
          <w:sz w:val="24"/>
          <w:szCs w:val="24"/>
        </w:rPr>
        <w:t>, con independencia de que éste posteriormente sea sustituido o improcedente, pues lo importante es que efectivamente exista una afectación y aplicación material de la norma impugnada.</w:t>
      </w:r>
    </w:p>
    <w:p w14:paraId="384098E3"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21361F2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Así, en el caso particular es claro que existió un acto de aplicación del Centro de Población Estratégico San Luis Potosí - Soledad de Graciano Sánchez, siendo este la resolución contenida en el oficio número MSGS/DUYCM/2979/2020 de 11 de marzo de 2020.</w:t>
      </w:r>
    </w:p>
    <w:p w14:paraId="3455B0C0"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66A7537"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 xml:space="preserve">Incluso, suponiendo sin conceder que la resolución contenida en el oficio </w:t>
      </w:r>
      <w:r w:rsidRPr="007956CA">
        <w:rPr>
          <w:rFonts w:ascii="Arial Narrow" w:hAnsi="Arial Narrow" w:cs="Arial"/>
          <w:i/>
          <w:sz w:val="24"/>
          <w:szCs w:val="24"/>
        </w:rPr>
        <w:lastRenderedPageBreak/>
        <w:t>número MSGS/DUYCM/2979/2020 de 11 de marzo de 2020 fue sustituida por la Licencia de uso de suelo de funcionamiento de fecha 16 de julio de 2020, con número de folio DU Y CM/417/2020, luego entonces el acto de aplicación del Plan del Centro de Población Estratégico San Luis Potosí - Soledad de Graciano Sánchez se actualizó respecto de esta última.</w:t>
      </w:r>
    </w:p>
    <w:p w14:paraId="4D1F930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4F592BEB"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Pensar lo contrario, haría por completo nugatorio el derecho de mi mandante a impugnar el Plan del Centro de Población Estratégico San Luis Potosí - Soledad de Graciano Sánchez, pues la Sala A quo despoja toda posibilidad a mi mandante para tal efecto, en la medida en que considera que no se actualizó el acto de aplicación de dicho Plan a través de la resolución contenida en el oficio número MSGS/DUYCY M/2979/2020 de 11 de marzo de 2020, pero tampoco reconoce que a través de la Licencia de uso de suelo de funcionamiento de fecha 16 de julio de 2020, con número de folio DU Y CM/417/2020, también se actualizó la aplicación de la norma impugnada.</w:t>
      </w:r>
    </w:p>
    <w:p w14:paraId="2AF6BA2D"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56512816"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ese sentido, es claro que lo sostenido por la Sala A quo es ilegal, y resulta contrario al principio de tutela judicial efectiva, ya que bajo el análisis que se ha realizado, se puede estimar que la interpretación conforme de la norma, debe ser en el sentido de que es procedente el juicio contencioso administrativo donde se controviertan los decretos y acuerdos estatales y municipales de carácter general, cuando se demuestre un acto de aplicación, con independencia de si este tuvo su origen en una resolución que posteriormente fue sustituida (supuesto que no se admite) o bien, se actualice a través de otro acto impugnado, pues lo que importa en el caso concreto es que se acredite la aplicación.</w:t>
      </w:r>
    </w:p>
    <w:p w14:paraId="027BC8B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1D0879F"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Inclusive resulta importante destacar que aun en el supuesto en que no se considere procedente el juicio de nulidad en contra de la resolución contenida en el oficio número MSGS/DUYCM/2979/2020 de 11 de marzo de 2020, los efectos de tener por interpuesto el juicio en contra del referido Plan si habrían afectado los actos subsecuentes que se emitieron con fundamento en el mismo, como lo es la Licencia de Funcionamiento.</w:t>
      </w:r>
    </w:p>
    <w:p w14:paraId="17EFC8D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p>
    <w:p w14:paraId="64F9988E"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Ello, dado que un pronunciamiento favorable a los intereses de mi mandante hubiera traído como consecuencia que se reconozca que mi mandante puede llevar a cabo la actividad agropecuaria dentro de un área Silvestre, tal y como fue inicialmente solicitado.</w:t>
      </w:r>
      <w:r w:rsidRPr="007956CA">
        <w:rPr>
          <w:rFonts w:ascii="Arial Narrow" w:hAnsi="Arial Narrow" w:cs="Arial"/>
          <w:i/>
          <w:sz w:val="24"/>
          <w:szCs w:val="24"/>
        </w:rPr>
        <w:cr/>
      </w:r>
    </w:p>
    <w:p w14:paraId="565E6A5C" w14:textId="77777777" w:rsidR="00177FB2" w:rsidRPr="007956CA" w:rsidRDefault="00177FB2" w:rsidP="00177FB2">
      <w:pPr>
        <w:pStyle w:val="Prrafodelista"/>
        <w:widowControl w:val="0"/>
        <w:spacing w:after="0" w:line="240" w:lineRule="auto"/>
        <w:ind w:left="567" w:right="618"/>
        <w:jc w:val="both"/>
        <w:rPr>
          <w:rFonts w:ascii="Arial Narrow" w:hAnsi="Arial Narrow" w:cs="Arial"/>
          <w:i/>
          <w:sz w:val="24"/>
          <w:szCs w:val="24"/>
        </w:rPr>
      </w:pPr>
      <w:r w:rsidRPr="007956CA">
        <w:rPr>
          <w:rFonts w:ascii="Arial Narrow" w:hAnsi="Arial Narrow" w:cs="Arial"/>
          <w:i/>
          <w:sz w:val="24"/>
          <w:szCs w:val="24"/>
        </w:rPr>
        <w:t>En virtud de lo anterior, una vez demostrada la ilegalidad de la sentencia recurrida, lo procedente será que se revoque, se analicen todos los actos impugnados por mi mandante, y con fundamento en lo dispuesto por los artículos 250, fracción IV, 251 y 252 del Código Procesal Administrativo para el Estado de San Luis Potosí, se declare la nulidad lisa y llana de los actos impugnados, y se reconozca que al predio ubicado en la Carretera a la Tinaja s/n; Fracción Tinaja; Municipio de Soledad de Graciano Sánchez, le corresponde un uso de suelo "agropecuario", compatible con el área silvestre en la que se encuentra ubicado, ordenando devolver las cantidades que ni mandante tuvo que erogar por un cambio de uso de suelo que resulte legal, y que se considere para efectos de la emisión de cualquier tipo de permisos y Licencias, que mi mandante realiza actividades "agropecuarias", no así "agroindustriales" o "comerciales".</w:t>
      </w:r>
      <w:r>
        <w:rPr>
          <w:rFonts w:ascii="Arial Narrow" w:hAnsi="Arial Narrow" w:cs="Arial"/>
          <w:i/>
          <w:sz w:val="24"/>
          <w:szCs w:val="24"/>
        </w:rPr>
        <w:t>”</w:t>
      </w:r>
    </w:p>
    <w:p w14:paraId="7F231F0A" w14:textId="77777777" w:rsidR="00177FB2" w:rsidRDefault="00177FB2" w:rsidP="00177FB2">
      <w:pPr>
        <w:pStyle w:val="Prrafodelista"/>
        <w:widowControl w:val="0"/>
        <w:spacing w:after="120" w:line="360" w:lineRule="auto"/>
        <w:ind w:left="0" w:firstLine="851"/>
        <w:jc w:val="both"/>
        <w:rPr>
          <w:rFonts w:ascii="Arial" w:hAnsi="Arial" w:cs="Arial"/>
          <w:sz w:val="28"/>
          <w:szCs w:val="28"/>
        </w:rPr>
      </w:pPr>
    </w:p>
    <w:p w14:paraId="016AB7C0" w14:textId="4CAAB7E9" w:rsidR="00177FB2" w:rsidRDefault="00177FB2" w:rsidP="00177FB2">
      <w:pPr>
        <w:pStyle w:val="Prrafodelista"/>
        <w:widowControl w:val="0"/>
        <w:spacing w:after="0" w:line="360" w:lineRule="auto"/>
        <w:ind w:left="0" w:firstLine="851"/>
        <w:jc w:val="both"/>
        <w:rPr>
          <w:rFonts w:ascii="Arial" w:hAnsi="Arial" w:cs="Arial"/>
          <w:sz w:val="28"/>
          <w:szCs w:val="28"/>
        </w:rPr>
      </w:pPr>
      <w:r>
        <w:rPr>
          <w:rFonts w:ascii="Arial" w:hAnsi="Arial" w:cs="Arial"/>
          <w:sz w:val="28"/>
          <w:szCs w:val="28"/>
        </w:rPr>
        <w:lastRenderedPageBreak/>
        <w:t xml:space="preserve">Ahora bien, como se adelantó, esta Sala Superior estima que los agravios antes descritos resultan </w:t>
      </w:r>
      <w:r>
        <w:rPr>
          <w:rFonts w:ascii="Arial" w:hAnsi="Arial" w:cs="Arial"/>
          <w:b/>
          <w:sz w:val="28"/>
          <w:szCs w:val="28"/>
          <w:lang w:val="es-ES" w:eastAsia="es-MX"/>
        </w:rPr>
        <w:t>infundados,</w:t>
      </w:r>
      <w:r w:rsidRPr="007F0303">
        <w:rPr>
          <w:rFonts w:ascii="Arial" w:hAnsi="Arial" w:cs="Arial"/>
          <w:sz w:val="28"/>
          <w:szCs w:val="28"/>
        </w:rPr>
        <w:t xml:space="preserve"> </w:t>
      </w:r>
      <w:r>
        <w:rPr>
          <w:rFonts w:ascii="Arial" w:hAnsi="Arial" w:cs="Arial"/>
          <w:sz w:val="28"/>
          <w:szCs w:val="28"/>
        </w:rPr>
        <w:t xml:space="preserve">mismos que </w:t>
      </w:r>
      <w:r>
        <w:rPr>
          <w:rFonts w:ascii="Arial" w:eastAsia="Times New Roman" w:hAnsi="Arial" w:cs="Arial"/>
          <w:kern w:val="28"/>
          <w:sz w:val="28"/>
          <w:szCs w:val="28"/>
          <w:lang w:val="es-ES_tradnl" w:eastAsia="es-ES"/>
        </w:rPr>
        <w:t>se analizan de manera conjunta</w:t>
      </w:r>
      <w:r>
        <w:rPr>
          <w:rStyle w:val="Refdenotaalpie"/>
          <w:rFonts w:ascii="Arial" w:hAnsi="Arial" w:cs="Arial"/>
          <w:sz w:val="28"/>
          <w:szCs w:val="28"/>
        </w:rPr>
        <w:footnoteReference w:id="15"/>
      </w:r>
      <w:r>
        <w:rPr>
          <w:rFonts w:ascii="Arial" w:eastAsia="Times New Roman" w:hAnsi="Arial" w:cs="Arial"/>
          <w:kern w:val="28"/>
          <w:sz w:val="28"/>
          <w:szCs w:val="28"/>
          <w:lang w:val="es-ES_tradnl" w:eastAsia="es-ES"/>
        </w:rPr>
        <w:t xml:space="preserve">, en atención a la estrecha relación que guardan entre sí, los cuales están encaminados a demostrar que no se actualizan </w:t>
      </w:r>
      <w:r w:rsidRPr="008F0353">
        <w:rPr>
          <w:rFonts w:ascii="Arial" w:eastAsia="Times New Roman" w:hAnsi="Arial" w:cs="Arial"/>
          <w:kern w:val="28"/>
          <w:sz w:val="28"/>
          <w:szCs w:val="28"/>
          <w:lang w:val="es-ES_tradnl" w:eastAsia="es-ES"/>
        </w:rPr>
        <w:t>las causales de improcedencia y sobreseimiento previstas en los artículos 228, fra</w:t>
      </w:r>
      <w:r>
        <w:rPr>
          <w:rFonts w:ascii="Arial" w:eastAsia="Times New Roman" w:hAnsi="Arial" w:cs="Arial"/>
          <w:kern w:val="28"/>
          <w:sz w:val="28"/>
          <w:szCs w:val="28"/>
          <w:lang w:val="es-ES_tradnl" w:eastAsia="es-ES"/>
        </w:rPr>
        <w:t xml:space="preserve">cciones V y </w:t>
      </w:r>
      <w:r w:rsidRPr="008F0353">
        <w:rPr>
          <w:rFonts w:ascii="Arial" w:eastAsia="Times New Roman" w:hAnsi="Arial" w:cs="Arial"/>
          <w:kern w:val="28"/>
          <w:sz w:val="28"/>
          <w:szCs w:val="28"/>
          <w:lang w:val="es-ES_tradnl" w:eastAsia="es-ES"/>
        </w:rPr>
        <w:t>IX</w:t>
      </w:r>
      <w:r>
        <w:rPr>
          <w:rFonts w:ascii="Arial" w:eastAsia="Times New Roman" w:hAnsi="Arial" w:cs="Arial"/>
          <w:kern w:val="28"/>
          <w:sz w:val="28"/>
          <w:szCs w:val="28"/>
          <w:lang w:val="es-ES_tradnl" w:eastAsia="es-ES"/>
        </w:rPr>
        <w:t xml:space="preserve"> </w:t>
      </w:r>
      <w:r w:rsidRPr="008F0353">
        <w:rPr>
          <w:rFonts w:ascii="Arial" w:eastAsia="Times New Roman" w:hAnsi="Arial" w:cs="Arial"/>
          <w:kern w:val="28"/>
          <w:sz w:val="28"/>
          <w:szCs w:val="28"/>
          <w:lang w:val="es-ES_tradnl" w:eastAsia="es-ES"/>
        </w:rPr>
        <w:t>y</w:t>
      </w:r>
      <w:r>
        <w:rPr>
          <w:rFonts w:ascii="Arial" w:eastAsia="Times New Roman" w:hAnsi="Arial" w:cs="Arial"/>
          <w:kern w:val="28"/>
          <w:sz w:val="28"/>
          <w:szCs w:val="28"/>
          <w:lang w:val="es-ES_tradnl" w:eastAsia="es-ES"/>
        </w:rPr>
        <w:t xml:space="preserve"> </w:t>
      </w:r>
      <w:r w:rsidRPr="008F0353">
        <w:rPr>
          <w:rFonts w:ascii="Arial" w:eastAsia="Times New Roman" w:hAnsi="Arial" w:cs="Arial"/>
          <w:kern w:val="28"/>
          <w:sz w:val="28"/>
          <w:szCs w:val="28"/>
          <w:lang w:val="es-ES_tradnl" w:eastAsia="es-ES"/>
        </w:rPr>
        <w:t>229, fracción II del Código Procesal Administrativo para el Estado de San Luis Potosí</w:t>
      </w:r>
      <w:r>
        <w:rPr>
          <w:rFonts w:ascii="Arial" w:eastAsia="Times New Roman" w:hAnsi="Arial" w:cs="Arial"/>
          <w:kern w:val="28"/>
          <w:sz w:val="28"/>
          <w:szCs w:val="28"/>
          <w:lang w:val="es-ES_tradnl" w:eastAsia="es-ES"/>
        </w:rPr>
        <w:t xml:space="preserve">, </w:t>
      </w:r>
      <w:r w:rsidRPr="008F0353">
        <w:rPr>
          <w:rFonts w:ascii="Arial" w:eastAsia="Times New Roman" w:hAnsi="Arial" w:cs="Arial"/>
          <w:kern w:val="28"/>
          <w:sz w:val="28"/>
          <w:szCs w:val="28"/>
          <w:lang w:val="es-ES_tradnl" w:eastAsia="es-ES"/>
        </w:rPr>
        <w:t xml:space="preserve">respecto de la resolución contenida en el oficio </w:t>
      </w:r>
      <w:r w:rsidR="0050127A">
        <w:rPr>
          <w:rFonts w:ascii="Arial" w:eastAsia="Times New Roman" w:hAnsi="Arial" w:cs="Arial"/>
          <w:color w:val="FF0000"/>
          <w:kern w:val="28"/>
          <w:sz w:val="28"/>
          <w:szCs w:val="28"/>
          <w:lang w:val="es-ES_tradnl" w:eastAsia="es-ES"/>
        </w:rPr>
        <w:t>**********</w:t>
      </w:r>
      <w:r w:rsidRPr="000105E8">
        <w:rPr>
          <w:rFonts w:ascii="Arial" w:eastAsia="Times New Roman" w:hAnsi="Arial" w:cs="Arial"/>
          <w:kern w:val="28"/>
          <w:sz w:val="28"/>
          <w:szCs w:val="28"/>
          <w:lang w:val="es-ES_tradnl" w:eastAsia="es-ES"/>
        </w:rPr>
        <w:t xml:space="preserve">, de once marzo de dos mil veinte, y en vía de consecuencia, </w:t>
      </w:r>
      <w:r>
        <w:rPr>
          <w:rFonts w:ascii="Arial" w:eastAsia="Times New Roman" w:hAnsi="Arial" w:cs="Arial"/>
          <w:kern w:val="28"/>
          <w:sz w:val="28"/>
          <w:szCs w:val="28"/>
          <w:lang w:val="es-ES_tradnl" w:eastAsia="es-ES"/>
        </w:rPr>
        <w:t xml:space="preserve">del </w:t>
      </w:r>
      <w:r w:rsidRPr="000105E8">
        <w:rPr>
          <w:rFonts w:ascii="Arial" w:eastAsia="Times New Roman" w:hAnsi="Arial" w:cs="Arial"/>
          <w:kern w:val="28"/>
          <w:sz w:val="28"/>
          <w:szCs w:val="28"/>
          <w:lang w:val="es-ES_tradnl" w:eastAsia="es-ES"/>
        </w:rPr>
        <w:t>Plan del Centro de Población Estratégico de Población San Luis Potos</w:t>
      </w:r>
      <w:r>
        <w:rPr>
          <w:rFonts w:ascii="Arial" w:eastAsia="Times New Roman" w:hAnsi="Arial" w:cs="Arial"/>
          <w:kern w:val="28"/>
          <w:sz w:val="28"/>
          <w:szCs w:val="28"/>
          <w:lang w:val="es-ES_tradnl" w:eastAsia="es-ES"/>
        </w:rPr>
        <w:t>í - Soledad de Graciano Sánchez.</w:t>
      </w:r>
    </w:p>
    <w:p w14:paraId="7617F0A0" w14:textId="77777777" w:rsidR="00177FB2" w:rsidRDefault="00177FB2" w:rsidP="00177FB2">
      <w:pPr>
        <w:pStyle w:val="Prrafodelista"/>
        <w:widowControl w:val="0"/>
        <w:spacing w:after="0" w:line="360" w:lineRule="auto"/>
        <w:ind w:left="0" w:firstLine="851"/>
        <w:jc w:val="both"/>
        <w:rPr>
          <w:rFonts w:ascii="Arial" w:hAnsi="Arial" w:cs="Arial"/>
          <w:sz w:val="28"/>
          <w:szCs w:val="28"/>
        </w:rPr>
      </w:pPr>
    </w:p>
    <w:p w14:paraId="0F772CF4" w14:textId="2FE78A71" w:rsidR="00177FB2" w:rsidRDefault="00177FB2" w:rsidP="00177FB2">
      <w:pPr>
        <w:pStyle w:val="Prrafodelista"/>
        <w:spacing w:after="0" w:line="360" w:lineRule="auto"/>
        <w:ind w:left="0" w:firstLine="709"/>
        <w:jc w:val="both"/>
        <w:rPr>
          <w:rFonts w:ascii="Arial" w:hAnsi="Arial" w:cs="Arial"/>
          <w:sz w:val="28"/>
          <w:szCs w:val="28"/>
        </w:rPr>
      </w:pPr>
      <w:r>
        <w:rPr>
          <w:rFonts w:ascii="Arial" w:hAnsi="Arial" w:cs="Arial"/>
          <w:sz w:val="28"/>
          <w:szCs w:val="28"/>
        </w:rPr>
        <w:t xml:space="preserve">Como ya se dijo, por resolución de </w:t>
      </w:r>
      <w:r w:rsidRPr="007D13E6">
        <w:rPr>
          <w:rFonts w:ascii="Arial" w:hAnsi="Arial" w:cs="Arial"/>
          <w:color w:val="0000FF"/>
          <w:sz w:val="28"/>
          <w:szCs w:val="28"/>
        </w:rPr>
        <w:t>treinta de septiembre de dos mil veintiuno</w:t>
      </w:r>
      <w:r>
        <w:rPr>
          <w:rFonts w:ascii="Arial" w:hAnsi="Arial" w:cs="Arial"/>
          <w:sz w:val="28"/>
          <w:szCs w:val="28"/>
        </w:rPr>
        <w:t xml:space="preserve">, dictada en el juicio </w:t>
      </w:r>
      <w:r w:rsidR="0050127A">
        <w:rPr>
          <w:rFonts w:ascii="Arial" w:hAnsi="Arial" w:cs="Arial"/>
          <w:color w:val="FF0000"/>
          <w:sz w:val="28"/>
          <w:szCs w:val="28"/>
        </w:rPr>
        <w:t>**********</w:t>
      </w:r>
      <w:r>
        <w:rPr>
          <w:rFonts w:ascii="Arial" w:hAnsi="Arial" w:cs="Arial"/>
          <w:sz w:val="28"/>
          <w:szCs w:val="28"/>
        </w:rPr>
        <w:t xml:space="preserve">/2020-1, la Primera Sala Unitaria, determinó sustancialmente que se </w:t>
      </w:r>
      <w:r w:rsidRPr="007B12E3">
        <w:rPr>
          <w:rFonts w:ascii="Arial" w:hAnsi="Arial" w:cs="Arial"/>
          <w:sz w:val="28"/>
          <w:szCs w:val="28"/>
        </w:rPr>
        <w:t>actualiza</w:t>
      </w:r>
      <w:r>
        <w:rPr>
          <w:rFonts w:ascii="Arial" w:hAnsi="Arial" w:cs="Arial"/>
          <w:sz w:val="28"/>
          <w:szCs w:val="28"/>
        </w:rPr>
        <w:t>ba</w:t>
      </w:r>
      <w:r w:rsidRPr="007B12E3">
        <w:rPr>
          <w:rFonts w:ascii="Arial" w:hAnsi="Arial" w:cs="Arial"/>
          <w:sz w:val="28"/>
          <w:szCs w:val="28"/>
        </w:rPr>
        <w:t xml:space="preserve"> la causal de improcedencia prevista en el artículo 228, fracción IX del Código Procesal Administrativa para el Estado, y conforme a lo dispuesto en la fracción II del artículo</w:t>
      </w:r>
      <w:r>
        <w:rPr>
          <w:rFonts w:ascii="Arial" w:hAnsi="Arial" w:cs="Arial"/>
          <w:sz w:val="28"/>
          <w:szCs w:val="28"/>
        </w:rPr>
        <w:t xml:space="preserve"> 229 del citado Código, procedía </w:t>
      </w:r>
      <w:r w:rsidRPr="007B12E3">
        <w:rPr>
          <w:rFonts w:ascii="Arial" w:hAnsi="Arial" w:cs="Arial"/>
          <w:sz w:val="28"/>
          <w:szCs w:val="28"/>
        </w:rPr>
        <w:t>el sobreseimiento del juicio</w:t>
      </w:r>
      <w:r>
        <w:rPr>
          <w:rFonts w:ascii="Arial" w:hAnsi="Arial" w:cs="Arial"/>
          <w:sz w:val="28"/>
          <w:szCs w:val="28"/>
        </w:rPr>
        <w:t>,</w:t>
      </w:r>
      <w:r w:rsidRPr="007B12E3">
        <w:rPr>
          <w:rFonts w:ascii="Arial" w:hAnsi="Arial" w:cs="Arial"/>
          <w:sz w:val="28"/>
          <w:szCs w:val="28"/>
        </w:rPr>
        <w:t xml:space="preserve"> respecto del acto impugnado consistente en el oficio </w:t>
      </w:r>
      <w:r w:rsidR="0050127A">
        <w:rPr>
          <w:rFonts w:ascii="Arial" w:hAnsi="Arial" w:cs="Arial"/>
          <w:color w:val="FF0000"/>
          <w:sz w:val="28"/>
          <w:szCs w:val="28"/>
        </w:rPr>
        <w:t>**********</w:t>
      </w:r>
      <w:r w:rsidRPr="007B12E3">
        <w:rPr>
          <w:rFonts w:ascii="Arial" w:hAnsi="Arial" w:cs="Arial"/>
          <w:sz w:val="28"/>
          <w:szCs w:val="28"/>
        </w:rPr>
        <w:t xml:space="preserve">de </w:t>
      </w:r>
      <w:r>
        <w:rPr>
          <w:rFonts w:ascii="Arial" w:hAnsi="Arial" w:cs="Arial"/>
          <w:sz w:val="28"/>
          <w:szCs w:val="28"/>
        </w:rPr>
        <w:t>once de marzo de dos mil veinte.</w:t>
      </w:r>
    </w:p>
    <w:p w14:paraId="6A045133" w14:textId="77777777" w:rsidR="00177FB2" w:rsidRDefault="00177FB2" w:rsidP="00177FB2">
      <w:pPr>
        <w:pStyle w:val="Prrafodelista"/>
        <w:spacing w:after="0" w:line="360" w:lineRule="auto"/>
        <w:ind w:left="0" w:firstLine="709"/>
        <w:jc w:val="both"/>
        <w:rPr>
          <w:rFonts w:ascii="Arial" w:hAnsi="Arial" w:cs="Arial"/>
          <w:sz w:val="28"/>
          <w:szCs w:val="28"/>
        </w:rPr>
      </w:pPr>
    </w:p>
    <w:p w14:paraId="42ABF316" w14:textId="77777777" w:rsidR="00177FB2" w:rsidRDefault="00177FB2" w:rsidP="00177FB2">
      <w:pPr>
        <w:pStyle w:val="Prrafodelista"/>
        <w:spacing w:after="0" w:line="360" w:lineRule="auto"/>
        <w:ind w:left="0" w:firstLine="709"/>
        <w:jc w:val="both"/>
        <w:rPr>
          <w:rFonts w:ascii="Arial" w:hAnsi="Arial" w:cs="Arial"/>
          <w:sz w:val="28"/>
          <w:szCs w:val="28"/>
        </w:rPr>
      </w:pPr>
      <w:r>
        <w:rPr>
          <w:rFonts w:ascii="Arial" w:hAnsi="Arial" w:cs="Arial"/>
          <w:sz w:val="28"/>
          <w:szCs w:val="28"/>
        </w:rPr>
        <w:t xml:space="preserve">Lo anterior, toda vez que, </w:t>
      </w:r>
      <w:r w:rsidRPr="007B12E3">
        <w:rPr>
          <w:rFonts w:ascii="Arial" w:hAnsi="Arial" w:cs="Arial"/>
          <w:sz w:val="28"/>
          <w:szCs w:val="28"/>
        </w:rPr>
        <w:t>ya no exist</w:t>
      </w:r>
      <w:r>
        <w:rPr>
          <w:rFonts w:ascii="Arial" w:hAnsi="Arial" w:cs="Arial"/>
          <w:sz w:val="28"/>
          <w:szCs w:val="28"/>
        </w:rPr>
        <w:t>ía</w:t>
      </w:r>
      <w:r w:rsidRPr="007B12E3">
        <w:rPr>
          <w:rFonts w:ascii="Arial" w:hAnsi="Arial" w:cs="Arial"/>
          <w:sz w:val="28"/>
          <w:szCs w:val="28"/>
        </w:rPr>
        <w:t xml:space="preserve"> alguna consecuencia material en perjuicio de</w:t>
      </w:r>
      <w:r>
        <w:rPr>
          <w:rFonts w:ascii="Arial" w:hAnsi="Arial" w:cs="Arial"/>
          <w:sz w:val="28"/>
          <w:szCs w:val="28"/>
        </w:rPr>
        <w:t xml:space="preserve">l actor, </w:t>
      </w:r>
      <w:r w:rsidRPr="007B12E3">
        <w:rPr>
          <w:rFonts w:ascii="Arial" w:hAnsi="Arial" w:cs="Arial"/>
          <w:sz w:val="28"/>
          <w:szCs w:val="28"/>
        </w:rPr>
        <w:t>en virtud de que</w:t>
      </w:r>
      <w:r>
        <w:rPr>
          <w:rFonts w:ascii="Arial" w:hAnsi="Arial" w:cs="Arial"/>
          <w:sz w:val="28"/>
          <w:szCs w:val="28"/>
        </w:rPr>
        <w:t xml:space="preserve"> ya existía</w:t>
      </w:r>
      <w:r w:rsidRPr="007B12E3">
        <w:rPr>
          <w:rFonts w:ascii="Arial" w:hAnsi="Arial" w:cs="Arial"/>
          <w:sz w:val="28"/>
          <w:szCs w:val="28"/>
        </w:rPr>
        <w:t xml:space="preserve"> un pronunciamiento posterior de manera positiva por parte de la autoridad que dejó materialmente sin efectos aquélla </w:t>
      </w:r>
      <w:r w:rsidRPr="007B12E3">
        <w:rPr>
          <w:rFonts w:ascii="Arial" w:hAnsi="Arial" w:cs="Arial"/>
          <w:sz w:val="28"/>
          <w:szCs w:val="28"/>
        </w:rPr>
        <w:lastRenderedPageBreak/>
        <w:t xml:space="preserve">determinación en sentido negativo, es decir, por sustitución, </w:t>
      </w:r>
      <w:r>
        <w:rPr>
          <w:rFonts w:ascii="Arial" w:hAnsi="Arial" w:cs="Arial"/>
          <w:sz w:val="28"/>
          <w:szCs w:val="28"/>
        </w:rPr>
        <w:t xml:space="preserve">se </w:t>
      </w:r>
      <w:r w:rsidRPr="007B12E3">
        <w:rPr>
          <w:rFonts w:ascii="Arial" w:hAnsi="Arial" w:cs="Arial"/>
          <w:sz w:val="28"/>
          <w:szCs w:val="28"/>
        </w:rPr>
        <w:t xml:space="preserve">dejó sin efectos la no autorización de la licencia solicitada, por ende, </w:t>
      </w:r>
      <w:r>
        <w:rPr>
          <w:rFonts w:ascii="Arial" w:hAnsi="Arial" w:cs="Arial"/>
          <w:sz w:val="28"/>
          <w:szCs w:val="28"/>
        </w:rPr>
        <w:t>habían quedado</w:t>
      </w:r>
      <w:r w:rsidRPr="007B12E3">
        <w:rPr>
          <w:rFonts w:ascii="Arial" w:hAnsi="Arial" w:cs="Arial"/>
          <w:sz w:val="28"/>
          <w:szCs w:val="28"/>
        </w:rPr>
        <w:t xml:space="preserve"> destruidos todos sus efectos como si nunca hubiesen existido, puesto que la razón que justifica</w:t>
      </w:r>
      <w:r>
        <w:rPr>
          <w:rFonts w:ascii="Arial" w:hAnsi="Arial" w:cs="Arial"/>
          <w:sz w:val="28"/>
          <w:szCs w:val="28"/>
        </w:rPr>
        <w:t>ba</w:t>
      </w:r>
      <w:r w:rsidRPr="007B12E3">
        <w:rPr>
          <w:rFonts w:ascii="Arial" w:hAnsi="Arial" w:cs="Arial"/>
          <w:sz w:val="28"/>
          <w:szCs w:val="28"/>
        </w:rPr>
        <w:t xml:space="preserve"> la improcedencia de mérito, </w:t>
      </w:r>
      <w:r>
        <w:rPr>
          <w:rFonts w:ascii="Arial" w:hAnsi="Arial" w:cs="Arial"/>
          <w:sz w:val="28"/>
          <w:szCs w:val="28"/>
        </w:rPr>
        <w:t>lo era</w:t>
      </w:r>
      <w:r w:rsidRPr="007B12E3">
        <w:rPr>
          <w:rFonts w:ascii="Arial" w:hAnsi="Arial" w:cs="Arial"/>
          <w:sz w:val="28"/>
          <w:szCs w:val="28"/>
        </w:rPr>
        <w:t xml:space="preserve"> la ociosidad de examinar la legalidad de un acto que ya no est</w:t>
      </w:r>
      <w:r>
        <w:rPr>
          <w:rFonts w:ascii="Arial" w:hAnsi="Arial" w:cs="Arial"/>
          <w:sz w:val="28"/>
          <w:szCs w:val="28"/>
        </w:rPr>
        <w:t>aba</w:t>
      </w:r>
      <w:r w:rsidRPr="007B12E3">
        <w:rPr>
          <w:rFonts w:ascii="Arial" w:hAnsi="Arial" w:cs="Arial"/>
          <w:sz w:val="28"/>
          <w:szCs w:val="28"/>
        </w:rPr>
        <w:t xml:space="preserve"> surtiendo sus efectos, ni los surtir</w:t>
      </w:r>
      <w:r>
        <w:rPr>
          <w:rFonts w:ascii="Arial" w:hAnsi="Arial" w:cs="Arial"/>
          <w:sz w:val="28"/>
          <w:szCs w:val="28"/>
        </w:rPr>
        <w:t>ía</w:t>
      </w:r>
      <w:r w:rsidRPr="007B12E3">
        <w:rPr>
          <w:rFonts w:ascii="Arial" w:hAnsi="Arial" w:cs="Arial"/>
          <w:sz w:val="28"/>
          <w:szCs w:val="28"/>
        </w:rPr>
        <w:t>, y que no dejó huella alguna en la esfera j</w:t>
      </w:r>
      <w:r>
        <w:rPr>
          <w:rFonts w:ascii="Arial" w:hAnsi="Arial" w:cs="Arial"/>
          <w:sz w:val="28"/>
          <w:szCs w:val="28"/>
        </w:rPr>
        <w:t>urídica de la actora que ameritara</w:t>
      </w:r>
      <w:r w:rsidRPr="007B12E3">
        <w:rPr>
          <w:rFonts w:ascii="Arial" w:hAnsi="Arial" w:cs="Arial"/>
          <w:sz w:val="28"/>
          <w:szCs w:val="28"/>
        </w:rPr>
        <w:t xml:space="preserve"> ser borrada por el otorgamiento de la declaratoria de nulidad</w:t>
      </w:r>
      <w:r>
        <w:rPr>
          <w:rFonts w:ascii="Arial" w:hAnsi="Arial" w:cs="Arial"/>
          <w:sz w:val="28"/>
          <w:szCs w:val="28"/>
        </w:rPr>
        <w:t>.</w:t>
      </w:r>
    </w:p>
    <w:p w14:paraId="59995980" w14:textId="77777777" w:rsidR="00177FB2" w:rsidRDefault="00177FB2" w:rsidP="00177FB2">
      <w:pPr>
        <w:pStyle w:val="Prrafodelista"/>
        <w:spacing w:after="0" w:line="360" w:lineRule="auto"/>
        <w:ind w:left="0" w:firstLine="709"/>
        <w:jc w:val="both"/>
        <w:rPr>
          <w:rFonts w:ascii="Arial" w:hAnsi="Arial" w:cs="Arial"/>
          <w:sz w:val="28"/>
          <w:szCs w:val="28"/>
        </w:rPr>
      </w:pPr>
    </w:p>
    <w:p w14:paraId="6B0B5A6A" w14:textId="5C2B8B8D" w:rsidR="00177FB2" w:rsidRPr="00901B82" w:rsidRDefault="00177FB2" w:rsidP="00177FB2">
      <w:pPr>
        <w:spacing w:after="0" w:line="360" w:lineRule="auto"/>
        <w:ind w:firstLine="708"/>
        <w:jc w:val="both"/>
        <w:rPr>
          <w:rFonts w:ascii="Arial" w:hAnsi="Arial" w:cs="Arial"/>
          <w:sz w:val="28"/>
          <w:szCs w:val="28"/>
        </w:rPr>
      </w:pPr>
      <w:r w:rsidRPr="00901B82">
        <w:rPr>
          <w:rFonts w:ascii="Arial" w:hAnsi="Arial" w:cs="Arial"/>
          <w:sz w:val="28"/>
          <w:szCs w:val="28"/>
        </w:rPr>
        <w:t xml:space="preserve">Asimismo precisó, que de conformidad con lo dispuesto por los artículos 228, fracción V y 252, del Código Procesal Administrativo para el </w:t>
      </w:r>
      <w:r w:rsidRPr="003E5337">
        <w:rPr>
          <w:rFonts w:ascii="Arial" w:hAnsi="Arial" w:cs="Arial"/>
          <w:sz w:val="28"/>
          <w:szCs w:val="28"/>
        </w:rPr>
        <w:t>Estado, son actos consumados de modo irreparable los que han producido todos sus efectos,</w:t>
      </w:r>
      <w:r w:rsidRPr="00901B82">
        <w:rPr>
          <w:rFonts w:ascii="Arial" w:hAnsi="Arial" w:cs="Arial"/>
          <w:sz w:val="28"/>
          <w:szCs w:val="28"/>
        </w:rPr>
        <w:t xml:space="preserve"> por ende, las posibles consecuencias de la </w:t>
      </w:r>
      <w:r>
        <w:rPr>
          <w:rFonts w:ascii="Arial" w:hAnsi="Arial" w:cs="Arial"/>
          <w:sz w:val="28"/>
          <w:szCs w:val="28"/>
        </w:rPr>
        <w:t>resolución</w:t>
      </w:r>
      <w:r w:rsidRPr="00901B82">
        <w:rPr>
          <w:rFonts w:ascii="Arial" w:hAnsi="Arial" w:cs="Arial"/>
          <w:sz w:val="28"/>
          <w:szCs w:val="28"/>
        </w:rPr>
        <w:t xml:space="preserve"> contenida </w:t>
      </w:r>
      <w:r>
        <w:rPr>
          <w:rFonts w:ascii="Arial" w:hAnsi="Arial" w:cs="Arial"/>
          <w:sz w:val="28"/>
          <w:szCs w:val="28"/>
        </w:rPr>
        <w:t>en el oficio</w:t>
      </w:r>
      <w:r w:rsidRPr="00901B82">
        <w:rPr>
          <w:rFonts w:ascii="Arial" w:hAnsi="Arial" w:cs="Arial"/>
          <w:sz w:val="28"/>
          <w:szCs w:val="28"/>
        </w:rPr>
        <w:t xml:space="preserve"> </w:t>
      </w:r>
      <w:r w:rsidR="0050127A">
        <w:rPr>
          <w:rFonts w:ascii="Arial" w:hAnsi="Arial" w:cs="Arial"/>
          <w:color w:val="FF0000"/>
          <w:sz w:val="28"/>
          <w:szCs w:val="28"/>
        </w:rPr>
        <w:t>**********</w:t>
      </w:r>
      <w:r w:rsidRPr="00901B82">
        <w:rPr>
          <w:rFonts w:ascii="Arial" w:hAnsi="Arial" w:cs="Arial"/>
          <w:sz w:val="28"/>
          <w:szCs w:val="28"/>
        </w:rPr>
        <w:t xml:space="preserve"> de </w:t>
      </w:r>
      <w:r>
        <w:rPr>
          <w:rFonts w:ascii="Arial" w:hAnsi="Arial" w:cs="Arial"/>
          <w:color w:val="0033CC"/>
          <w:sz w:val="28"/>
          <w:szCs w:val="28"/>
        </w:rPr>
        <w:t>once de marzo de dos mil veinte</w:t>
      </w:r>
      <w:r w:rsidRPr="003E5337">
        <w:rPr>
          <w:rFonts w:ascii="Arial" w:hAnsi="Arial" w:cs="Arial"/>
          <w:color w:val="0033CC"/>
          <w:sz w:val="28"/>
          <w:szCs w:val="28"/>
        </w:rPr>
        <w:t xml:space="preserve">, </w:t>
      </w:r>
      <w:r w:rsidRPr="003E5337">
        <w:rPr>
          <w:rFonts w:ascii="Arial" w:hAnsi="Arial" w:cs="Arial"/>
          <w:sz w:val="28"/>
          <w:szCs w:val="28"/>
        </w:rPr>
        <w:t xml:space="preserve">quedaron irreparablemente consumadas, pues únicamente se prolongaron durante el tiempo que duró tal negativa, es decir, hasta el momento de que la autoridad expidió la licencia de uso de suelo </w:t>
      </w:r>
      <w:r w:rsidR="0050127A">
        <w:rPr>
          <w:rFonts w:ascii="Arial" w:hAnsi="Arial" w:cs="Arial"/>
          <w:color w:val="FF0000"/>
          <w:sz w:val="28"/>
          <w:szCs w:val="28"/>
        </w:rPr>
        <w:t>**********</w:t>
      </w:r>
      <w:r w:rsidRPr="003E5337">
        <w:rPr>
          <w:rFonts w:ascii="Arial" w:hAnsi="Arial" w:cs="Arial"/>
          <w:sz w:val="28"/>
          <w:szCs w:val="28"/>
        </w:rPr>
        <w:t xml:space="preserve">de </w:t>
      </w:r>
      <w:r w:rsidRPr="003E5337">
        <w:rPr>
          <w:rFonts w:ascii="Arial" w:hAnsi="Arial" w:cs="Arial"/>
          <w:color w:val="0033CC"/>
          <w:sz w:val="28"/>
          <w:szCs w:val="28"/>
        </w:rPr>
        <w:t>dieciséis de julio de dos mil veinte</w:t>
      </w:r>
      <w:r w:rsidRPr="003E5337">
        <w:rPr>
          <w:rFonts w:ascii="Arial" w:hAnsi="Arial" w:cs="Arial"/>
          <w:sz w:val="28"/>
          <w:szCs w:val="28"/>
        </w:rPr>
        <w:t>, también impugnada, respecto de la misma actividad (Granja Avícola) y con relación al mismo predio (</w:t>
      </w:r>
      <w:r w:rsidR="0050127A">
        <w:rPr>
          <w:rFonts w:ascii="Arial" w:hAnsi="Arial" w:cs="Arial"/>
          <w:color w:val="FF0000"/>
          <w:sz w:val="28"/>
          <w:szCs w:val="28"/>
        </w:rPr>
        <w:t>**********</w:t>
      </w:r>
      <w:r w:rsidRPr="00901B82">
        <w:rPr>
          <w:rFonts w:ascii="Arial" w:hAnsi="Arial" w:cs="Arial"/>
          <w:sz w:val="28"/>
          <w:szCs w:val="28"/>
        </w:rPr>
        <w:t>); de ahí que tampoco sería posible dejar sin efectos un acto cuyos efectos quedaron consumados de forma irreparable, lo cual, también</w:t>
      </w:r>
      <w:r>
        <w:rPr>
          <w:rFonts w:ascii="Arial" w:hAnsi="Arial" w:cs="Arial"/>
          <w:sz w:val="28"/>
          <w:szCs w:val="28"/>
        </w:rPr>
        <w:t xml:space="preserve"> hacía</w:t>
      </w:r>
      <w:r w:rsidRPr="00901B82">
        <w:rPr>
          <w:rFonts w:ascii="Arial" w:hAnsi="Arial" w:cs="Arial"/>
          <w:sz w:val="28"/>
          <w:szCs w:val="28"/>
        </w:rPr>
        <w:t xml:space="preserve"> improcedente la acción de nulidad</w:t>
      </w:r>
      <w:r>
        <w:rPr>
          <w:rFonts w:ascii="Arial" w:hAnsi="Arial" w:cs="Arial"/>
          <w:sz w:val="28"/>
          <w:szCs w:val="28"/>
        </w:rPr>
        <w:t>.</w:t>
      </w:r>
    </w:p>
    <w:p w14:paraId="2D988953" w14:textId="77777777" w:rsidR="00177FB2" w:rsidRPr="00117530" w:rsidRDefault="00177FB2" w:rsidP="00177FB2">
      <w:pPr>
        <w:spacing w:after="0" w:line="360" w:lineRule="auto"/>
        <w:ind w:firstLine="708"/>
        <w:jc w:val="both"/>
        <w:rPr>
          <w:rFonts w:ascii="Arial" w:hAnsi="Arial" w:cs="Arial"/>
          <w:sz w:val="18"/>
          <w:szCs w:val="18"/>
        </w:rPr>
      </w:pPr>
    </w:p>
    <w:p w14:paraId="4FD8EF85" w14:textId="3A1F6D7E"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Por otra parte</w:t>
      </w:r>
      <w:r w:rsidRPr="003E5337">
        <w:rPr>
          <w:rFonts w:ascii="Arial" w:hAnsi="Arial" w:cs="Arial"/>
          <w:sz w:val="28"/>
          <w:szCs w:val="28"/>
        </w:rPr>
        <w:t>,</w:t>
      </w:r>
      <w:r>
        <w:rPr>
          <w:rFonts w:ascii="Arial" w:hAnsi="Arial" w:cs="Arial"/>
          <w:sz w:val="28"/>
          <w:szCs w:val="28"/>
        </w:rPr>
        <w:t xml:space="preserve"> la </w:t>
      </w:r>
      <w:r w:rsidRPr="003E5337">
        <w:rPr>
          <w:rFonts w:ascii="Arial" w:hAnsi="Arial" w:cs="Arial"/>
          <w:i/>
          <w:sz w:val="28"/>
          <w:szCs w:val="28"/>
        </w:rPr>
        <w:t>A</w:t>
      </w:r>
      <w:r>
        <w:rPr>
          <w:rFonts w:ascii="Arial" w:hAnsi="Arial" w:cs="Arial"/>
          <w:i/>
          <w:sz w:val="28"/>
          <w:szCs w:val="28"/>
        </w:rPr>
        <w:t xml:space="preserve"> </w:t>
      </w:r>
      <w:r w:rsidRPr="003E5337">
        <w:rPr>
          <w:rFonts w:ascii="Arial" w:hAnsi="Arial" w:cs="Arial"/>
          <w:i/>
          <w:sz w:val="28"/>
          <w:szCs w:val="28"/>
        </w:rPr>
        <w:t>quo</w:t>
      </w:r>
      <w:r>
        <w:rPr>
          <w:rFonts w:ascii="Arial" w:hAnsi="Arial" w:cs="Arial"/>
          <w:sz w:val="28"/>
          <w:szCs w:val="28"/>
        </w:rPr>
        <w:t xml:space="preserve"> estableció que</w:t>
      </w:r>
      <w:r w:rsidRPr="003E5337">
        <w:rPr>
          <w:rFonts w:ascii="Arial" w:hAnsi="Arial" w:cs="Arial"/>
          <w:sz w:val="28"/>
          <w:szCs w:val="28"/>
        </w:rPr>
        <w:t xml:space="preserve"> también resulta</w:t>
      </w:r>
      <w:r>
        <w:rPr>
          <w:rFonts w:ascii="Arial" w:hAnsi="Arial" w:cs="Arial"/>
          <w:sz w:val="28"/>
          <w:szCs w:val="28"/>
        </w:rPr>
        <w:t>ba</w:t>
      </w:r>
      <w:r w:rsidRPr="003E5337">
        <w:rPr>
          <w:rFonts w:ascii="Arial" w:hAnsi="Arial" w:cs="Arial"/>
          <w:sz w:val="28"/>
          <w:szCs w:val="28"/>
        </w:rPr>
        <w:t xml:space="preserve"> procedente el sobreseimiento del juicio con relación al acto consistente en el Plan del Centro de Población Estratégico de Población San Luis Potosí - Soledad de Graciano Sánchez, publicado en el Periódico Oficial del Estado el veintiuno de </w:t>
      </w:r>
      <w:r w:rsidRPr="003E5337">
        <w:rPr>
          <w:rFonts w:ascii="Arial" w:hAnsi="Arial" w:cs="Arial"/>
          <w:sz w:val="28"/>
          <w:szCs w:val="28"/>
        </w:rPr>
        <w:lastRenderedPageBreak/>
        <w:t>agosto de dos mil tres, toda vez que</w:t>
      </w:r>
      <w:r>
        <w:rPr>
          <w:rFonts w:ascii="Arial" w:hAnsi="Arial" w:cs="Arial"/>
          <w:sz w:val="28"/>
          <w:szCs w:val="28"/>
        </w:rPr>
        <w:t>,</w:t>
      </w:r>
      <w:r w:rsidRPr="003E5337">
        <w:rPr>
          <w:rFonts w:ascii="Arial" w:hAnsi="Arial" w:cs="Arial"/>
          <w:sz w:val="28"/>
          <w:szCs w:val="28"/>
        </w:rPr>
        <w:t xml:space="preserve"> la </w:t>
      </w:r>
      <w:r>
        <w:rPr>
          <w:rFonts w:ascii="Arial" w:hAnsi="Arial" w:cs="Arial"/>
          <w:sz w:val="28"/>
          <w:szCs w:val="28"/>
        </w:rPr>
        <w:t xml:space="preserve">actora lo controvirtió </w:t>
      </w:r>
      <w:r w:rsidRPr="003E5337">
        <w:rPr>
          <w:rFonts w:ascii="Arial" w:hAnsi="Arial" w:cs="Arial"/>
          <w:sz w:val="28"/>
          <w:szCs w:val="28"/>
        </w:rPr>
        <w:t xml:space="preserve">junto con su primer acto de aplicación, la resolución </w:t>
      </w:r>
      <w:r w:rsidR="0050127A">
        <w:rPr>
          <w:rFonts w:ascii="Arial" w:hAnsi="Arial" w:cs="Arial"/>
          <w:color w:val="FF0000"/>
          <w:sz w:val="28"/>
          <w:szCs w:val="28"/>
        </w:rPr>
        <w:t>**********</w:t>
      </w:r>
      <w:r w:rsidRPr="003E5337">
        <w:rPr>
          <w:rFonts w:ascii="Arial" w:hAnsi="Arial" w:cs="Arial"/>
          <w:sz w:val="28"/>
          <w:szCs w:val="28"/>
        </w:rPr>
        <w:t xml:space="preserve">, por el cual resultó improcedente el juicio, </w:t>
      </w:r>
      <w:r>
        <w:rPr>
          <w:rFonts w:ascii="Arial" w:hAnsi="Arial" w:cs="Arial"/>
          <w:sz w:val="28"/>
          <w:szCs w:val="28"/>
        </w:rPr>
        <w:t>y</w:t>
      </w:r>
      <w:r w:rsidRPr="003E5337">
        <w:rPr>
          <w:rFonts w:ascii="Arial" w:hAnsi="Arial" w:cs="Arial"/>
          <w:sz w:val="28"/>
          <w:szCs w:val="28"/>
        </w:rPr>
        <w:t xml:space="preserve"> tomando en consideración, los criterios sustentados por la Segunda Sala del Alto Tribunal de la Nación y por los Tr</w:t>
      </w:r>
      <w:r>
        <w:rPr>
          <w:rFonts w:ascii="Arial" w:hAnsi="Arial" w:cs="Arial"/>
          <w:sz w:val="28"/>
          <w:szCs w:val="28"/>
        </w:rPr>
        <w:t>ibunales Colegiados de Circuito</w:t>
      </w:r>
      <w:r w:rsidRPr="003E5337">
        <w:rPr>
          <w:rFonts w:ascii="Arial" w:hAnsi="Arial" w:cs="Arial"/>
          <w:sz w:val="28"/>
          <w:szCs w:val="28"/>
        </w:rPr>
        <w:t xml:space="preserve"> que </w:t>
      </w:r>
      <w:r>
        <w:rPr>
          <w:rFonts w:ascii="Arial" w:hAnsi="Arial" w:cs="Arial"/>
          <w:sz w:val="28"/>
          <w:szCs w:val="28"/>
        </w:rPr>
        <w:t>citó, no debía</w:t>
      </w:r>
      <w:r w:rsidRPr="003E5337">
        <w:rPr>
          <w:rFonts w:ascii="Arial" w:hAnsi="Arial" w:cs="Arial"/>
          <w:sz w:val="28"/>
          <w:szCs w:val="28"/>
        </w:rPr>
        <w:t xml:space="preserve"> desvincularse el estudio de la referida disposición impugnada del que concierne a su acto de aplicación, por lo que, si se estima</w:t>
      </w:r>
      <w:r>
        <w:rPr>
          <w:rFonts w:ascii="Arial" w:hAnsi="Arial" w:cs="Arial"/>
          <w:sz w:val="28"/>
          <w:szCs w:val="28"/>
        </w:rPr>
        <w:t>ba</w:t>
      </w:r>
      <w:r w:rsidRPr="003E5337">
        <w:rPr>
          <w:rFonts w:ascii="Arial" w:hAnsi="Arial" w:cs="Arial"/>
          <w:sz w:val="28"/>
          <w:szCs w:val="28"/>
        </w:rPr>
        <w:t xml:space="preserve"> improcedente el juicio en contr</w:t>
      </w:r>
      <w:r>
        <w:rPr>
          <w:rFonts w:ascii="Arial" w:hAnsi="Arial" w:cs="Arial"/>
          <w:sz w:val="28"/>
          <w:szCs w:val="28"/>
        </w:rPr>
        <w:t>a del acto de aplicación, debía</w:t>
      </w:r>
      <w:r w:rsidRPr="003E5337">
        <w:rPr>
          <w:rFonts w:ascii="Arial" w:hAnsi="Arial" w:cs="Arial"/>
          <w:sz w:val="28"/>
          <w:szCs w:val="28"/>
        </w:rPr>
        <w:t xml:space="preserve"> sobreseer</w:t>
      </w:r>
      <w:r>
        <w:rPr>
          <w:rFonts w:ascii="Arial" w:hAnsi="Arial" w:cs="Arial"/>
          <w:sz w:val="28"/>
          <w:szCs w:val="28"/>
        </w:rPr>
        <w:t>se</w:t>
      </w:r>
      <w:r w:rsidRPr="003E5337">
        <w:rPr>
          <w:rFonts w:ascii="Arial" w:hAnsi="Arial" w:cs="Arial"/>
          <w:sz w:val="28"/>
          <w:szCs w:val="28"/>
        </w:rPr>
        <w:t xml:space="preserve"> respecto de éste y, en vía de consecuencia, también en relación con el acto de carácter general impugnado, al no p</w:t>
      </w:r>
      <w:r>
        <w:rPr>
          <w:rFonts w:ascii="Arial" w:hAnsi="Arial" w:cs="Arial"/>
          <w:sz w:val="28"/>
          <w:szCs w:val="28"/>
        </w:rPr>
        <w:t>oder desvincularse uno de otro.</w:t>
      </w:r>
    </w:p>
    <w:p w14:paraId="5069AE43" w14:textId="77777777" w:rsidR="00177FB2" w:rsidRDefault="00177FB2" w:rsidP="00177FB2">
      <w:pPr>
        <w:pStyle w:val="Prrafodelista"/>
        <w:spacing w:after="0" w:line="360" w:lineRule="auto"/>
        <w:ind w:left="0" w:firstLine="851"/>
        <w:jc w:val="both"/>
        <w:rPr>
          <w:rFonts w:ascii="Arial" w:hAnsi="Arial" w:cs="Arial"/>
          <w:sz w:val="28"/>
          <w:szCs w:val="28"/>
        </w:rPr>
      </w:pPr>
    </w:p>
    <w:p w14:paraId="014F1E3B" w14:textId="77777777"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Ahora</w:t>
      </w:r>
      <w:r w:rsidRPr="00EE75D0">
        <w:rPr>
          <w:rFonts w:ascii="Arial" w:hAnsi="Arial" w:cs="Arial"/>
          <w:sz w:val="28"/>
          <w:szCs w:val="28"/>
        </w:rPr>
        <w:t xml:space="preserve">, como marco de estudio en esta sentencia, y al tenor de </w:t>
      </w:r>
      <w:r>
        <w:rPr>
          <w:rFonts w:ascii="Arial" w:hAnsi="Arial" w:cs="Arial"/>
          <w:sz w:val="28"/>
          <w:szCs w:val="28"/>
        </w:rPr>
        <w:t>los argumentos expuestos por la parte apelante</w:t>
      </w:r>
      <w:r w:rsidRPr="00EE75D0">
        <w:rPr>
          <w:rFonts w:ascii="Arial" w:hAnsi="Arial" w:cs="Arial"/>
          <w:sz w:val="28"/>
          <w:szCs w:val="28"/>
        </w:rPr>
        <w:t xml:space="preserve">, impera realizar ciertas precisiones en cuanto a la naturaleza y alcances de la hipótesis de improcedencia </w:t>
      </w:r>
      <w:r w:rsidRPr="007B12E3">
        <w:rPr>
          <w:rFonts w:ascii="Arial" w:hAnsi="Arial" w:cs="Arial"/>
          <w:sz w:val="28"/>
          <w:szCs w:val="28"/>
        </w:rPr>
        <w:t>prevista en el artículo 228, fracción IX del Código Procesal Administrativa para el Estado</w:t>
      </w:r>
      <w:r w:rsidRPr="00EE75D0">
        <w:rPr>
          <w:rFonts w:ascii="Arial" w:hAnsi="Arial" w:cs="Arial"/>
          <w:sz w:val="28"/>
          <w:szCs w:val="28"/>
        </w:rPr>
        <w:t>, precepto normativo que dispone:</w:t>
      </w:r>
    </w:p>
    <w:p w14:paraId="53476166" w14:textId="77777777" w:rsidR="00177FB2" w:rsidRDefault="00177FB2" w:rsidP="00177FB2">
      <w:pPr>
        <w:pStyle w:val="Prrafodelista"/>
        <w:spacing w:after="0" w:line="360" w:lineRule="auto"/>
        <w:ind w:left="0" w:firstLine="851"/>
        <w:jc w:val="both"/>
        <w:rPr>
          <w:rFonts w:ascii="Arial" w:hAnsi="Arial" w:cs="Arial"/>
          <w:sz w:val="28"/>
          <w:szCs w:val="28"/>
        </w:rPr>
      </w:pPr>
    </w:p>
    <w:p w14:paraId="74706716" w14:textId="77777777" w:rsidR="00177FB2" w:rsidRPr="00DF403C" w:rsidRDefault="00177FB2" w:rsidP="00177FB2">
      <w:pPr>
        <w:spacing w:after="0" w:line="240" w:lineRule="auto"/>
        <w:ind w:left="709"/>
        <w:jc w:val="both"/>
        <w:rPr>
          <w:rFonts w:ascii="Arial Narrow" w:hAnsi="Arial Narrow" w:cs="Arial"/>
          <w:sz w:val="24"/>
          <w:szCs w:val="24"/>
        </w:rPr>
      </w:pPr>
      <w:r w:rsidRPr="00DF403C">
        <w:rPr>
          <w:rFonts w:ascii="Arial Narrow" w:hAnsi="Arial Narrow" w:cs="Arial"/>
          <w:b/>
          <w:sz w:val="24"/>
          <w:szCs w:val="24"/>
        </w:rPr>
        <w:t>“ARTÍCULO 228.</w:t>
      </w:r>
      <w:r w:rsidRPr="00DF403C">
        <w:rPr>
          <w:rFonts w:ascii="Arial Narrow" w:hAnsi="Arial Narrow" w:cs="Arial"/>
          <w:sz w:val="24"/>
          <w:szCs w:val="24"/>
        </w:rPr>
        <w:t xml:space="preserve"> Es improcedente el juicio ante el Tribunal contra actos:</w:t>
      </w:r>
    </w:p>
    <w:p w14:paraId="172FA4EA" w14:textId="77777777" w:rsidR="00177FB2" w:rsidRPr="00DF403C" w:rsidRDefault="00177FB2" w:rsidP="00177FB2">
      <w:pPr>
        <w:spacing w:after="0" w:line="240" w:lineRule="auto"/>
        <w:ind w:left="709"/>
        <w:jc w:val="both"/>
        <w:rPr>
          <w:rFonts w:ascii="Arial Narrow" w:hAnsi="Arial Narrow" w:cs="Arial"/>
          <w:sz w:val="24"/>
          <w:szCs w:val="24"/>
        </w:rPr>
      </w:pPr>
      <w:r w:rsidRPr="00DF403C">
        <w:rPr>
          <w:rFonts w:ascii="Arial Narrow" w:hAnsi="Arial Narrow" w:cs="Arial"/>
          <w:sz w:val="24"/>
          <w:szCs w:val="24"/>
        </w:rPr>
        <w:t>…</w:t>
      </w:r>
    </w:p>
    <w:p w14:paraId="19D66A78" w14:textId="77777777" w:rsidR="00177FB2" w:rsidRPr="00DF403C" w:rsidRDefault="00177FB2" w:rsidP="00177FB2">
      <w:pPr>
        <w:spacing w:after="0" w:line="240" w:lineRule="auto"/>
        <w:ind w:left="709"/>
        <w:jc w:val="both"/>
        <w:rPr>
          <w:rFonts w:ascii="Arial Narrow" w:hAnsi="Arial Narrow" w:cs="Arial"/>
          <w:sz w:val="24"/>
          <w:szCs w:val="24"/>
        </w:rPr>
      </w:pPr>
    </w:p>
    <w:p w14:paraId="51BF3FAE" w14:textId="77777777" w:rsidR="00177FB2" w:rsidRPr="00DF403C" w:rsidRDefault="00177FB2" w:rsidP="00177FB2">
      <w:pPr>
        <w:spacing w:after="0" w:line="240" w:lineRule="auto"/>
        <w:ind w:left="709"/>
        <w:jc w:val="both"/>
        <w:rPr>
          <w:rFonts w:ascii="Arial Narrow" w:hAnsi="Arial Narrow" w:cs="Arial"/>
          <w:sz w:val="24"/>
          <w:szCs w:val="24"/>
        </w:rPr>
      </w:pPr>
      <w:r w:rsidRPr="00DF403C">
        <w:rPr>
          <w:rFonts w:ascii="Arial Narrow" w:hAnsi="Arial Narrow" w:cs="Arial"/>
          <w:b/>
          <w:sz w:val="24"/>
          <w:szCs w:val="24"/>
        </w:rPr>
        <w:t>IX.</w:t>
      </w:r>
      <w:r w:rsidRPr="00DF403C">
        <w:rPr>
          <w:rFonts w:ascii="Arial Narrow" w:hAnsi="Arial Narrow" w:cs="Arial"/>
          <w:sz w:val="24"/>
          <w:szCs w:val="24"/>
        </w:rPr>
        <w:t xml:space="preserve"> Contra actos cuyos efectos legales o materiales hayan cesado o que no puedan surtirse efectos por haber dejado de existir el objeto o materia del mismo;</w:t>
      </w:r>
    </w:p>
    <w:p w14:paraId="30FAD7FE" w14:textId="77777777" w:rsidR="00177FB2" w:rsidRPr="00DF403C" w:rsidRDefault="00177FB2" w:rsidP="00177FB2">
      <w:pPr>
        <w:spacing w:after="0" w:line="240" w:lineRule="auto"/>
        <w:ind w:left="709"/>
        <w:jc w:val="both"/>
        <w:rPr>
          <w:rFonts w:ascii="Arial Narrow" w:hAnsi="Arial Narrow" w:cs="Arial"/>
          <w:sz w:val="18"/>
          <w:szCs w:val="18"/>
        </w:rPr>
      </w:pPr>
      <w:r w:rsidRPr="00DF403C">
        <w:rPr>
          <w:rFonts w:ascii="Arial Narrow" w:hAnsi="Arial Narrow" w:cs="Arial"/>
          <w:sz w:val="18"/>
          <w:szCs w:val="18"/>
        </w:rPr>
        <w:t>(…)</w:t>
      </w:r>
      <w:r w:rsidRPr="00DF403C">
        <w:rPr>
          <w:rFonts w:ascii="Arial Narrow" w:hAnsi="Arial Narrow" w:cs="Arial"/>
          <w:b/>
          <w:sz w:val="18"/>
          <w:szCs w:val="18"/>
        </w:rPr>
        <w:t>”</w:t>
      </w:r>
    </w:p>
    <w:p w14:paraId="223D06B0" w14:textId="77777777" w:rsidR="00177FB2" w:rsidRPr="00117530" w:rsidRDefault="00177FB2" w:rsidP="00177FB2">
      <w:pPr>
        <w:ind w:left="709"/>
        <w:jc w:val="both"/>
        <w:rPr>
          <w:rFonts w:ascii="Arial" w:hAnsi="Arial" w:cs="Arial"/>
          <w:b/>
          <w:sz w:val="18"/>
          <w:szCs w:val="18"/>
        </w:rPr>
      </w:pPr>
    </w:p>
    <w:p w14:paraId="1A36587E" w14:textId="30E4450E" w:rsidR="00177FB2" w:rsidRDefault="00177FB2" w:rsidP="00177FB2">
      <w:pPr>
        <w:pStyle w:val="Prrafodelista"/>
        <w:widowControl w:val="0"/>
        <w:spacing w:after="0" w:line="360" w:lineRule="auto"/>
        <w:ind w:left="0" w:firstLine="851"/>
        <w:jc w:val="both"/>
        <w:rPr>
          <w:rFonts w:ascii="Arial" w:hAnsi="Arial" w:cs="Arial"/>
          <w:sz w:val="28"/>
          <w:szCs w:val="28"/>
        </w:rPr>
      </w:pPr>
      <w:r w:rsidRPr="00DF403C">
        <w:rPr>
          <w:rFonts w:ascii="Arial" w:hAnsi="Arial" w:cs="Arial"/>
          <w:sz w:val="28"/>
          <w:szCs w:val="28"/>
        </w:rPr>
        <w:t>A</w:t>
      </w:r>
      <w:r>
        <w:rPr>
          <w:rFonts w:ascii="Arial" w:hAnsi="Arial" w:cs="Arial"/>
          <w:sz w:val="28"/>
          <w:szCs w:val="28"/>
        </w:rPr>
        <w:t xml:space="preserve"> su vez, conviene precisar que dicha hipótesis de improcedencia contempla dos supuestos a saber; </w:t>
      </w:r>
      <w:r w:rsidRPr="006C0A2D">
        <w:rPr>
          <w:rFonts w:ascii="Arial" w:hAnsi="Arial" w:cs="Arial"/>
          <w:b/>
          <w:sz w:val="28"/>
          <w:szCs w:val="28"/>
        </w:rPr>
        <w:t xml:space="preserve">contra actos cuyos efectos legales o materiales hayan cesado </w:t>
      </w:r>
      <w:r w:rsidRPr="006C0A2D">
        <w:rPr>
          <w:rFonts w:ascii="Arial" w:hAnsi="Arial" w:cs="Arial"/>
          <w:b/>
          <w:sz w:val="28"/>
          <w:szCs w:val="28"/>
          <w:u w:val="single"/>
        </w:rPr>
        <w:t>o</w:t>
      </w:r>
      <w:r w:rsidRPr="006C0A2D">
        <w:rPr>
          <w:rFonts w:ascii="Arial" w:hAnsi="Arial" w:cs="Arial"/>
          <w:b/>
          <w:sz w:val="28"/>
          <w:szCs w:val="28"/>
        </w:rPr>
        <w:t xml:space="preserve"> que no puedan surtirse efectos por haber dejado de existir el objeto o materia del mismo</w:t>
      </w:r>
      <w:r>
        <w:rPr>
          <w:rFonts w:ascii="Arial" w:hAnsi="Arial" w:cs="Arial"/>
          <w:sz w:val="28"/>
          <w:szCs w:val="28"/>
        </w:rPr>
        <w:t xml:space="preserve">, cuya diferencia </w:t>
      </w:r>
      <w:r w:rsidRPr="006C0A2D">
        <w:rPr>
          <w:rFonts w:ascii="Arial" w:hAnsi="Arial" w:cs="Arial"/>
          <w:sz w:val="28"/>
          <w:szCs w:val="28"/>
        </w:rPr>
        <w:t xml:space="preserve">radica en que la primera requiere de la actividad o participación de la autoridad, que es la única que puede hacer cesar los efectos de un acto autoritario, mientras que la actualización de la segunda, aunque parte de la subsistencia del acto reclamado, necesita que se presente la imposibilidad de que sus efectos se realicen o continúen realizando por haber dejado de existir totalmente el </w:t>
      </w:r>
      <w:r w:rsidRPr="006C0A2D">
        <w:rPr>
          <w:rFonts w:ascii="Arial" w:hAnsi="Arial" w:cs="Arial"/>
          <w:sz w:val="28"/>
          <w:szCs w:val="28"/>
        </w:rPr>
        <w:lastRenderedPageBreak/>
        <w:t>objeto o la materia del acto, lo cual puede suceder por causas ajenas a la voluntad de la autoridad</w:t>
      </w:r>
      <w:r w:rsidR="00DE291A">
        <w:rPr>
          <w:rFonts w:ascii="Arial" w:hAnsi="Arial" w:cs="Arial"/>
          <w:sz w:val="28"/>
          <w:szCs w:val="28"/>
        </w:rPr>
        <w:t>.</w:t>
      </w:r>
    </w:p>
    <w:p w14:paraId="31EDA959" w14:textId="77777777" w:rsidR="00177FB2" w:rsidRDefault="00177FB2" w:rsidP="00177FB2">
      <w:pPr>
        <w:pStyle w:val="Prrafodelista"/>
        <w:widowControl w:val="0"/>
        <w:spacing w:after="0" w:line="360" w:lineRule="auto"/>
        <w:ind w:left="0" w:firstLine="851"/>
        <w:jc w:val="both"/>
        <w:rPr>
          <w:rFonts w:ascii="Arial" w:hAnsi="Arial" w:cs="Arial"/>
          <w:sz w:val="28"/>
          <w:szCs w:val="28"/>
        </w:rPr>
      </w:pPr>
    </w:p>
    <w:p w14:paraId="0586916E" w14:textId="77777777" w:rsidR="00177FB2" w:rsidRPr="006C0A2D" w:rsidRDefault="00177FB2" w:rsidP="00177FB2">
      <w:pPr>
        <w:pStyle w:val="Prrafodelista"/>
        <w:widowControl w:val="0"/>
        <w:spacing w:after="0" w:line="360" w:lineRule="auto"/>
        <w:ind w:left="0" w:firstLine="851"/>
        <w:jc w:val="both"/>
        <w:rPr>
          <w:rFonts w:ascii="Arial" w:hAnsi="Arial" w:cs="Arial"/>
          <w:sz w:val="28"/>
          <w:szCs w:val="28"/>
        </w:rPr>
      </w:pPr>
      <w:r w:rsidRPr="006C0A2D">
        <w:rPr>
          <w:rFonts w:ascii="Arial" w:hAnsi="Arial" w:cs="Arial"/>
          <w:sz w:val="28"/>
          <w:szCs w:val="28"/>
        </w:rPr>
        <w:t xml:space="preserve">Lo anterior, encuentra apoyo en la Tesis: 2a. XLVIII/98, emitida por la Segunda Sala de la Suprema Corte de Justicia de  la Nación, de rubro y texto siguiente: </w:t>
      </w:r>
    </w:p>
    <w:p w14:paraId="1685D120" w14:textId="77777777" w:rsidR="00177FB2" w:rsidRPr="006C0A2D" w:rsidRDefault="00177FB2" w:rsidP="00177FB2">
      <w:pPr>
        <w:pStyle w:val="Prrafodelista"/>
        <w:widowControl w:val="0"/>
        <w:spacing w:after="0" w:line="360" w:lineRule="auto"/>
        <w:ind w:firstLine="851"/>
        <w:jc w:val="both"/>
        <w:rPr>
          <w:rFonts w:ascii="Arial" w:hAnsi="Arial" w:cs="Arial"/>
          <w:sz w:val="28"/>
          <w:szCs w:val="28"/>
        </w:rPr>
      </w:pPr>
    </w:p>
    <w:p w14:paraId="26B479E4" w14:textId="77777777" w:rsidR="00177FB2" w:rsidRPr="006C0A2D" w:rsidRDefault="00177FB2" w:rsidP="00177FB2">
      <w:pPr>
        <w:pStyle w:val="Prrafodelista"/>
        <w:widowControl w:val="0"/>
        <w:spacing w:after="0" w:line="240" w:lineRule="auto"/>
        <w:ind w:left="567" w:right="618"/>
        <w:jc w:val="both"/>
        <w:rPr>
          <w:rFonts w:ascii="Arial Narrow" w:hAnsi="Arial Narrow" w:cs="Arial"/>
          <w:i/>
          <w:sz w:val="24"/>
          <w:szCs w:val="24"/>
        </w:rPr>
      </w:pPr>
      <w:r w:rsidRPr="006C0A2D">
        <w:rPr>
          <w:rFonts w:ascii="Arial Narrow" w:hAnsi="Arial Narrow" w:cs="Arial"/>
          <w:b/>
          <w:i/>
          <w:sz w:val="24"/>
          <w:szCs w:val="24"/>
        </w:rPr>
        <w:t>“CESACIÓN DE EFECTOS DEL ACTO RECLAMADO E INSUBSISTENCIA DE SU OBJETO O MATERIA. LA DISTINCIÓN ENTRE ESTAS CAUSAS DE IMPROCEDENCIA DEL JUICIO DE AMPARO RADICA EN QUE LA PRIMERA REQUIERE DE LA INTERVENCIÓN DE LA AUTORIDAD.</w:t>
      </w:r>
      <w:r w:rsidRPr="006C0A2D">
        <w:rPr>
          <w:rFonts w:ascii="Arial Narrow" w:hAnsi="Arial Narrow" w:cs="Arial"/>
          <w:i/>
          <w:sz w:val="24"/>
          <w:szCs w:val="24"/>
        </w:rPr>
        <w:t xml:space="preserve"> Es factible distinguir la causa de improcedencia del juicio de garantías prevista en la fracción XVI del artículo 73 de la Ley de Amparo, consistente en la cesación de los efectos del acto reclamado, de la establecida en la fracción XVII del mismo dispositivo legal, que entraña la insubsistencia del objeto o la materia del acto reclamado. La distinción radica en que la primera requiere de la actividad o participación de la autoridad, que es la única que puede hacer cesar los efectos de un acto autoritario, mientras que la actualización de la segunda, aunque parte de la subsistencia del acto reclamado, necesita que se presente la imposibilidad de que sus efectos se realicen o continúen realizando por haber dejado de existir totalmente el objeto o la materia del acto, lo cual puede suceder por causas ajenas a la voluntad de la autoridad.”</w:t>
      </w:r>
      <w:r w:rsidRPr="006C0A2D">
        <w:rPr>
          <w:rStyle w:val="Refdenotaalpie"/>
          <w:rFonts w:ascii="Arial Narrow" w:hAnsi="Arial Narrow" w:cs="Arial"/>
          <w:i/>
          <w:sz w:val="24"/>
          <w:szCs w:val="24"/>
        </w:rPr>
        <w:footnoteReference w:id="16"/>
      </w:r>
    </w:p>
    <w:p w14:paraId="74B4DB51" w14:textId="77777777" w:rsidR="00177FB2" w:rsidRPr="006C0A2D" w:rsidRDefault="00177FB2" w:rsidP="00177FB2">
      <w:pPr>
        <w:widowControl w:val="0"/>
        <w:spacing w:after="0" w:line="360" w:lineRule="auto"/>
        <w:jc w:val="both"/>
        <w:rPr>
          <w:rFonts w:ascii="Arial" w:hAnsi="Arial" w:cs="Arial"/>
          <w:sz w:val="28"/>
          <w:szCs w:val="28"/>
        </w:rPr>
      </w:pPr>
    </w:p>
    <w:p w14:paraId="594EBB2B" w14:textId="77777777" w:rsidR="00177FB2" w:rsidRPr="00EC63A7" w:rsidRDefault="00177FB2" w:rsidP="00177FB2">
      <w:pPr>
        <w:pStyle w:val="Prrafodelista"/>
        <w:widowControl w:val="0"/>
        <w:spacing w:after="0" w:line="360" w:lineRule="auto"/>
        <w:ind w:left="0" w:firstLine="851"/>
        <w:jc w:val="both"/>
        <w:rPr>
          <w:rFonts w:ascii="Arial" w:hAnsi="Arial" w:cs="Arial"/>
          <w:sz w:val="28"/>
          <w:szCs w:val="28"/>
        </w:rPr>
      </w:pPr>
      <w:r>
        <w:rPr>
          <w:rFonts w:ascii="Arial" w:hAnsi="Arial" w:cs="Arial"/>
          <w:sz w:val="28"/>
          <w:szCs w:val="28"/>
        </w:rPr>
        <w:t>En ese entendido, e</w:t>
      </w:r>
      <w:r w:rsidRPr="00DF403C">
        <w:rPr>
          <w:rFonts w:ascii="Arial" w:hAnsi="Arial" w:cs="Arial"/>
          <w:sz w:val="28"/>
          <w:szCs w:val="28"/>
        </w:rPr>
        <w:t xml:space="preserve">n relación con el tópico particular de la </w:t>
      </w:r>
      <w:r w:rsidRPr="007D4438">
        <w:rPr>
          <w:rFonts w:ascii="Arial" w:hAnsi="Arial" w:cs="Arial"/>
          <w:b/>
          <w:sz w:val="28"/>
          <w:szCs w:val="28"/>
        </w:rPr>
        <w:t>cesación de los efectos</w:t>
      </w:r>
      <w:r w:rsidRPr="00DF403C">
        <w:rPr>
          <w:rFonts w:ascii="Arial" w:hAnsi="Arial" w:cs="Arial"/>
          <w:sz w:val="28"/>
          <w:szCs w:val="28"/>
        </w:rPr>
        <w:t xml:space="preserve"> de los actos impugnados,</w:t>
      </w:r>
      <w:r>
        <w:rPr>
          <w:rFonts w:ascii="Arial" w:hAnsi="Arial" w:cs="Arial"/>
          <w:sz w:val="28"/>
          <w:szCs w:val="28"/>
        </w:rPr>
        <w:t xml:space="preserve"> por ser el que nos ocupa conforme a las consideraciones de la Sala Resolutora que en esta instancia se combaten; </w:t>
      </w:r>
      <w:r w:rsidRPr="00DF403C">
        <w:rPr>
          <w:rFonts w:ascii="Arial" w:hAnsi="Arial" w:cs="Arial"/>
          <w:sz w:val="28"/>
          <w:szCs w:val="28"/>
        </w:rPr>
        <w:t>tanto la Suprema Corte de Justicia de la Nación, como los diversos órganos integrantes del Poder Judicial de la Federación, han sustentado diversas tesis y criterios relevantes, entre los cuales, para efectos del presente estudio, esta Sala destaca las siguientes:</w:t>
      </w:r>
    </w:p>
    <w:p w14:paraId="3C6F4D7E" w14:textId="77777777" w:rsidR="00177FB2" w:rsidRPr="00AA395E" w:rsidRDefault="00177FB2" w:rsidP="00177FB2">
      <w:pPr>
        <w:pStyle w:val="Prrafodelista"/>
        <w:widowControl w:val="0"/>
        <w:spacing w:after="0" w:line="240" w:lineRule="auto"/>
        <w:ind w:left="567" w:right="618"/>
        <w:jc w:val="both"/>
        <w:rPr>
          <w:rFonts w:ascii="Arial Narrow" w:hAnsi="Arial Narrow" w:cs="Arial"/>
          <w:b/>
          <w:i/>
          <w:sz w:val="24"/>
          <w:szCs w:val="24"/>
        </w:rPr>
      </w:pPr>
    </w:p>
    <w:p w14:paraId="14FCB1B1" w14:textId="77777777" w:rsidR="00177FB2" w:rsidRPr="00AA395E" w:rsidRDefault="00177FB2" w:rsidP="00177FB2">
      <w:pPr>
        <w:pStyle w:val="Prrafodelista"/>
        <w:widowControl w:val="0"/>
        <w:spacing w:after="0" w:line="240" w:lineRule="auto"/>
        <w:ind w:left="567" w:right="618"/>
        <w:jc w:val="both"/>
        <w:rPr>
          <w:rFonts w:ascii="Arial Narrow" w:hAnsi="Arial Narrow" w:cs="Arial"/>
          <w:i/>
          <w:sz w:val="24"/>
          <w:szCs w:val="24"/>
        </w:rPr>
      </w:pPr>
      <w:r w:rsidRPr="00AA395E">
        <w:rPr>
          <w:rFonts w:ascii="Arial Narrow" w:hAnsi="Arial Narrow" w:cs="Arial"/>
          <w:b/>
          <w:i/>
          <w:sz w:val="24"/>
          <w:szCs w:val="24"/>
        </w:rPr>
        <w:t xml:space="preserve">“ACTO RECLAMADO. CESACIÓN DE SUS EFECTOS. </w:t>
      </w:r>
      <w:r w:rsidRPr="00AA395E">
        <w:rPr>
          <w:rFonts w:ascii="Arial Narrow" w:hAnsi="Arial Narrow" w:cs="Arial"/>
          <w:i/>
          <w:sz w:val="24"/>
          <w:szCs w:val="24"/>
        </w:rPr>
        <w:t xml:space="preserve">Debe estimarse que cesan los efectos del acto reclamado, cuando la resolución impugnada en el </w:t>
      </w:r>
      <w:r w:rsidRPr="00AA395E">
        <w:rPr>
          <w:rFonts w:ascii="Arial Narrow" w:hAnsi="Arial Narrow" w:cs="Arial"/>
          <w:i/>
          <w:sz w:val="24"/>
          <w:szCs w:val="24"/>
        </w:rPr>
        <w:lastRenderedPageBreak/>
        <w:t>juicio de garantías fue dejada sin efecto por la misma autoridad señalada como responsable y emitió una nueva resolución, que viene a sustituir procesalmente a la anterior; por lo que debe sobreseerse en el amparo, con fundamento en lo dispuesto por la fracción XVI del artículo 73 de la Ley de Amparo. SEGUNDO TRIBUNAL COLEGIADO EN MATERIA CIVIL DEL TERCER CIRCUITO.”</w:t>
      </w:r>
      <w:r w:rsidRPr="00AA395E">
        <w:rPr>
          <w:rStyle w:val="Refdenotaalpie"/>
          <w:rFonts w:ascii="Arial Narrow" w:hAnsi="Arial Narrow" w:cs="Arial"/>
          <w:i/>
          <w:sz w:val="24"/>
          <w:szCs w:val="24"/>
        </w:rPr>
        <w:footnoteReference w:id="17"/>
      </w:r>
    </w:p>
    <w:p w14:paraId="3D39A1C0" w14:textId="77777777" w:rsidR="00177FB2" w:rsidRPr="00AA395E" w:rsidRDefault="00177FB2" w:rsidP="00177FB2">
      <w:pPr>
        <w:widowControl w:val="0"/>
        <w:spacing w:after="0" w:line="240" w:lineRule="auto"/>
        <w:ind w:right="618"/>
        <w:jc w:val="both"/>
        <w:rPr>
          <w:rFonts w:ascii="Arial Narrow" w:hAnsi="Arial Narrow" w:cs="Arial"/>
          <w:i/>
          <w:sz w:val="24"/>
          <w:szCs w:val="24"/>
        </w:rPr>
      </w:pPr>
    </w:p>
    <w:p w14:paraId="66FF2368" w14:textId="77777777" w:rsidR="00177FB2" w:rsidRPr="00AA395E" w:rsidRDefault="00177FB2" w:rsidP="00177FB2">
      <w:pPr>
        <w:pStyle w:val="Prrafodelista"/>
        <w:widowControl w:val="0"/>
        <w:spacing w:after="0" w:line="240" w:lineRule="auto"/>
        <w:ind w:left="567" w:right="618"/>
        <w:jc w:val="both"/>
        <w:rPr>
          <w:rFonts w:ascii="Arial Narrow" w:hAnsi="Arial Narrow" w:cs="Arial"/>
          <w:i/>
          <w:sz w:val="24"/>
          <w:szCs w:val="24"/>
        </w:rPr>
      </w:pPr>
      <w:r w:rsidRPr="00AA395E">
        <w:rPr>
          <w:rFonts w:ascii="Arial Narrow" w:hAnsi="Arial Narrow" w:cs="Arial"/>
          <w:b/>
          <w:i/>
          <w:sz w:val="24"/>
          <w:szCs w:val="24"/>
        </w:rPr>
        <w:t>“ACTO RECLAMADO, CESACION DE SUS EFECTOS.</w:t>
      </w:r>
      <w:r w:rsidRPr="00AA395E">
        <w:rPr>
          <w:rFonts w:ascii="Arial Narrow" w:hAnsi="Arial Narrow" w:cs="Arial"/>
          <w:i/>
          <w:sz w:val="24"/>
          <w:szCs w:val="24"/>
        </w:rPr>
        <w:t xml:space="preserve"> Sólo puede considerarse que han cesado los efectos del acto reclamado, cuando se revoca el propio acto por la autoridad responsable o cuando se constituye una situación jurídica que definitivamente destruya la que dio motivo al amparo, de tal manera que por esa nueva situación, se reponga al quejoso en el goce de la garantía violada.”</w:t>
      </w:r>
      <w:r w:rsidRPr="00AA395E">
        <w:rPr>
          <w:rStyle w:val="Refdenotaalpie"/>
          <w:rFonts w:ascii="Arial Narrow" w:hAnsi="Arial Narrow" w:cs="Arial"/>
          <w:i/>
          <w:sz w:val="24"/>
          <w:szCs w:val="24"/>
        </w:rPr>
        <w:footnoteReference w:id="18"/>
      </w:r>
    </w:p>
    <w:p w14:paraId="64FE32C2" w14:textId="77777777" w:rsidR="00177FB2" w:rsidRPr="00AA395E" w:rsidRDefault="00177FB2" w:rsidP="00177FB2">
      <w:pPr>
        <w:pStyle w:val="Prrafodelista"/>
        <w:widowControl w:val="0"/>
        <w:spacing w:after="0" w:line="240" w:lineRule="auto"/>
        <w:ind w:left="567" w:right="618"/>
        <w:jc w:val="both"/>
        <w:rPr>
          <w:rFonts w:ascii="Arial Narrow" w:hAnsi="Arial Narrow" w:cs="Arial"/>
          <w:b/>
          <w:i/>
          <w:sz w:val="24"/>
          <w:szCs w:val="24"/>
        </w:rPr>
      </w:pPr>
    </w:p>
    <w:p w14:paraId="06EE1E7D" w14:textId="77777777" w:rsidR="00177FB2" w:rsidRPr="00AA395E" w:rsidRDefault="00177FB2" w:rsidP="00177FB2">
      <w:pPr>
        <w:pStyle w:val="Prrafodelista"/>
        <w:widowControl w:val="0"/>
        <w:spacing w:after="0" w:line="240" w:lineRule="auto"/>
        <w:ind w:left="567" w:right="618"/>
        <w:jc w:val="both"/>
        <w:rPr>
          <w:rFonts w:ascii="Arial Narrow" w:hAnsi="Arial Narrow" w:cs="Arial"/>
          <w:i/>
          <w:sz w:val="24"/>
          <w:szCs w:val="24"/>
        </w:rPr>
      </w:pPr>
      <w:r>
        <w:rPr>
          <w:rFonts w:ascii="Arial Narrow" w:hAnsi="Arial Narrow" w:cs="Arial"/>
          <w:b/>
          <w:i/>
          <w:sz w:val="24"/>
          <w:szCs w:val="24"/>
        </w:rPr>
        <w:t>“</w:t>
      </w:r>
      <w:r w:rsidRPr="00AA395E">
        <w:rPr>
          <w:rFonts w:ascii="Arial Narrow" w:hAnsi="Arial Narrow" w:cs="Arial"/>
          <w:b/>
          <w:i/>
          <w:sz w:val="24"/>
          <w:szCs w:val="24"/>
        </w:rPr>
        <w:t>ACTO RECLAMADO, CESACION DE SUS EFECTOS.</w:t>
      </w:r>
      <w:r w:rsidRPr="00AA395E">
        <w:rPr>
          <w:rFonts w:ascii="Arial Narrow" w:hAnsi="Arial Narrow" w:cs="Arial"/>
          <w:i/>
          <w:sz w:val="24"/>
          <w:szCs w:val="24"/>
        </w:rPr>
        <w:t xml:space="preserve"> La cesación de los efectos del acto reclamado que amerita que se sobresea, no consiste en que tales efectos ya no se puedan producir en lo futuro, sino que es necesario que sobrevenga una revocación total del acto y de los efectos que haya producido, pues de otra manera se dejaría de juzgar, sin motivo, de la legalidad del acto y sus efectos, en el periodo comprendido entre el día en que se realizó y en aquel en que cesó. En otras palabras, para que se pueda admitir que han cesado los efectos del acto reclamado se necesita que aparezca una situación idéntica a la que habría existido, si el acto jamás hubiera existido. Por tanto, si una ley viene a establecer reglas para el futuro, en determinada materia, pero deja en pie lo ocurrido antes a virtud del acto reclamado, la materia, del amparo subsiste, aun cuando puede quedar limitada a cierto tiempo, y por lo mismo, no hay cesación de efectos.” </w:t>
      </w:r>
      <w:r w:rsidRPr="00AA395E">
        <w:rPr>
          <w:rStyle w:val="Refdenotaalpie"/>
          <w:rFonts w:ascii="Arial Narrow" w:hAnsi="Arial Narrow" w:cs="Arial"/>
          <w:i/>
          <w:sz w:val="24"/>
          <w:szCs w:val="24"/>
        </w:rPr>
        <w:footnoteReference w:id="19"/>
      </w:r>
    </w:p>
    <w:p w14:paraId="781444FF" w14:textId="77777777" w:rsidR="00177FB2" w:rsidRPr="00AA395E" w:rsidRDefault="00177FB2" w:rsidP="00177FB2">
      <w:pPr>
        <w:widowControl w:val="0"/>
        <w:spacing w:after="120" w:line="360" w:lineRule="auto"/>
        <w:jc w:val="both"/>
        <w:rPr>
          <w:rFonts w:ascii="Arial" w:hAnsi="Arial" w:cs="Arial"/>
          <w:sz w:val="28"/>
          <w:szCs w:val="28"/>
        </w:rPr>
      </w:pPr>
    </w:p>
    <w:p w14:paraId="3CA7F58E" w14:textId="07088A52" w:rsidR="00177FB2" w:rsidRPr="00AA395E" w:rsidRDefault="00177FB2" w:rsidP="00177FB2">
      <w:pPr>
        <w:pStyle w:val="Prrafodelista"/>
        <w:widowControl w:val="0"/>
        <w:spacing w:after="120" w:line="360" w:lineRule="auto"/>
        <w:ind w:left="0" w:firstLine="851"/>
        <w:jc w:val="both"/>
        <w:rPr>
          <w:rFonts w:ascii="Arial" w:hAnsi="Arial" w:cs="Arial"/>
          <w:sz w:val="28"/>
          <w:szCs w:val="28"/>
        </w:rPr>
      </w:pPr>
      <w:r>
        <w:rPr>
          <w:rFonts w:ascii="Arial" w:hAnsi="Arial" w:cs="Arial"/>
          <w:sz w:val="28"/>
          <w:szCs w:val="28"/>
        </w:rPr>
        <w:t>De la</w:t>
      </w:r>
      <w:r w:rsidRPr="00AA395E">
        <w:rPr>
          <w:rFonts w:ascii="Arial" w:hAnsi="Arial" w:cs="Arial"/>
          <w:sz w:val="28"/>
          <w:szCs w:val="28"/>
        </w:rPr>
        <w:t xml:space="preserve"> intelección de los crite</w:t>
      </w:r>
      <w:r w:rsidR="00DE291A">
        <w:rPr>
          <w:rFonts w:ascii="Arial" w:hAnsi="Arial" w:cs="Arial"/>
          <w:sz w:val="28"/>
          <w:szCs w:val="28"/>
        </w:rPr>
        <w:t>rios jurisprudenciales transcritos</w:t>
      </w:r>
      <w:r w:rsidRPr="00AA395E">
        <w:rPr>
          <w:rFonts w:ascii="Arial" w:hAnsi="Arial" w:cs="Arial"/>
          <w:sz w:val="28"/>
          <w:szCs w:val="28"/>
        </w:rPr>
        <w:t xml:space="preserve">, </w:t>
      </w:r>
      <w:r>
        <w:rPr>
          <w:rFonts w:ascii="Arial" w:hAnsi="Arial" w:cs="Arial"/>
          <w:sz w:val="28"/>
          <w:szCs w:val="28"/>
        </w:rPr>
        <w:t>se</w:t>
      </w:r>
      <w:r w:rsidRPr="00AA395E">
        <w:rPr>
          <w:rFonts w:ascii="Arial" w:hAnsi="Arial" w:cs="Arial"/>
          <w:sz w:val="28"/>
          <w:szCs w:val="28"/>
        </w:rPr>
        <w:t xml:space="preserve"> </w:t>
      </w:r>
      <w:r>
        <w:rPr>
          <w:rFonts w:ascii="Arial" w:hAnsi="Arial" w:cs="Arial"/>
          <w:sz w:val="28"/>
          <w:szCs w:val="28"/>
        </w:rPr>
        <w:t>advierte</w:t>
      </w:r>
      <w:r w:rsidRPr="00AA395E">
        <w:rPr>
          <w:rFonts w:ascii="Arial" w:hAnsi="Arial" w:cs="Arial"/>
          <w:sz w:val="28"/>
          <w:szCs w:val="28"/>
        </w:rPr>
        <w:t xml:space="preserve"> que, para entender que han cesado los efectos lesivos que un acto administrativo de autoridad produce en la esfera de derechos del </w:t>
      </w:r>
      <w:r>
        <w:rPr>
          <w:rFonts w:ascii="Arial" w:hAnsi="Arial" w:cs="Arial"/>
          <w:sz w:val="28"/>
          <w:szCs w:val="28"/>
        </w:rPr>
        <w:t>particular</w:t>
      </w:r>
      <w:r w:rsidRPr="00AA395E">
        <w:rPr>
          <w:rFonts w:ascii="Arial" w:hAnsi="Arial" w:cs="Arial"/>
          <w:sz w:val="28"/>
          <w:szCs w:val="28"/>
        </w:rPr>
        <w:t>, se precisa de que la autoridad demandada (o la emisora del acto) derogue o revoque tal acto; pues sólo así podría darse lugar a una situación idéntica a aquella que existía antes del nacimiento del acto que se atacó en el juicio. Aunque, también habría cesación de efectos del acto impugnado en aquellos casos en que, sin necesidad de revocar o de dejar insubsistente su actuación, la autoridad administrativa constituye una nueva situación jurídica que, definitivamente, destruye la que dio motivo a la sustanciación del sumario, y restituye a la parte demandante en el goce de sus derechos violentados.</w:t>
      </w:r>
    </w:p>
    <w:p w14:paraId="12841970" w14:textId="77777777" w:rsidR="00177FB2" w:rsidRPr="00666CEB" w:rsidRDefault="00177FB2" w:rsidP="00177FB2">
      <w:pPr>
        <w:pStyle w:val="Prrafodelista"/>
        <w:widowControl w:val="0"/>
        <w:spacing w:after="120" w:line="360" w:lineRule="auto"/>
        <w:ind w:firstLine="851"/>
        <w:jc w:val="both"/>
        <w:rPr>
          <w:rFonts w:ascii="Arial" w:hAnsi="Arial" w:cs="Arial"/>
          <w:sz w:val="28"/>
          <w:szCs w:val="28"/>
        </w:rPr>
      </w:pPr>
    </w:p>
    <w:p w14:paraId="70D090C9" w14:textId="77777777" w:rsidR="00177FB2" w:rsidRDefault="00177FB2" w:rsidP="00177FB2">
      <w:pPr>
        <w:pStyle w:val="Prrafodelista"/>
        <w:widowControl w:val="0"/>
        <w:spacing w:after="120" w:line="360" w:lineRule="auto"/>
        <w:ind w:left="0" w:firstLine="851"/>
        <w:jc w:val="both"/>
        <w:rPr>
          <w:rFonts w:ascii="Arial" w:hAnsi="Arial" w:cs="Arial"/>
          <w:sz w:val="28"/>
          <w:szCs w:val="28"/>
        </w:rPr>
      </w:pPr>
      <w:r w:rsidRPr="00AA395E">
        <w:rPr>
          <w:rFonts w:ascii="Arial" w:hAnsi="Arial" w:cs="Arial"/>
          <w:sz w:val="28"/>
          <w:szCs w:val="28"/>
        </w:rPr>
        <w:t>Bajo esa óptica, es permisible establecer que, la cesación de efectos de la resolución impugnada significa que la autoridad que lo emitió ha dejado de afectar la esfera jurídica de la parte actora, al cesar su actuación, lo que –debe entenderse- no sólo implica la detención definitiva de los actos de autoridad, sino la desaparición total de los efectos del acto, que puede verse acompañada o no de la insubsistencia misma</w:t>
      </w:r>
      <w:r w:rsidRPr="00084A6B">
        <w:rPr>
          <w:rFonts w:ascii="Arial" w:hAnsi="Arial" w:cs="Arial"/>
          <w:sz w:val="28"/>
          <w:szCs w:val="28"/>
        </w:rPr>
        <w:t>, pues es patente que la razón que justificaría la improcedencia del juicio, no sería la simple paralización del acto de autoridad, sino la ociosidad de examinar la legalidad de un acto que ya no está surtiendo sus efectos, ni los surtirá, y que no dejó huella alguna en la esfera jurídica del particular que sea susceptible de ser borrada mediante el dictado de la sentencia.</w:t>
      </w:r>
    </w:p>
    <w:p w14:paraId="0C4F6A94" w14:textId="77777777" w:rsidR="00177FB2" w:rsidRDefault="00177FB2" w:rsidP="00177FB2">
      <w:pPr>
        <w:pStyle w:val="Prrafodelista"/>
        <w:widowControl w:val="0"/>
        <w:spacing w:after="120" w:line="360" w:lineRule="auto"/>
        <w:ind w:left="0" w:firstLine="851"/>
        <w:jc w:val="both"/>
        <w:rPr>
          <w:rFonts w:ascii="Arial" w:hAnsi="Arial" w:cs="Arial"/>
          <w:sz w:val="28"/>
          <w:szCs w:val="28"/>
        </w:rPr>
      </w:pPr>
    </w:p>
    <w:p w14:paraId="5DB87778" w14:textId="5253FBE5" w:rsidR="00177FB2" w:rsidRDefault="00177FB2" w:rsidP="00177FB2">
      <w:pPr>
        <w:pStyle w:val="Prrafodelista"/>
        <w:widowControl w:val="0"/>
        <w:spacing w:after="120" w:line="360" w:lineRule="auto"/>
        <w:ind w:left="0" w:firstLine="851"/>
        <w:jc w:val="both"/>
        <w:rPr>
          <w:rFonts w:ascii="Arial" w:hAnsi="Arial" w:cs="Arial"/>
          <w:sz w:val="28"/>
          <w:szCs w:val="28"/>
        </w:rPr>
      </w:pPr>
      <w:r w:rsidRPr="00026AEF">
        <w:rPr>
          <w:rFonts w:ascii="Arial" w:hAnsi="Arial" w:cs="Arial"/>
          <w:sz w:val="28"/>
          <w:szCs w:val="28"/>
        </w:rPr>
        <w:t xml:space="preserve">En efecto, la improcedencia del juicio en estos supuestos, se encuentra orientada por la imposibilidad de </w:t>
      </w:r>
      <w:r w:rsidR="00DE291A">
        <w:rPr>
          <w:rFonts w:ascii="Arial" w:hAnsi="Arial" w:cs="Arial"/>
          <w:sz w:val="28"/>
          <w:szCs w:val="28"/>
        </w:rPr>
        <w:t>materializar</w:t>
      </w:r>
      <w:r w:rsidRPr="00026AEF">
        <w:rPr>
          <w:rFonts w:ascii="Arial" w:hAnsi="Arial" w:cs="Arial"/>
          <w:sz w:val="28"/>
          <w:szCs w:val="28"/>
        </w:rPr>
        <w:t xml:space="preserve"> el fin que justifica la existencia e importancia del juicio contencioso administrativo, que es el de obtener una declaratoria de nulidad del acto de autoridad que se combate; y, en los casos en que resulta ser material y jurídicamente posible, obtener una reparación de los derechos vulnerados al </w:t>
      </w:r>
      <w:r>
        <w:rPr>
          <w:rFonts w:ascii="Arial" w:hAnsi="Arial" w:cs="Arial"/>
          <w:sz w:val="28"/>
          <w:szCs w:val="28"/>
        </w:rPr>
        <w:t>particular</w:t>
      </w:r>
      <w:r w:rsidRPr="00026AEF">
        <w:rPr>
          <w:rFonts w:ascii="Arial" w:hAnsi="Arial" w:cs="Arial"/>
          <w:sz w:val="28"/>
          <w:szCs w:val="28"/>
        </w:rPr>
        <w:t xml:space="preserve"> (cuestión que, se regula en el artículo </w:t>
      </w:r>
      <w:r>
        <w:rPr>
          <w:rFonts w:ascii="Arial" w:hAnsi="Arial" w:cs="Arial"/>
          <w:sz w:val="28"/>
          <w:szCs w:val="28"/>
        </w:rPr>
        <w:t>252, primer párrafo,</w:t>
      </w:r>
      <w:r w:rsidRPr="00026AEF">
        <w:rPr>
          <w:rFonts w:ascii="Arial" w:hAnsi="Arial" w:cs="Arial"/>
          <w:sz w:val="28"/>
          <w:szCs w:val="28"/>
        </w:rPr>
        <w:t xml:space="preserve"> </w:t>
      </w:r>
      <w:r w:rsidRPr="007B12E3">
        <w:rPr>
          <w:rFonts w:ascii="Arial" w:hAnsi="Arial" w:cs="Arial"/>
          <w:sz w:val="28"/>
          <w:szCs w:val="28"/>
        </w:rPr>
        <w:t>del Código Procesal Administrativa para el Estado</w:t>
      </w:r>
      <w:r>
        <w:rPr>
          <w:rStyle w:val="Refdenotaalpie"/>
          <w:rFonts w:ascii="Arial" w:hAnsi="Arial" w:cs="Arial"/>
          <w:sz w:val="28"/>
          <w:szCs w:val="28"/>
        </w:rPr>
        <w:footnoteReference w:id="20"/>
      </w:r>
      <w:r w:rsidRPr="00026AEF">
        <w:rPr>
          <w:rFonts w:ascii="Arial" w:hAnsi="Arial" w:cs="Arial"/>
          <w:sz w:val="28"/>
          <w:szCs w:val="28"/>
        </w:rPr>
        <w:t>).</w:t>
      </w:r>
    </w:p>
    <w:p w14:paraId="08CC3048" w14:textId="77777777" w:rsidR="00177FB2" w:rsidRDefault="00177FB2" w:rsidP="00177FB2">
      <w:pPr>
        <w:pStyle w:val="Prrafodelista"/>
        <w:widowControl w:val="0"/>
        <w:spacing w:after="120" w:line="360" w:lineRule="auto"/>
        <w:ind w:left="0" w:firstLine="851"/>
        <w:jc w:val="both"/>
        <w:rPr>
          <w:rFonts w:ascii="Arial" w:hAnsi="Arial" w:cs="Arial"/>
          <w:sz w:val="28"/>
          <w:szCs w:val="28"/>
        </w:rPr>
      </w:pPr>
    </w:p>
    <w:p w14:paraId="1C64ED09" w14:textId="566767A0"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De ahí</w:t>
      </w:r>
      <w:r w:rsidR="00DE291A">
        <w:rPr>
          <w:rFonts w:ascii="Arial" w:hAnsi="Arial" w:cs="Arial"/>
          <w:sz w:val="28"/>
          <w:szCs w:val="28"/>
        </w:rPr>
        <w:t>,</w:t>
      </w:r>
      <w:r>
        <w:rPr>
          <w:rFonts w:ascii="Arial" w:hAnsi="Arial" w:cs="Arial"/>
          <w:sz w:val="28"/>
          <w:szCs w:val="28"/>
        </w:rPr>
        <w:t xml:space="preserve"> la calificativa de los agravios en estudio, </w:t>
      </w:r>
      <w:r w:rsidRPr="00462481">
        <w:rPr>
          <w:rFonts w:ascii="Arial" w:hAnsi="Arial" w:cs="Arial"/>
          <w:sz w:val="28"/>
          <w:szCs w:val="28"/>
          <w:lang w:val="es-ES"/>
        </w:rPr>
        <w:t xml:space="preserve">pues </w:t>
      </w:r>
      <w:r w:rsidRPr="00465C39">
        <w:rPr>
          <w:rFonts w:ascii="Arial" w:hAnsi="Arial" w:cs="Arial"/>
          <w:sz w:val="28"/>
          <w:szCs w:val="28"/>
          <w:lang w:val="es-ES"/>
        </w:rPr>
        <w:t xml:space="preserve">este Tribunal de Alzada advierte que correctamente la </w:t>
      </w:r>
      <w:r>
        <w:rPr>
          <w:rFonts w:ascii="Arial" w:hAnsi="Arial" w:cs="Arial"/>
          <w:sz w:val="28"/>
          <w:szCs w:val="28"/>
          <w:lang w:val="es-ES"/>
        </w:rPr>
        <w:t>Primera</w:t>
      </w:r>
      <w:r w:rsidRPr="00465C39">
        <w:rPr>
          <w:rFonts w:ascii="Arial" w:hAnsi="Arial" w:cs="Arial"/>
          <w:sz w:val="28"/>
          <w:szCs w:val="28"/>
          <w:lang w:val="es-ES"/>
        </w:rPr>
        <w:t xml:space="preserve"> Sala Unitaria </w:t>
      </w:r>
      <w:r>
        <w:rPr>
          <w:rFonts w:ascii="Arial" w:hAnsi="Arial" w:cs="Arial"/>
          <w:sz w:val="28"/>
          <w:szCs w:val="28"/>
          <w:lang w:val="es-ES"/>
        </w:rPr>
        <w:t xml:space="preserve">determinó la </w:t>
      </w:r>
      <w:r w:rsidRPr="007B12E3">
        <w:rPr>
          <w:rFonts w:ascii="Arial" w:hAnsi="Arial" w:cs="Arial"/>
          <w:sz w:val="28"/>
          <w:szCs w:val="28"/>
        </w:rPr>
        <w:t xml:space="preserve">improcedencia </w:t>
      </w:r>
      <w:r>
        <w:rPr>
          <w:rFonts w:ascii="Arial" w:hAnsi="Arial" w:cs="Arial"/>
          <w:sz w:val="28"/>
          <w:szCs w:val="28"/>
        </w:rPr>
        <w:t>y</w:t>
      </w:r>
      <w:r w:rsidR="00DE291A">
        <w:rPr>
          <w:rFonts w:ascii="Arial" w:hAnsi="Arial" w:cs="Arial"/>
          <w:sz w:val="28"/>
          <w:szCs w:val="28"/>
        </w:rPr>
        <w:t>,</w:t>
      </w:r>
      <w:r>
        <w:rPr>
          <w:rFonts w:ascii="Arial" w:hAnsi="Arial" w:cs="Arial"/>
          <w:sz w:val="28"/>
          <w:szCs w:val="28"/>
        </w:rPr>
        <w:t xml:space="preserve"> en consecuencia</w:t>
      </w:r>
      <w:r w:rsidR="00DE291A">
        <w:rPr>
          <w:rFonts w:ascii="Arial" w:hAnsi="Arial" w:cs="Arial"/>
          <w:sz w:val="28"/>
          <w:szCs w:val="28"/>
        </w:rPr>
        <w:t>,</w:t>
      </w:r>
      <w:r>
        <w:rPr>
          <w:rFonts w:ascii="Arial" w:hAnsi="Arial" w:cs="Arial"/>
          <w:sz w:val="28"/>
          <w:szCs w:val="28"/>
        </w:rPr>
        <w:t xml:space="preserve"> </w:t>
      </w:r>
      <w:r w:rsidRPr="007B12E3">
        <w:rPr>
          <w:rFonts w:ascii="Arial" w:hAnsi="Arial" w:cs="Arial"/>
          <w:sz w:val="28"/>
          <w:szCs w:val="28"/>
        </w:rPr>
        <w:t xml:space="preserve">el </w:t>
      </w:r>
      <w:r w:rsidRPr="007B12E3">
        <w:rPr>
          <w:rFonts w:ascii="Arial" w:hAnsi="Arial" w:cs="Arial"/>
          <w:sz w:val="28"/>
          <w:szCs w:val="28"/>
        </w:rPr>
        <w:lastRenderedPageBreak/>
        <w:t>sobreseimiento del juicio</w:t>
      </w:r>
      <w:r>
        <w:rPr>
          <w:rFonts w:ascii="Arial" w:hAnsi="Arial" w:cs="Arial"/>
          <w:sz w:val="28"/>
          <w:szCs w:val="28"/>
        </w:rPr>
        <w:t>,</w:t>
      </w:r>
      <w:r w:rsidRPr="007B12E3">
        <w:rPr>
          <w:rFonts w:ascii="Arial" w:hAnsi="Arial" w:cs="Arial"/>
          <w:sz w:val="28"/>
          <w:szCs w:val="28"/>
        </w:rPr>
        <w:t xml:space="preserve"> respecto del acto impugnado consistente en el oficio </w:t>
      </w:r>
      <w:r w:rsidR="0050127A">
        <w:rPr>
          <w:rFonts w:ascii="Arial" w:hAnsi="Arial" w:cs="Arial"/>
          <w:color w:val="FF0000"/>
          <w:sz w:val="28"/>
          <w:szCs w:val="28"/>
        </w:rPr>
        <w:t>**********</w:t>
      </w:r>
      <w:r w:rsidRPr="007B12E3">
        <w:rPr>
          <w:rFonts w:ascii="Arial" w:hAnsi="Arial" w:cs="Arial"/>
          <w:sz w:val="28"/>
          <w:szCs w:val="28"/>
        </w:rPr>
        <w:t xml:space="preserve">de </w:t>
      </w:r>
      <w:r w:rsidRPr="00A535E6">
        <w:rPr>
          <w:rFonts w:ascii="Arial" w:hAnsi="Arial" w:cs="Arial"/>
          <w:color w:val="0000FF"/>
          <w:sz w:val="28"/>
          <w:szCs w:val="28"/>
        </w:rPr>
        <w:t>once de marzo de dos mil veinte</w:t>
      </w:r>
      <w:r>
        <w:rPr>
          <w:rFonts w:ascii="Arial" w:hAnsi="Arial" w:cs="Arial"/>
          <w:sz w:val="28"/>
          <w:szCs w:val="28"/>
        </w:rPr>
        <w:t>; en virtud, del</w:t>
      </w:r>
      <w:r w:rsidRPr="007B12E3">
        <w:rPr>
          <w:rFonts w:ascii="Arial" w:hAnsi="Arial" w:cs="Arial"/>
          <w:sz w:val="28"/>
          <w:szCs w:val="28"/>
        </w:rPr>
        <w:t xml:space="preserve"> pronunciamiento posterior de manera positiva por parte de la autoridad que dejó materialmente sin efectos aquélla de</w:t>
      </w:r>
      <w:r w:rsidR="00DE291A">
        <w:rPr>
          <w:rFonts w:ascii="Arial" w:hAnsi="Arial" w:cs="Arial"/>
          <w:sz w:val="28"/>
          <w:szCs w:val="28"/>
        </w:rPr>
        <w:t>terminación en sentido negativo;</w:t>
      </w:r>
      <w:r w:rsidRPr="007B12E3">
        <w:rPr>
          <w:rFonts w:ascii="Arial" w:hAnsi="Arial" w:cs="Arial"/>
          <w:sz w:val="28"/>
          <w:szCs w:val="28"/>
        </w:rPr>
        <w:t xml:space="preserve"> es decir, por sustitución, </w:t>
      </w:r>
      <w:r w:rsidR="00DE291A">
        <w:rPr>
          <w:rFonts w:ascii="Arial" w:hAnsi="Arial" w:cs="Arial"/>
          <w:sz w:val="28"/>
          <w:szCs w:val="28"/>
        </w:rPr>
        <w:t>que invalidó</w:t>
      </w:r>
      <w:r w:rsidRPr="007B12E3">
        <w:rPr>
          <w:rFonts w:ascii="Arial" w:hAnsi="Arial" w:cs="Arial"/>
          <w:sz w:val="28"/>
          <w:szCs w:val="28"/>
        </w:rPr>
        <w:t xml:space="preserve"> la no autoriz</w:t>
      </w:r>
      <w:r w:rsidR="00DE291A">
        <w:rPr>
          <w:rFonts w:ascii="Arial" w:hAnsi="Arial" w:cs="Arial"/>
          <w:sz w:val="28"/>
          <w:szCs w:val="28"/>
        </w:rPr>
        <w:t>ación de la licencia solicitada;</w:t>
      </w:r>
      <w:r w:rsidRPr="007B12E3">
        <w:rPr>
          <w:rFonts w:ascii="Arial" w:hAnsi="Arial" w:cs="Arial"/>
          <w:sz w:val="28"/>
          <w:szCs w:val="28"/>
        </w:rPr>
        <w:t xml:space="preserve"> por ende, </w:t>
      </w:r>
      <w:r>
        <w:rPr>
          <w:rFonts w:ascii="Arial" w:hAnsi="Arial" w:cs="Arial"/>
          <w:sz w:val="28"/>
          <w:szCs w:val="28"/>
        </w:rPr>
        <w:t>quedaron destruidos todos sus efectos</w:t>
      </w:r>
      <w:r w:rsidRPr="007B12E3">
        <w:rPr>
          <w:rFonts w:ascii="Arial" w:hAnsi="Arial" w:cs="Arial"/>
          <w:sz w:val="28"/>
          <w:szCs w:val="28"/>
        </w:rPr>
        <w:t xml:space="preserve">, puesto que la razón que justifica la improcedencia de mérito, </w:t>
      </w:r>
      <w:r>
        <w:rPr>
          <w:rFonts w:ascii="Arial" w:hAnsi="Arial" w:cs="Arial"/>
          <w:sz w:val="28"/>
          <w:szCs w:val="28"/>
        </w:rPr>
        <w:t>es</w:t>
      </w:r>
      <w:r w:rsidRPr="007B12E3">
        <w:rPr>
          <w:rFonts w:ascii="Arial" w:hAnsi="Arial" w:cs="Arial"/>
          <w:sz w:val="28"/>
          <w:szCs w:val="28"/>
        </w:rPr>
        <w:t xml:space="preserve"> la ociosidad de examinar la legalidad de un acto que ya no est</w:t>
      </w:r>
      <w:r>
        <w:rPr>
          <w:rFonts w:ascii="Arial" w:hAnsi="Arial" w:cs="Arial"/>
          <w:sz w:val="28"/>
          <w:szCs w:val="28"/>
        </w:rPr>
        <w:t>á</w:t>
      </w:r>
      <w:r w:rsidRPr="007B12E3">
        <w:rPr>
          <w:rFonts w:ascii="Arial" w:hAnsi="Arial" w:cs="Arial"/>
          <w:sz w:val="28"/>
          <w:szCs w:val="28"/>
        </w:rPr>
        <w:t xml:space="preserve"> surtiendo sus efectos, ni los surtir</w:t>
      </w:r>
      <w:r>
        <w:rPr>
          <w:rFonts w:ascii="Arial" w:hAnsi="Arial" w:cs="Arial"/>
          <w:sz w:val="28"/>
          <w:szCs w:val="28"/>
        </w:rPr>
        <w:t>á</w:t>
      </w:r>
      <w:r w:rsidRPr="007B12E3">
        <w:rPr>
          <w:rFonts w:ascii="Arial" w:hAnsi="Arial" w:cs="Arial"/>
          <w:sz w:val="28"/>
          <w:szCs w:val="28"/>
        </w:rPr>
        <w:t>, y que no dejó huella alguna en la esfera j</w:t>
      </w:r>
      <w:r>
        <w:rPr>
          <w:rFonts w:ascii="Arial" w:hAnsi="Arial" w:cs="Arial"/>
          <w:sz w:val="28"/>
          <w:szCs w:val="28"/>
        </w:rPr>
        <w:t>urídica de la actora que ameritara</w:t>
      </w:r>
      <w:r w:rsidRPr="007B12E3">
        <w:rPr>
          <w:rFonts w:ascii="Arial" w:hAnsi="Arial" w:cs="Arial"/>
          <w:sz w:val="28"/>
          <w:szCs w:val="28"/>
        </w:rPr>
        <w:t xml:space="preserve"> ser borrada por el otorgamiento de la declaratoria de nulidad</w:t>
      </w:r>
      <w:r>
        <w:rPr>
          <w:rFonts w:ascii="Arial" w:hAnsi="Arial" w:cs="Arial"/>
          <w:sz w:val="28"/>
          <w:szCs w:val="28"/>
        </w:rPr>
        <w:t>.</w:t>
      </w:r>
    </w:p>
    <w:p w14:paraId="66E6328E" w14:textId="77777777" w:rsidR="00177FB2" w:rsidRDefault="00177FB2" w:rsidP="00177FB2">
      <w:pPr>
        <w:pStyle w:val="Prrafodelista"/>
        <w:spacing w:after="0" w:line="360" w:lineRule="auto"/>
        <w:ind w:left="0" w:firstLine="709"/>
        <w:jc w:val="both"/>
        <w:rPr>
          <w:rFonts w:ascii="Arial" w:hAnsi="Arial" w:cs="Arial"/>
          <w:sz w:val="28"/>
          <w:szCs w:val="28"/>
        </w:rPr>
      </w:pPr>
    </w:p>
    <w:p w14:paraId="282E6BF2" w14:textId="78DF9BB7" w:rsidR="00177FB2" w:rsidRPr="00901B82" w:rsidRDefault="00177FB2" w:rsidP="00177FB2">
      <w:pPr>
        <w:spacing w:after="0" w:line="360" w:lineRule="auto"/>
        <w:ind w:firstLine="708"/>
        <w:jc w:val="both"/>
        <w:rPr>
          <w:rFonts w:ascii="Arial" w:hAnsi="Arial" w:cs="Arial"/>
          <w:sz w:val="28"/>
          <w:szCs w:val="28"/>
        </w:rPr>
      </w:pPr>
      <w:r>
        <w:rPr>
          <w:rFonts w:ascii="Arial" w:hAnsi="Arial" w:cs="Arial"/>
          <w:sz w:val="28"/>
          <w:szCs w:val="28"/>
        </w:rPr>
        <w:t>Máxime</w:t>
      </w:r>
      <w:r w:rsidRPr="00901B82">
        <w:rPr>
          <w:rFonts w:ascii="Arial" w:hAnsi="Arial" w:cs="Arial"/>
          <w:sz w:val="28"/>
          <w:szCs w:val="28"/>
        </w:rPr>
        <w:t xml:space="preserve"> que</w:t>
      </w:r>
      <w:r>
        <w:rPr>
          <w:rFonts w:ascii="Arial" w:hAnsi="Arial" w:cs="Arial"/>
          <w:sz w:val="28"/>
          <w:szCs w:val="28"/>
        </w:rPr>
        <w:t>, como lo estableció la Sala Resolutora,</w:t>
      </w:r>
      <w:r w:rsidRPr="00901B82">
        <w:rPr>
          <w:rFonts w:ascii="Arial" w:hAnsi="Arial" w:cs="Arial"/>
          <w:sz w:val="28"/>
          <w:szCs w:val="28"/>
        </w:rPr>
        <w:t xml:space="preserve"> de conformidad con lo dispuesto por los artículos 228, fracción V y 252, del Código Procesal Administrativo para el </w:t>
      </w:r>
      <w:r w:rsidRPr="003E5337">
        <w:rPr>
          <w:rFonts w:ascii="Arial" w:hAnsi="Arial" w:cs="Arial"/>
          <w:sz w:val="28"/>
          <w:szCs w:val="28"/>
        </w:rPr>
        <w:t xml:space="preserve">Estado, </w:t>
      </w:r>
      <w:r w:rsidRPr="00901B82">
        <w:rPr>
          <w:rFonts w:ascii="Arial" w:hAnsi="Arial" w:cs="Arial"/>
          <w:sz w:val="28"/>
          <w:szCs w:val="28"/>
        </w:rPr>
        <w:t xml:space="preserve">las posibles consecuencias de la </w:t>
      </w:r>
      <w:r>
        <w:rPr>
          <w:rFonts w:ascii="Arial" w:hAnsi="Arial" w:cs="Arial"/>
          <w:sz w:val="28"/>
          <w:szCs w:val="28"/>
        </w:rPr>
        <w:t>resolución</w:t>
      </w:r>
      <w:r w:rsidRPr="00901B82">
        <w:rPr>
          <w:rFonts w:ascii="Arial" w:hAnsi="Arial" w:cs="Arial"/>
          <w:sz w:val="28"/>
          <w:szCs w:val="28"/>
        </w:rPr>
        <w:t xml:space="preserve"> contenida </w:t>
      </w:r>
      <w:r>
        <w:rPr>
          <w:rFonts w:ascii="Arial" w:hAnsi="Arial" w:cs="Arial"/>
          <w:sz w:val="28"/>
          <w:szCs w:val="28"/>
        </w:rPr>
        <w:t>en el oficio</w:t>
      </w:r>
      <w:r w:rsidRPr="00901B82">
        <w:rPr>
          <w:rFonts w:ascii="Arial" w:hAnsi="Arial" w:cs="Arial"/>
          <w:sz w:val="28"/>
          <w:szCs w:val="28"/>
        </w:rPr>
        <w:t xml:space="preserve"> </w:t>
      </w:r>
      <w:r w:rsidR="0050127A">
        <w:rPr>
          <w:rFonts w:ascii="Arial" w:hAnsi="Arial" w:cs="Arial"/>
          <w:color w:val="FF0000"/>
          <w:sz w:val="28"/>
          <w:szCs w:val="28"/>
        </w:rPr>
        <w:t>**********</w:t>
      </w:r>
      <w:r w:rsidRPr="00901B82">
        <w:rPr>
          <w:rFonts w:ascii="Arial" w:hAnsi="Arial" w:cs="Arial"/>
          <w:sz w:val="28"/>
          <w:szCs w:val="28"/>
        </w:rPr>
        <w:t xml:space="preserve"> de </w:t>
      </w:r>
      <w:r>
        <w:rPr>
          <w:rFonts w:ascii="Arial" w:hAnsi="Arial" w:cs="Arial"/>
          <w:color w:val="0033CC"/>
          <w:sz w:val="28"/>
          <w:szCs w:val="28"/>
        </w:rPr>
        <w:t>once de marzo de dos mil veinte</w:t>
      </w:r>
      <w:r w:rsidRPr="003E5337">
        <w:rPr>
          <w:rFonts w:ascii="Arial" w:hAnsi="Arial" w:cs="Arial"/>
          <w:color w:val="0033CC"/>
          <w:sz w:val="28"/>
          <w:szCs w:val="28"/>
        </w:rPr>
        <w:t xml:space="preserve">, </w:t>
      </w:r>
      <w:r w:rsidRPr="003E5337">
        <w:rPr>
          <w:rFonts w:ascii="Arial" w:hAnsi="Arial" w:cs="Arial"/>
          <w:sz w:val="28"/>
          <w:szCs w:val="28"/>
        </w:rPr>
        <w:t xml:space="preserve">quedaron irreparablemente consumadas, pues únicamente se prolongaron durante </w:t>
      </w:r>
      <w:r w:rsidR="00DE291A">
        <w:rPr>
          <w:rFonts w:ascii="Arial" w:hAnsi="Arial" w:cs="Arial"/>
          <w:sz w:val="28"/>
          <w:szCs w:val="28"/>
        </w:rPr>
        <w:t>el tiempo que duró tal negativa;</w:t>
      </w:r>
      <w:r w:rsidRPr="003E5337">
        <w:rPr>
          <w:rFonts w:ascii="Arial" w:hAnsi="Arial" w:cs="Arial"/>
          <w:sz w:val="28"/>
          <w:szCs w:val="28"/>
        </w:rPr>
        <w:t xml:space="preserve"> es decir, hasta el momento de que la autoridad expidió </w:t>
      </w:r>
      <w:r>
        <w:rPr>
          <w:rFonts w:ascii="Arial" w:hAnsi="Arial" w:cs="Arial"/>
          <w:sz w:val="28"/>
          <w:szCs w:val="28"/>
        </w:rPr>
        <w:t>la licencia de uso de suelo, por lo que, no</w:t>
      </w:r>
      <w:r w:rsidRPr="00901B82">
        <w:rPr>
          <w:rFonts w:ascii="Arial" w:hAnsi="Arial" w:cs="Arial"/>
          <w:sz w:val="28"/>
          <w:szCs w:val="28"/>
        </w:rPr>
        <w:t xml:space="preserve"> sería posible dejar sin efectos un acto cuyos </w:t>
      </w:r>
      <w:r w:rsidR="00DE291A">
        <w:rPr>
          <w:rFonts w:ascii="Arial" w:hAnsi="Arial" w:cs="Arial"/>
          <w:sz w:val="28"/>
          <w:szCs w:val="28"/>
        </w:rPr>
        <w:t>alcances</w:t>
      </w:r>
      <w:r w:rsidRPr="00901B82">
        <w:rPr>
          <w:rFonts w:ascii="Arial" w:hAnsi="Arial" w:cs="Arial"/>
          <w:sz w:val="28"/>
          <w:szCs w:val="28"/>
        </w:rPr>
        <w:t xml:space="preserve"> quedaron consumados de forma irreparable</w:t>
      </w:r>
      <w:r>
        <w:rPr>
          <w:rFonts w:ascii="Arial" w:hAnsi="Arial" w:cs="Arial"/>
          <w:sz w:val="28"/>
          <w:szCs w:val="28"/>
        </w:rPr>
        <w:t>.</w:t>
      </w:r>
    </w:p>
    <w:p w14:paraId="17EFEE25" w14:textId="77777777" w:rsidR="00177FB2" w:rsidRDefault="00177FB2" w:rsidP="00177FB2">
      <w:pPr>
        <w:pStyle w:val="Prrafodelista"/>
        <w:spacing w:after="0" w:line="360" w:lineRule="auto"/>
        <w:ind w:left="0" w:firstLine="851"/>
        <w:jc w:val="both"/>
        <w:rPr>
          <w:rFonts w:ascii="Arial" w:hAnsi="Arial" w:cs="Arial"/>
          <w:sz w:val="28"/>
          <w:szCs w:val="28"/>
        </w:rPr>
      </w:pPr>
    </w:p>
    <w:p w14:paraId="6A8FC300" w14:textId="18F83041"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color w:val="000000"/>
          <w:sz w:val="28"/>
          <w:szCs w:val="28"/>
          <w:lang w:eastAsia="es-MX"/>
        </w:rPr>
        <w:t xml:space="preserve">Asimismo, resultan </w:t>
      </w:r>
      <w:r w:rsidRPr="00F72528">
        <w:rPr>
          <w:rFonts w:ascii="Arial" w:hAnsi="Arial" w:cs="Arial"/>
          <w:b/>
          <w:color w:val="000000"/>
          <w:sz w:val="28"/>
          <w:szCs w:val="28"/>
          <w:lang w:eastAsia="es-MX"/>
        </w:rPr>
        <w:t>infundado</w:t>
      </w:r>
      <w:r>
        <w:rPr>
          <w:rFonts w:ascii="Arial" w:hAnsi="Arial" w:cs="Arial"/>
          <w:b/>
          <w:color w:val="000000"/>
          <w:sz w:val="28"/>
          <w:szCs w:val="28"/>
          <w:lang w:eastAsia="es-MX"/>
        </w:rPr>
        <w:t>s</w:t>
      </w:r>
      <w:r>
        <w:rPr>
          <w:rFonts w:ascii="Arial" w:hAnsi="Arial" w:cs="Arial"/>
          <w:color w:val="000000"/>
          <w:sz w:val="28"/>
          <w:szCs w:val="28"/>
          <w:lang w:eastAsia="es-MX"/>
        </w:rPr>
        <w:t xml:space="preserve"> los agravios </w:t>
      </w:r>
      <w:r>
        <w:rPr>
          <w:rFonts w:ascii="Arial" w:eastAsia="Times New Roman" w:hAnsi="Arial" w:cs="Arial"/>
          <w:kern w:val="28"/>
          <w:sz w:val="28"/>
          <w:szCs w:val="28"/>
          <w:lang w:val="es-ES_tradnl" w:eastAsia="es-ES"/>
        </w:rPr>
        <w:t xml:space="preserve">donde el apelante se duele de que la Sala de Origen, debió realizar el análisis de legalidad de los actos impugnados en conjunto, en razón de estar relacionados entre sí, y ser consecuencias unos de otros, en virtud de que el </w:t>
      </w:r>
      <w:r w:rsidRPr="007B12E3">
        <w:rPr>
          <w:rFonts w:ascii="Arial" w:hAnsi="Arial" w:cs="Arial"/>
          <w:sz w:val="28"/>
          <w:szCs w:val="28"/>
        </w:rPr>
        <w:t xml:space="preserve">oficio </w:t>
      </w:r>
      <w:r w:rsidR="0050127A">
        <w:rPr>
          <w:rFonts w:ascii="Arial" w:hAnsi="Arial" w:cs="Arial"/>
          <w:color w:val="FF0000"/>
          <w:sz w:val="28"/>
          <w:szCs w:val="28"/>
        </w:rPr>
        <w:t>**********</w:t>
      </w:r>
      <w:r w:rsidRPr="007B12E3">
        <w:rPr>
          <w:rFonts w:ascii="Arial" w:hAnsi="Arial" w:cs="Arial"/>
          <w:sz w:val="28"/>
          <w:szCs w:val="28"/>
        </w:rPr>
        <w:t xml:space="preserve">de </w:t>
      </w:r>
      <w:r>
        <w:rPr>
          <w:rFonts w:ascii="Arial" w:hAnsi="Arial" w:cs="Arial"/>
          <w:sz w:val="28"/>
          <w:szCs w:val="28"/>
        </w:rPr>
        <w:t>once de marzo de dos mil veinte, detonó que la actora realizará un pago por el cambio de uso de suelo, y se emitiera la licencia de uso de suelo de funcionamiento por una actividad incompatible con la que realiza, por lo que los efectos de esa resolución se siguieron concretando en su esfera jurídica y dejaron huella en la misma.</w:t>
      </w:r>
    </w:p>
    <w:p w14:paraId="2838D4BB" w14:textId="77777777" w:rsidR="00177FB2" w:rsidRPr="003220B0" w:rsidRDefault="00177FB2" w:rsidP="00177FB2">
      <w:pPr>
        <w:spacing w:after="0" w:line="360" w:lineRule="auto"/>
        <w:jc w:val="both"/>
        <w:rPr>
          <w:rFonts w:ascii="Arial" w:hAnsi="Arial" w:cs="Arial"/>
          <w:sz w:val="28"/>
          <w:szCs w:val="28"/>
        </w:rPr>
      </w:pPr>
    </w:p>
    <w:p w14:paraId="2745DBD5" w14:textId="49D2ADD1" w:rsidR="00177FB2" w:rsidRDefault="00177FB2" w:rsidP="00177FB2">
      <w:pPr>
        <w:spacing w:after="0" w:line="360" w:lineRule="auto"/>
        <w:ind w:firstLine="851"/>
        <w:jc w:val="both"/>
        <w:rPr>
          <w:rFonts w:ascii="Arial" w:hAnsi="Arial" w:cs="Arial"/>
          <w:color w:val="000000"/>
          <w:sz w:val="28"/>
          <w:szCs w:val="28"/>
          <w:lang w:eastAsia="es-MX"/>
        </w:rPr>
      </w:pPr>
      <w:r>
        <w:rPr>
          <w:rFonts w:ascii="Arial" w:hAnsi="Arial" w:cs="Arial"/>
          <w:color w:val="000000"/>
          <w:sz w:val="28"/>
          <w:szCs w:val="28"/>
          <w:lang w:eastAsia="es-MX"/>
        </w:rPr>
        <w:t xml:space="preserve">Lo anterior es así por una parte, porque no es posible emprender el análisis de legalidad de un acto administrativo, cuando se advierte la actualización de alguna causal de improcedencia </w:t>
      </w:r>
      <w:r>
        <w:rPr>
          <w:rFonts w:ascii="Arial" w:hAnsi="Arial" w:cs="Arial"/>
          <w:sz w:val="28"/>
          <w:szCs w:val="28"/>
        </w:rPr>
        <w:t>del artículo 228</w:t>
      </w:r>
      <w:r w:rsidRPr="00901B82">
        <w:rPr>
          <w:rFonts w:ascii="Arial" w:hAnsi="Arial" w:cs="Arial"/>
          <w:sz w:val="28"/>
          <w:szCs w:val="28"/>
        </w:rPr>
        <w:t xml:space="preserve"> del Código Procesal Administrativo para el </w:t>
      </w:r>
      <w:r w:rsidRPr="003E5337">
        <w:rPr>
          <w:rFonts w:ascii="Arial" w:hAnsi="Arial" w:cs="Arial"/>
          <w:sz w:val="28"/>
          <w:szCs w:val="28"/>
        </w:rPr>
        <w:t>Estado</w:t>
      </w:r>
      <w:r>
        <w:rPr>
          <w:rFonts w:ascii="Arial" w:hAnsi="Arial" w:cs="Arial"/>
          <w:color w:val="000000"/>
          <w:sz w:val="28"/>
          <w:szCs w:val="28"/>
          <w:lang w:eastAsia="es-MX"/>
        </w:rPr>
        <w:t>, al ser cuestiones de orden público y estudio preferente, cuando sobreviene alguna causal se traduce en la imposibilidad del Tribunal para analizar y resolver sobre el</w:t>
      </w:r>
      <w:r w:rsidR="00DE291A">
        <w:rPr>
          <w:rFonts w:ascii="Arial" w:hAnsi="Arial" w:cs="Arial"/>
          <w:color w:val="000000"/>
          <w:sz w:val="28"/>
          <w:szCs w:val="28"/>
          <w:lang w:eastAsia="es-MX"/>
        </w:rPr>
        <w:t xml:space="preserve"> fondo de la cuestión principal, como bien los estableció la juzgadora</w:t>
      </w:r>
      <w:r w:rsidR="00937570">
        <w:rPr>
          <w:rFonts w:ascii="Arial" w:hAnsi="Arial" w:cs="Arial"/>
          <w:color w:val="000000"/>
          <w:sz w:val="28"/>
          <w:szCs w:val="28"/>
          <w:lang w:eastAsia="es-MX"/>
        </w:rPr>
        <w:t xml:space="preserve"> de primera instancia.</w:t>
      </w:r>
    </w:p>
    <w:p w14:paraId="3E0F424F" w14:textId="77777777" w:rsidR="00177FB2" w:rsidRDefault="00177FB2" w:rsidP="00177FB2">
      <w:pPr>
        <w:spacing w:after="0" w:line="360" w:lineRule="auto"/>
        <w:ind w:firstLine="851"/>
        <w:jc w:val="both"/>
        <w:rPr>
          <w:rFonts w:ascii="Arial" w:hAnsi="Arial" w:cs="Arial"/>
          <w:color w:val="000000"/>
          <w:sz w:val="28"/>
          <w:szCs w:val="28"/>
          <w:lang w:eastAsia="es-MX"/>
        </w:rPr>
      </w:pPr>
    </w:p>
    <w:p w14:paraId="7C2EC03B" w14:textId="4410BD91" w:rsidR="00177FB2" w:rsidRDefault="00177FB2" w:rsidP="00560E10">
      <w:pPr>
        <w:spacing w:after="0" w:line="360" w:lineRule="auto"/>
        <w:ind w:firstLine="851"/>
        <w:jc w:val="both"/>
        <w:rPr>
          <w:rFonts w:ascii="Arial" w:hAnsi="Arial" w:cs="Arial"/>
          <w:sz w:val="28"/>
          <w:szCs w:val="28"/>
        </w:rPr>
      </w:pPr>
      <w:r>
        <w:rPr>
          <w:rFonts w:ascii="Arial" w:hAnsi="Arial" w:cs="Arial"/>
          <w:color w:val="000000"/>
          <w:sz w:val="28"/>
          <w:szCs w:val="28"/>
          <w:lang w:eastAsia="es-MX"/>
        </w:rPr>
        <w:t xml:space="preserve">Por otra parte, porque </w:t>
      </w:r>
      <w:r>
        <w:rPr>
          <w:rFonts w:ascii="Arial" w:hAnsi="Arial" w:cs="Arial"/>
          <w:sz w:val="28"/>
          <w:szCs w:val="28"/>
        </w:rPr>
        <w:t xml:space="preserve">los efectos de la resolución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once de marzo de dos mil veinte</w:t>
      </w:r>
      <w:r>
        <w:rPr>
          <w:rFonts w:ascii="Arial" w:hAnsi="Arial" w:cs="Arial"/>
          <w:sz w:val="28"/>
          <w:szCs w:val="28"/>
        </w:rPr>
        <w:t xml:space="preserve">, emitida por </w:t>
      </w:r>
      <w:r w:rsidRPr="00DE5D27">
        <w:rPr>
          <w:rFonts w:ascii="Arial" w:hAnsi="Arial" w:cs="Arial"/>
          <w:sz w:val="28"/>
          <w:szCs w:val="28"/>
        </w:rPr>
        <w:t xml:space="preserve">el Director de Desarrollo Urbano y Catastro Municipal de Soledad de Graciano Sánchez, San Luis Potosí, </w:t>
      </w:r>
      <w:r>
        <w:rPr>
          <w:rFonts w:ascii="Arial" w:hAnsi="Arial" w:cs="Arial"/>
          <w:sz w:val="28"/>
          <w:szCs w:val="28"/>
        </w:rPr>
        <w:t>consistieron en la no autorización de la</w:t>
      </w:r>
      <w:r w:rsidRPr="00DE5D27">
        <w:rPr>
          <w:rFonts w:ascii="Arial" w:hAnsi="Arial" w:cs="Arial"/>
          <w:sz w:val="28"/>
          <w:szCs w:val="28"/>
        </w:rPr>
        <w:t xml:space="preserve"> licencia de uso de suelo de funcionamiento para una “granja avícola”, respecto del predio ubicado en la </w:t>
      </w:r>
      <w:r w:rsidR="0050127A">
        <w:rPr>
          <w:rFonts w:ascii="Arial" w:hAnsi="Arial" w:cs="Arial"/>
          <w:color w:val="FF0000"/>
          <w:sz w:val="28"/>
          <w:szCs w:val="28"/>
        </w:rPr>
        <w:t>**********</w:t>
      </w:r>
      <w:r w:rsidRPr="00DE5D27">
        <w:rPr>
          <w:rFonts w:ascii="Arial" w:hAnsi="Arial" w:cs="Arial"/>
          <w:sz w:val="28"/>
          <w:szCs w:val="28"/>
        </w:rPr>
        <w:t xml:space="preserve">, </w:t>
      </w:r>
      <w:r>
        <w:rPr>
          <w:rFonts w:ascii="Arial" w:hAnsi="Arial" w:cs="Arial"/>
          <w:sz w:val="28"/>
          <w:szCs w:val="28"/>
        </w:rPr>
        <w:t>en virtud de que no era factible en base al Anexo 2 de las normas de uso de suelo vigentes, conforme al Plan del Centro de Población Estratégico de San Luis Potosí – Soledad de Graciano Sánchez. Para mayor ilustración, a continuación se inserta la imagen del acto en mención</w:t>
      </w:r>
      <w:r>
        <w:rPr>
          <w:rStyle w:val="Refdenotaalpie"/>
          <w:rFonts w:ascii="Arial" w:hAnsi="Arial" w:cs="Arial"/>
          <w:sz w:val="28"/>
          <w:szCs w:val="28"/>
        </w:rPr>
        <w:footnoteReference w:id="21"/>
      </w:r>
      <w:r>
        <w:rPr>
          <w:rFonts w:ascii="Arial" w:hAnsi="Arial" w:cs="Arial"/>
          <w:sz w:val="28"/>
          <w:szCs w:val="28"/>
        </w:rPr>
        <w:t>:</w:t>
      </w:r>
    </w:p>
    <w:p w14:paraId="4D7BD433" w14:textId="77777777" w:rsidR="000C670C" w:rsidRPr="00560E10" w:rsidRDefault="000C670C" w:rsidP="00560E10">
      <w:pPr>
        <w:spacing w:after="0" w:line="360" w:lineRule="auto"/>
        <w:ind w:firstLine="851"/>
        <w:jc w:val="both"/>
        <w:rPr>
          <w:rFonts w:ascii="Arial" w:hAnsi="Arial" w:cs="Arial"/>
          <w:color w:val="000000"/>
          <w:sz w:val="28"/>
          <w:szCs w:val="28"/>
          <w:lang w:eastAsia="es-MX"/>
        </w:rPr>
      </w:pPr>
    </w:p>
    <w:p w14:paraId="2891873A" w14:textId="4F1E0392" w:rsidR="00177FB2" w:rsidRDefault="000C670C" w:rsidP="00560E10">
      <w:pPr>
        <w:pStyle w:val="Prrafodelista"/>
        <w:spacing w:after="0" w:line="360" w:lineRule="auto"/>
        <w:ind w:left="0"/>
        <w:jc w:val="both"/>
        <w:rPr>
          <w:rFonts w:ascii="Arial" w:hAnsi="Arial" w:cs="Arial"/>
          <w:noProof/>
          <w:sz w:val="28"/>
          <w:szCs w:val="28"/>
          <w:lang w:eastAsia="es-MX"/>
        </w:rPr>
      </w:pPr>
      <w:r>
        <w:rPr>
          <w:rFonts w:ascii="Arial" w:hAnsi="Arial" w:cs="Arial"/>
          <w:noProof/>
          <w:sz w:val="28"/>
          <w:szCs w:val="28"/>
          <w:lang w:eastAsia="es-MX"/>
        </w:rPr>
        <w:t>IMAGEN DIGITALIZADA</w:t>
      </w:r>
    </w:p>
    <w:p w14:paraId="22889267" w14:textId="77777777" w:rsidR="000C670C" w:rsidRDefault="000C670C" w:rsidP="00560E10">
      <w:pPr>
        <w:pStyle w:val="Prrafodelista"/>
        <w:spacing w:after="0" w:line="360" w:lineRule="auto"/>
        <w:ind w:left="0"/>
        <w:jc w:val="both"/>
        <w:rPr>
          <w:rFonts w:ascii="Arial" w:hAnsi="Arial" w:cs="Arial"/>
          <w:sz w:val="28"/>
          <w:szCs w:val="28"/>
        </w:rPr>
      </w:pPr>
    </w:p>
    <w:p w14:paraId="28785CCD" w14:textId="3610ACD0" w:rsidR="00177FB2" w:rsidRDefault="00177FB2" w:rsidP="00177FB2">
      <w:pPr>
        <w:pStyle w:val="Prrafodelista"/>
        <w:spacing w:after="0" w:line="360" w:lineRule="auto"/>
        <w:ind w:left="0" w:firstLine="851"/>
        <w:jc w:val="both"/>
        <w:rPr>
          <w:rFonts w:ascii="Arial" w:hAnsi="Arial" w:cs="Arial"/>
          <w:sz w:val="28"/>
          <w:szCs w:val="28"/>
        </w:rPr>
      </w:pPr>
      <w:r w:rsidRPr="00DE5D27">
        <w:rPr>
          <w:rFonts w:ascii="Arial" w:hAnsi="Arial" w:cs="Arial"/>
          <w:sz w:val="28"/>
          <w:szCs w:val="28"/>
        </w:rPr>
        <w:t xml:space="preserve">Posteriormente, </w:t>
      </w:r>
      <w:r>
        <w:rPr>
          <w:rFonts w:ascii="Arial" w:hAnsi="Arial" w:cs="Arial"/>
          <w:sz w:val="28"/>
          <w:szCs w:val="28"/>
        </w:rPr>
        <w:t xml:space="preserve">el </w:t>
      </w:r>
      <w:r w:rsidRPr="003220B0">
        <w:rPr>
          <w:rFonts w:ascii="Arial" w:hAnsi="Arial" w:cs="Arial"/>
          <w:color w:val="0000FF"/>
          <w:sz w:val="28"/>
          <w:szCs w:val="28"/>
        </w:rPr>
        <w:t>dieciséis de julio de dos mil veinte</w:t>
      </w:r>
      <w:r>
        <w:rPr>
          <w:rFonts w:ascii="Arial" w:hAnsi="Arial" w:cs="Arial"/>
          <w:sz w:val="28"/>
          <w:szCs w:val="28"/>
        </w:rPr>
        <w:t xml:space="preserve"> el</w:t>
      </w:r>
      <w:r w:rsidRPr="00DE5D27">
        <w:rPr>
          <w:rFonts w:ascii="Arial" w:hAnsi="Arial" w:cs="Arial"/>
          <w:sz w:val="28"/>
          <w:szCs w:val="28"/>
        </w:rPr>
        <w:t xml:space="preserve"> Director de Desarrollo Urbano y Catastro Municipal de Soledad de Graciano Sánchez, San Luis Potosí, </w:t>
      </w:r>
      <w:r>
        <w:rPr>
          <w:rFonts w:ascii="Arial" w:hAnsi="Arial" w:cs="Arial"/>
          <w:sz w:val="28"/>
          <w:szCs w:val="28"/>
        </w:rPr>
        <w:t xml:space="preserve">emitió </w:t>
      </w:r>
      <w:r w:rsidRPr="00DE5D27">
        <w:rPr>
          <w:rFonts w:ascii="Arial" w:hAnsi="Arial" w:cs="Arial"/>
          <w:sz w:val="28"/>
          <w:szCs w:val="28"/>
        </w:rPr>
        <w:t xml:space="preserve">licencia de uso de suelo de funcionamiento, con número de folio </w:t>
      </w:r>
      <w:r w:rsidR="0050127A">
        <w:rPr>
          <w:rFonts w:ascii="Arial" w:hAnsi="Arial" w:cs="Arial"/>
          <w:color w:val="FF0000"/>
          <w:sz w:val="28"/>
          <w:szCs w:val="28"/>
        </w:rPr>
        <w:t>**********</w:t>
      </w:r>
      <w:r w:rsidRPr="00DE5D27">
        <w:rPr>
          <w:rFonts w:ascii="Arial" w:hAnsi="Arial" w:cs="Arial"/>
          <w:sz w:val="28"/>
          <w:szCs w:val="28"/>
        </w:rPr>
        <w:t xml:space="preserve">, </w:t>
      </w:r>
      <w:r w:rsidRPr="00DE5D27">
        <w:rPr>
          <w:rFonts w:ascii="Arial" w:hAnsi="Arial" w:cs="Arial"/>
          <w:sz w:val="28"/>
          <w:szCs w:val="28"/>
        </w:rPr>
        <w:lastRenderedPageBreak/>
        <w:t xml:space="preserve">respecto de la misma actividad </w:t>
      </w:r>
      <w:r>
        <w:rPr>
          <w:rFonts w:ascii="Arial" w:hAnsi="Arial" w:cs="Arial"/>
          <w:sz w:val="28"/>
          <w:szCs w:val="28"/>
        </w:rPr>
        <w:t xml:space="preserve">(granja avícola) </w:t>
      </w:r>
      <w:r w:rsidRPr="00DE5D27">
        <w:rPr>
          <w:rFonts w:ascii="Arial" w:hAnsi="Arial" w:cs="Arial"/>
          <w:sz w:val="28"/>
          <w:szCs w:val="28"/>
        </w:rPr>
        <w:t>y predio en cuestión</w:t>
      </w:r>
      <w:r>
        <w:rPr>
          <w:rFonts w:ascii="Arial" w:hAnsi="Arial" w:cs="Arial"/>
          <w:sz w:val="28"/>
          <w:szCs w:val="28"/>
        </w:rPr>
        <w:t xml:space="preserve"> (</w:t>
      </w:r>
      <w:r w:rsidR="0050127A">
        <w:rPr>
          <w:rFonts w:ascii="Arial" w:hAnsi="Arial" w:cs="Arial"/>
          <w:color w:val="FF0000"/>
          <w:sz w:val="28"/>
          <w:szCs w:val="28"/>
        </w:rPr>
        <w:t>**********</w:t>
      </w:r>
      <w:r>
        <w:rPr>
          <w:rFonts w:ascii="Arial" w:hAnsi="Arial" w:cs="Arial"/>
          <w:sz w:val="28"/>
          <w:szCs w:val="28"/>
        </w:rPr>
        <w:t xml:space="preserve">), la cual se inserta a continuación: </w:t>
      </w:r>
    </w:p>
    <w:p w14:paraId="13717847" w14:textId="77777777" w:rsidR="000C670C" w:rsidRDefault="000C670C" w:rsidP="00177FB2">
      <w:pPr>
        <w:pStyle w:val="Prrafodelista"/>
        <w:spacing w:after="0" w:line="360" w:lineRule="auto"/>
        <w:ind w:left="0" w:firstLine="851"/>
        <w:jc w:val="both"/>
        <w:rPr>
          <w:rFonts w:ascii="Arial" w:hAnsi="Arial" w:cs="Arial"/>
          <w:sz w:val="28"/>
          <w:szCs w:val="28"/>
        </w:rPr>
      </w:pPr>
    </w:p>
    <w:p w14:paraId="45F642E7" w14:textId="77777777" w:rsidR="000C670C" w:rsidRDefault="000C670C" w:rsidP="000C670C">
      <w:pPr>
        <w:pStyle w:val="Prrafodelista"/>
        <w:spacing w:after="0" w:line="360" w:lineRule="auto"/>
        <w:ind w:left="0"/>
        <w:jc w:val="both"/>
        <w:rPr>
          <w:rFonts w:ascii="Arial" w:hAnsi="Arial" w:cs="Arial"/>
          <w:noProof/>
          <w:sz w:val="28"/>
          <w:szCs w:val="28"/>
          <w:lang w:eastAsia="es-MX"/>
        </w:rPr>
      </w:pPr>
      <w:r>
        <w:rPr>
          <w:rFonts w:ascii="Arial" w:hAnsi="Arial" w:cs="Arial"/>
          <w:noProof/>
          <w:sz w:val="28"/>
          <w:szCs w:val="28"/>
          <w:lang w:eastAsia="es-MX"/>
        </w:rPr>
        <w:t>IMAGEN DIGITALIZADA</w:t>
      </w:r>
    </w:p>
    <w:p w14:paraId="2C8CED87" w14:textId="0440D349" w:rsidR="00177FB2" w:rsidRPr="00427671" w:rsidRDefault="00177FB2" w:rsidP="00177FB2">
      <w:pPr>
        <w:pStyle w:val="Prrafodelista"/>
        <w:spacing w:after="0" w:line="360" w:lineRule="auto"/>
        <w:ind w:left="0"/>
        <w:jc w:val="both"/>
        <w:rPr>
          <w:rFonts w:ascii="Arial" w:hAnsi="Arial" w:cs="Arial"/>
          <w:sz w:val="28"/>
          <w:szCs w:val="28"/>
        </w:rPr>
      </w:pPr>
    </w:p>
    <w:p w14:paraId="358131B4" w14:textId="22DA036F"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Por lo que, contrario a lo que señala el recurrente, los efectos del oficio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once de marzo de dos mil veinte</w:t>
      </w:r>
      <w:r>
        <w:rPr>
          <w:rFonts w:ascii="Arial" w:hAnsi="Arial" w:cs="Arial"/>
          <w:color w:val="0000FF"/>
          <w:sz w:val="28"/>
          <w:szCs w:val="28"/>
        </w:rPr>
        <w:t xml:space="preserve">, </w:t>
      </w:r>
      <w:r w:rsidRPr="001A640B">
        <w:rPr>
          <w:rFonts w:ascii="Arial" w:hAnsi="Arial" w:cs="Arial"/>
          <w:sz w:val="28"/>
          <w:szCs w:val="28"/>
        </w:rPr>
        <w:t xml:space="preserve">cesaron </w:t>
      </w:r>
      <w:r>
        <w:rPr>
          <w:rFonts w:ascii="Arial" w:hAnsi="Arial" w:cs="Arial"/>
          <w:sz w:val="28"/>
          <w:szCs w:val="28"/>
        </w:rPr>
        <w:t xml:space="preserve">por completo </w:t>
      </w:r>
      <w:r w:rsidRPr="001A640B">
        <w:rPr>
          <w:rFonts w:ascii="Arial" w:hAnsi="Arial" w:cs="Arial"/>
          <w:sz w:val="28"/>
          <w:szCs w:val="28"/>
        </w:rPr>
        <w:t xml:space="preserve">cuando </w:t>
      </w:r>
      <w:r>
        <w:rPr>
          <w:rFonts w:ascii="Arial" w:hAnsi="Arial" w:cs="Arial"/>
          <w:sz w:val="28"/>
          <w:szCs w:val="28"/>
        </w:rPr>
        <w:t>el</w:t>
      </w:r>
      <w:r w:rsidRPr="00DE5D27">
        <w:rPr>
          <w:rFonts w:ascii="Arial" w:hAnsi="Arial" w:cs="Arial"/>
          <w:sz w:val="28"/>
          <w:szCs w:val="28"/>
        </w:rPr>
        <w:t xml:space="preserve"> Director de Desarrollo Urbano y Catastro Municipal de Soledad de Graciano Sánchez, San Luis Potosí,</w:t>
      </w:r>
      <w:r>
        <w:rPr>
          <w:rFonts w:ascii="Arial" w:hAnsi="Arial" w:cs="Arial"/>
          <w:sz w:val="28"/>
          <w:szCs w:val="28"/>
        </w:rPr>
        <w:t xml:space="preserve"> </w:t>
      </w:r>
      <w:r w:rsidRPr="001A640B">
        <w:rPr>
          <w:rFonts w:ascii="Arial" w:hAnsi="Arial" w:cs="Arial"/>
          <w:sz w:val="28"/>
          <w:szCs w:val="28"/>
        </w:rPr>
        <w:t>expidió la</w:t>
      </w:r>
      <w:r>
        <w:rPr>
          <w:rFonts w:ascii="Arial" w:hAnsi="Arial" w:cs="Arial"/>
          <w:sz w:val="28"/>
          <w:szCs w:val="28"/>
        </w:rPr>
        <w:t xml:space="preserve"> solicitada</w:t>
      </w:r>
      <w:r w:rsidRPr="001A640B">
        <w:rPr>
          <w:rFonts w:ascii="Arial" w:hAnsi="Arial" w:cs="Arial"/>
          <w:sz w:val="28"/>
          <w:szCs w:val="28"/>
        </w:rPr>
        <w:t xml:space="preserve"> licencia de uso de suelo </w:t>
      </w:r>
      <w:r>
        <w:rPr>
          <w:rFonts w:ascii="Arial" w:hAnsi="Arial" w:cs="Arial"/>
          <w:sz w:val="28"/>
          <w:szCs w:val="28"/>
        </w:rPr>
        <w:t>de funcionamiento</w:t>
      </w:r>
      <w:r w:rsidRPr="00F922CB">
        <w:rPr>
          <w:rFonts w:ascii="Arial" w:hAnsi="Arial" w:cs="Arial"/>
          <w:sz w:val="28"/>
          <w:szCs w:val="28"/>
        </w:rPr>
        <w:t xml:space="preserve"> </w:t>
      </w:r>
      <w:r>
        <w:rPr>
          <w:rFonts w:ascii="Arial" w:hAnsi="Arial" w:cs="Arial"/>
          <w:sz w:val="28"/>
          <w:szCs w:val="28"/>
        </w:rPr>
        <w:t xml:space="preserve">con </w:t>
      </w:r>
      <w:r w:rsidRPr="00DE5D27">
        <w:rPr>
          <w:rFonts w:ascii="Arial" w:hAnsi="Arial" w:cs="Arial"/>
          <w:sz w:val="28"/>
          <w:szCs w:val="28"/>
        </w:rPr>
        <w:t xml:space="preserve">folio </w:t>
      </w:r>
      <w:r w:rsidR="0050127A">
        <w:rPr>
          <w:rFonts w:ascii="Arial" w:hAnsi="Arial" w:cs="Arial"/>
          <w:color w:val="FF0000"/>
          <w:sz w:val="28"/>
          <w:szCs w:val="28"/>
        </w:rPr>
        <w:t>**********</w:t>
      </w:r>
      <w:r w:rsidRPr="00DE5D27">
        <w:rPr>
          <w:rFonts w:ascii="Arial" w:hAnsi="Arial" w:cs="Arial"/>
          <w:sz w:val="28"/>
          <w:szCs w:val="28"/>
        </w:rPr>
        <w:t xml:space="preserve">, </w:t>
      </w:r>
      <w:r w:rsidRPr="001A640B">
        <w:rPr>
          <w:rFonts w:ascii="Arial" w:hAnsi="Arial" w:cs="Arial"/>
          <w:sz w:val="28"/>
          <w:szCs w:val="28"/>
        </w:rPr>
        <w:t>para la referida actividad (granja avícola)</w:t>
      </w:r>
      <w:r>
        <w:rPr>
          <w:rFonts w:ascii="Arial" w:hAnsi="Arial" w:cs="Arial"/>
          <w:sz w:val="28"/>
          <w:szCs w:val="28"/>
        </w:rPr>
        <w:t xml:space="preserve"> </w:t>
      </w:r>
      <w:r w:rsidRPr="00DE5D27">
        <w:rPr>
          <w:rFonts w:ascii="Arial" w:hAnsi="Arial" w:cs="Arial"/>
          <w:sz w:val="28"/>
          <w:szCs w:val="28"/>
        </w:rPr>
        <w:t>y predio en cuestión</w:t>
      </w:r>
      <w:r>
        <w:rPr>
          <w:rFonts w:ascii="Arial" w:hAnsi="Arial" w:cs="Arial"/>
          <w:sz w:val="28"/>
          <w:szCs w:val="28"/>
        </w:rPr>
        <w:t xml:space="preserve"> (</w:t>
      </w:r>
      <w:r w:rsidR="0050127A">
        <w:rPr>
          <w:rFonts w:ascii="Arial" w:hAnsi="Arial" w:cs="Arial"/>
          <w:color w:val="FF0000"/>
          <w:sz w:val="28"/>
          <w:szCs w:val="28"/>
        </w:rPr>
        <w:t>**********</w:t>
      </w:r>
      <w:r>
        <w:rPr>
          <w:rFonts w:ascii="Arial" w:hAnsi="Arial" w:cs="Arial"/>
          <w:sz w:val="28"/>
          <w:szCs w:val="28"/>
        </w:rPr>
        <w:t>)</w:t>
      </w:r>
      <w:r w:rsidRPr="001A640B">
        <w:rPr>
          <w:rFonts w:ascii="Arial" w:hAnsi="Arial" w:cs="Arial"/>
          <w:sz w:val="28"/>
          <w:szCs w:val="28"/>
        </w:rPr>
        <w:t xml:space="preserve">. </w:t>
      </w:r>
    </w:p>
    <w:p w14:paraId="385CA22E" w14:textId="77777777" w:rsidR="00177FB2" w:rsidRDefault="00177FB2" w:rsidP="00177FB2">
      <w:pPr>
        <w:pStyle w:val="Prrafodelista"/>
        <w:spacing w:after="0" w:line="360" w:lineRule="auto"/>
        <w:ind w:left="0" w:firstLine="851"/>
        <w:jc w:val="both"/>
        <w:rPr>
          <w:rFonts w:ascii="Arial" w:hAnsi="Arial" w:cs="Arial"/>
          <w:sz w:val="28"/>
          <w:szCs w:val="28"/>
        </w:rPr>
      </w:pPr>
    </w:p>
    <w:p w14:paraId="54C685BE" w14:textId="0C9758C0" w:rsidR="00177FB2" w:rsidRDefault="00177FB2" w:rsidP="00177FB2">
      <w:pPr>
        <w:pStyle w:val="Prrafodelista"/>
        <w:spacing w:after="0" w:line="360" w:lineRule="auto"/>
        <w:ind w:left="0" w:firstLine="851"/>
        <w:jc w:val="both"/>
        <w:rPr>
          <w:rFonts w:ascii="Arial" w:hAnsi="Arial" w:cs="Arial"/>
          <w:color w:val="0000FF"/>
          <w:sz w:val="28"/>
          <w:szCs w:val="28"/>
        </w:rPr>
      </w:pPr>
      <w:r>
        <w:rPr>
          <w:rFonts w:ascii="Arial" w:hAnsi="Arial" w:cs="Arial"/>
          <w:sz w:val="28"/>
          <w:szCs w:val="28"/>
        </w:rPr>
        <w:t>Asimismo, respecto al pago por el cambio de uso de suelo que menciona se vio obligado a</w:t>
      </w:r>
      <w:r w:rsidRPr="001A640B">
        <w:rPr>
          <w:rFonts w:ascii="Arial" w:hAnsi="Arial" w:cs="Arial"/>
          <w:sz w:val="28"/>
          <w:szCs w:val="28"/>
        </w:rPr>
        <w:t xml:space="preserve"> </w:t>
      </w:r>
      <w:r>
        <w:rPr>
          <w:rFonts w:ascii="Arial" w:hAnsi="Arial" w:cs="Arial"/>
          <w:sz w:val="28"/>
          <w:szCs w:val="28"/>
        </w:rPr>
        <w:t xml:space="preserve">realizar con motivo del oficio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once de marzo de dos mil veinte</w:t>
      </w:r>
      <w:r>
        <w:rPr>
          <w:rFonts w:ascii="Arial" w:hAnsi="Arial" w:cs="Arial"/>
          <w:sz w:val="28"/>
          <w:szCs w:val="28"/>
        </w:rPr>
        <w:t xml:space="preserve">, y que con ello quedó huella en su esfera jurídica; debe decirse, resulta desacertada tal afirmación, en virtud, que de las constancias del expediente de origen y de las propias manifestaciones del apelante se advierte, que el mismo se erogó con motivo del </w:t>
      </w:r>
      <w:r w:rsidRPr="00F250BB">
        <w:rPr>
          <w:rFonts w:ascii="Arial" w:hAnsi="Arial" w:cs="Arial"/>
          <w:sz w:val="28"/>
          <w:szCs w:val="28"/>
        </w:rPr>
        <w:t>convenio de reconocimiento de obligación de pago</w:t>
      </w:r>
      <w:r>
        <w:rPr>
          <w:rFonts w:ascii="Arial" w:hAnsi="Arial" w:cs="Arial"/>
          <w:sz w:val="28"/>
          <w:szCs w:val="28"/>
        </w:rPr>
        <w:t xml:space="preserve">, de </w:t>
      </w:r>
      <w:r w:rsidRPr="00AF51BD">
        <w:rPr>
          <w:rFonts w:ascii="Arial" w:hAnsi="Arial" w:cs="Arial"/>
          <w:color w:val="0000FF"/>
          <w:sz w:val="28"/>
          <w:szCs w:val="28"/>
        </w:rPr>
        <w:t>dieciséis de junio de dos mil veinte</w:t>
      </w:r>
      <w:r>
        <w:rPr>
          <w:rFonts w:ascii="Arial" w:hAnsi="Arial" w:cs="Arial"/>
          <w:sz w:val="28"/>
          <w:szCs w:val="28"/>
        </w:rPr>
        <w:t>, celebrado entre el Ayuntamiento de Soledad de Graciano Sánchez y la parte actora</w:t>
      </w:r>
      <w:r>
        <w:rPr>
          <w:rStyle w:val="Refdenotaalpie"/>
          <w:rFonts w:ascii="Arial" w:hAnsi="Arial" w:cs="Arial"/>
          <w:sz w:val="28"/>
          <w:szCs w:val="28"/>
        </w:rPr>
        <w:footnoteReference w:id="22"/>
      </w:r>
      <w:r>
        <w:rPr>
          <w:rFonts w:ascii="Arial" w:hAnsi="Arial" w:cs="Arial"/>
          <w:sz w:val="28"/>
          <w:szCs w:val="28"/>
        </w:rPr>
        <w:t xml:space="preserve">, es decir, no es efecto del acto administrativo contenido en el oficio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once de marzo de dos mil veinte</w:t>
      </w:r>
      <w:r>
        <w:rPr>
          <w:rFonts w:ascii="Arial" w:hAnsi="Arial" w:cs="Arial"/>
          <w:color w:val="0000FF"/>
          <w:sz w:val="28"/>
          <w:szCs w:val="28"/>
        </w:rPr>
        <w:t>.</w:t>
      </w:r>
    </w:p>
    <w:p w14:paraId="5F05AB5B" w14:textId="77777777" w:rsidR="00177FB2" w:rsidRPr="008A375B" w:rsidRDefault="00177FB2" w:rsidP="00177FB2">
      <w:pPr>
        <w:pStyle w:val="Prrafodelista"/>
        <w:spacing w:after="0" w:line="360" w:lineRule="auto"/>
        <w:ind w:left="0" w:firstLine="851"/>
        <w:jc w:val="both"/>
        <w:rPr>
          <w:rFonts w:ascii="Arial" w:hAnsi="Arial" w:cs="Arial"/>
          <w:sz w:val="28"/>
          <w:szCs w:val="28"/>
        </w:rPr>
      </w:pPr>
    </w:p>
    <w:p w14:paraId="778B9A05" w14:textId="69CE59E2"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De igual manera, tampoco le asiste la razón al apelante en el sentido de que la determinación de la autoridad demandada de dejar insubsistente la resolución impugnada, era insuficiente para generar la improcedencia del juicio, toda vez que, resultaba indispensable que se satisficiera la pretensión del demandante en cuanto a que el predio ubicado en  </w:t>
      </w:r>
      <w:r w:rsidR="0050127A">
        <w:rPr>
          <w:rFonts w:ascii="Arial" w:hAnsi="Arial" w:cs="Arial"/>
          <w:color w:val="FF0000"/>
          <w:sz w:val="28"/>
          <w:szCs w:val="28"/>
        </w:rPr>
        <w:t>**********</w:t>
      </w:r>
      <w:r w:rsidRPr="00974A42">
        <w:rPr>
          <w:rFonts w:ascii="Arial" w:hAnsi="Arial" w:cs="Arial"/>
          <w:sz w:val="28"/>
          <w:szCs w:val="28"/>
        </w:rPr>
        <w:t xml:space="preserve">le corresponde un uso de suelo “agropecuario”, compatible con el área silvestre en el que se encuentra ubicado, </w:t>
      </w:r>
      <w:r w:rsidRPr="00974A42">
        <w:rPr>
          <w:rFonts w:ascii="Arial" w:hAnsi="Arial" w:cs="Arial"/>
          <w:sz w:val="28"/>
          <w:szCs w:val="28"/>
        </w:rPr>
        <w:lastRenderedPageBreak/>
        <w:t>y se ordenara devolver las cantidades que pago por cambio de uso de suelo</w:t>
      </w:r>
      <w:r>
        <w:rPr>
          <w:rFonts w:ascii="Arial" w:hAnsi="Arial" w:cs="Arial"/>
          <w:sz w:val="28"/>
          <w:szCs w:val="28"/>
        </w:rPr>
        <w:t>.</w:t>
      </w:r>
    </w:p>
    <w:p w14:paraId="41A0BB76" w14:textId="77777777" w:rsidR="00177FB2" w:rsidRDefault="00177FB2" w:rsidP="00177FB2">
      <w:pPr>
        <w:pStyle w:val="Prrafodelista"/>
        <w:spacing w:after="0" w:line="360" w:lineRule="auto"/>
        <w:ind w:left="0" w:firstLine="851"/>
        <w:jc w:val="both"/>
        <w:rPr>
          <w:rFonts w:ascii="Arial" w:hAnsi="Arial" w:cs="Arial"/>
          <w:sz w:val="28"/>
          <w:szCs w:val="28"/>
        </w:rPr>
      </w:pPr>
    </w:p>
    <w:p w14:paraId="6E338AC1" w14:textId="0A87852C" w:rsidR="00937570"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Se sostiene lo anterior, en razón que el recurrente parte de una apreciación equivocada, pues la causa de improcedencia no sobrevino por determinación de la autoridad demandada de insubsistencia del oficio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once de marzo de dos mil veinte</w:t>
      </w:r>
      <w:r>
        <w:rPr>
          <w:rFonts w:ascii="Arial" w:hAnsi="Arial" w:cs="Arial"/>
          <w:sz w:val="28"/>
          <w:szCs w:val="28"/>
        </w:rPr>
        <w:t xml:space="preserve">, sino por cesación de efectos del mismo, figura jurídica que ya se precisó párrafos arriba, derivado de la emisión de la </w:t>
      </w:r>
      <w:r w:rsidRPr="00DE5D27">
        <w:rPr>
          <w:rFonts w:ascii="Arial" w:hAnsi="Arial" w:cs="Arial"/>
          <w:sz w:val="28"/>
          <w:szCs w:val="28"/>
        </w:rPr>
        <w:t>licencia de uso de</w:t>
      </w:r>
      <w:r>
        <w:rPr>
          <w:rFonts w:ascii="Arial" w:hAnsi="Arial" w:cs="Arial"/>
          <w:sz w:val="28"/>
          <w:szCs w:val="28"/>
        </w:rPr>
        <w:t xml:space="preserve"> </w:t>
      </w:r>
      <w:r w:rsidRPr="00DE5D27">
        <w:rPr>
          <w:rFonts w:ascii="Arial" w:hAnsi="Arial" w:cs="Arial"/>
          <w:sz w:val="28"/>
          <w:szCs w:val="28"/>
        </w:rPr>
        <w:t xml:space="preserve">suelo de funcionamiento, con número de folio </w:t>
      </w:r>
      <w:r w:rsidR="0050127A">
        <w:rPr>
          <w:rFonts w:ascii="Arial" w:hAnsi="Arial" w:cs="Arial"/>
          <w:color w:val="FF0000"/>
          <w:sz w:val="28"/>
          <w:szCs w:val="28"/>
        </w:rPr>
        <w:t>**********</w:t>
      </w:r>
      <w:r>
        <w:rPr>
          <w:rFonts w:ascii="Arial" w:hAnsi="Arial" w:cs="Arial"/>
          <w:sz w:val="28"/>
          <w:szCs w:val="28"/>
        </w:rPr>
        <w:t xml:space="preserve">; con la cual, además se colmó la pretensión planteada ante la autoridad administrativa, por </w:t>
      </w:r>
      <w:r w:rsidRPr="00DE5D27">
        <w:rPr>
          <w:rFonts w:ascii="Arial" w:hAnsi="Arial" w:cs="Arial"/>
          <w:sz w:val="28"/>
          <w:szCs w:val="28"/>
        </w:rPr>
        <w:t xml:space="preserve">la </w:t>
      </w:r>
      <w:r>
        <w:rPr>
          <w:rFonts w:ascii="Arial" w:hAnsi="Arial" w:cs="Arial"/>
          <w:sz w:val="28"/>
          <w:szCs w:val="28"/>
        </w:rPr>
        <w:t xml:space="preserve">emisión de la </w:t>
      </w:r>
      <w:r w:rsidRPr="00DE5D27">
        <w:rPr>
          <w:rFonts w:ascii="Arial" w:hAnsi="Arial" w:cs="Arial"/>
          <w:sz w:val="28"/>
          <w:szCs w:val="28"/>
        </w:rPr>
        <w:t xml:space="preserve">licencia de uso de suelo de funcionamiento </w:t>
      </w:r>
      <w:r>
        <w:rPr>
          <w:rFonts w:ascii="Arial" w:hAnsi="Arial" w:cs="Arial"/>
          <w:sz w:val="28"/>
          <w:szCs w:val="28"/>
        </w:rPr>
        <w:t>por la</w:t>
      </w:r>
      <w:r w:rsidRPr="00DE5D27">
        <w:rPr>
          <w:rFonts w:ascii="Arial" w:hAnsi="Arial" w:cs="Arial"/>
          <w:sz w:val="28"/>
          <w:szCs w:val="28"/>
        </w:rPr>
        <w:t xml:space="preserve"> actividad</w:t>
      </w:r>
      <w:r>
        <w:rPr>
          <w:rFonts w:ascii="Arial" w:hAnsi="Arial" w:cs="Arial"/>
          <w:sz w:val="28"/>
          <w:szCs w:val="28"/>
        </w:rPr>
        <w:t xml:space="preserve"> de granja avícola, respecto del predio ubicado en </w:t>
      </w:r>
      <w:r w:rsidR="0050127A">
        <w:rPr>
          <w:rFonts w:ascii="Arial" w:hAnsi="Arial" w:cs="Arial"/>
          <w:color w:val="FF0000"/>
          <w:sz w:val="28"/>
          <w:szCs w:val="28"/>
        </w:rPr>
        <w:t>**********</w:t>
      </w:r>
    </w:p>
    <w:p w14:paraId="2D598123" w14:textId="77777777"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Por último, misma calificativa se otorga al agravio en el que el apelante se duele del sobreseimiento decretado por la Sala </w:t>
      </w:r>
      <w:r w:rsidRPr="00A52A1A">
        <w:rPr>
          <w:rFonts w:ascii="Arial" w:hAnsi="Arial" w:cs="Arial"/>
          <w:i/>
          <w:sz w:val="28"/>
          <w:szCs w:val="28"/>
        </w:rPr>
        <w:t>A quo</w:t>
      </w:r>
      <w:r>
        <w:rPr>
          <w:rFonts w:ascii="Arial" w:hAnsi="Arial" w:cs="Arial"/>
          <w:i/>
          <w:sz w:val="28"/>
          <w:szCs w:val="28"/>
        </w:rPr>
        <w:t>,</w:t>
      </w:r>
      <w:r>
        <w:rPr>
          <w:rFonts w:ascii="Arial" w:hAnsi="Arial" w:cs="Arial"/>
          <w:sz w:val="28"/>
          <w:szCs w:val="28"/>
        </w:rPr>
        <w:t xml:space="preserve"> respecto al </w:t>
      </w:r>
      <w:r w:rsidRPr="00603679">
        <w:rPr>
          <w:rFonts w:ascii="Arial" w:hAnsi="Arial" w:cs="Arial"/>
          <w:sz w:val="28"/>
          <w:szCs w:val="28"/>
        </w:rPr>
        <w:t>Plan del Centro de Población Estratégico de Población San Luis Potosí - Soledad de Graciano Sánchez</w:t>
      </w:r>
      <w:r>
        <w:rPr>
          <w:rFonts w:ascii="Arial" w:hAnsi="Arial" w:cs="Arial"/>
          <w:sz w:val="28"/>
          <w:szCs w:val="28"/>
        </w:rPr>
        <w:t>, pues sostiene que dicha determinación resulta restrictiva y violatoria al principio de tutela judicial efectiva al dejarlo en estado de indefensión por no permitirle controvertirlo no obstante durante el juicio acreditó la aplicación del mismo en su perjuicio, que el legislador determinó que era procedente el juicio en contra de decretos y acuerdos estatales y municipales de carácter general cuando el interesado los controvierta con motivo del primer actor de aplicación, es decir, que basta que exista un acto de aplicación, con independencia de que éste posteriormente sea sustituido o improcedente.</w:t>
      </w:r>
    </w:p>
    <w:p w14:paraId="5DBBF879" w14:textId="77777777" w:rsidR="00177FB2" w:rsidRPr="002410D3" w:rsidRDefault="00177FB2" w:rsidP="00177FB2">
      <w:pPr>
        <w:spacing w:after="0" w:line="360" w:lineRule="auto"/>
        <w:jc w:val="both"/>
        <w:rPr>
          <w:rFonts w:ascii="Arial" w:hAnsi="Arial" w:cs="Arial"/>
          <w:sz w:val="28"/>
          <w:szCs w:val="28"/>
        </w:rPr>
      </w:pPr>
    </w:p>
    <w:p w14:paraId="0F383538" w14:textId="5B0C0A57"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lastRenderedPageBreak/>
        <w:t xml:space="preserve">Ello es así, pues como lo sostuvo la Sala Primigenia, </w:t>
      </w:r>
      <w:r w:rsidRPr="00FE1911">
        <w:rPr>
          <w:rFonts w:ascii="Arial" w:hAnsi="Arial" w:cs="Arial"/>
          <w:sz w:val="28"/>
          <w:szCs w:val="28"/>
        </w:rPr>
        <w:t>no debe desvincularse el estudio de la referida disposición impugnada</w:t>
      </w:r>
      <w:r>
        <w:rPr>
          <w:rFonts w:ascii="Arial" w:hAnsi="Arial" w:cs="Arial"/>
          <w:sz w:val="28"/>
          <w:szCs w:val="28"/>
        </w:rPr>
        <w:t xml:space="preserve"> </w:t>
      </w:r>
      <w:r w:rsidRPr="00603679">
        <w:rPr>
          <w:rFonts w:ascii="Arial" w:hAnsi="Arial" w:cs="Arial"/>
          <w:sz w:val="28"/>
          <w:szCs w:val="28"/>
        </w:rPr>
        <w:t>Plan del Centro de Población Estratégico de Población San Luis Potosí - Soledad de Graciano Sánchez</w:t>
      </w:r>
      <w:r>
        <w:rPr>
          <w:rFonts w:ascii="Arial" w:hAnsi="Arial" w:cs="Arial"/>
          <w:sz w:val="28"/>
          <w:szCs w:val="28"/>
        </w:rPr>
        <w:t>,</w:t>
      </w:r>
      <w:r w:rsidRPr="00FE1911">
        <w:rPr>
          <w:rFonts w:ascii="Arial" w:hAnsi="Arial" w:cs="Arial"/>
          <w:sz w:val="28"/>
          <w:szCs w:val="28"/>
        </w:rPr>
        <w:t xml:space="preserve"> del que concierne a su acto de aplicación, por lo que, si se estima improcedente el juicio en contra del acto de aplicación</w:t>
      </w:r>
      <w:r>
        <w:rPr>
          <w:rFonts w:ascii="Arial" w:hAnsi="Arial" w:cs="Arial"/>
          <w:sz w:val="28"/>
          <w:szCs w:val="28"/>
        </w:rPr>
        <w:t xml:space="preserve"> es decir el oficio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once de marzo de dos mil veinte</w:t>
      </w:r>
      <w:r>
        <w:rPr>
          <w:rFonts w:ascii="Arial" w:hAnsi="Arial" w:cs="Arial"/>
          <w:sz w:val="28"/>
          <w:szCs w:val="28"/>
        </w:rPr>
        <w:t xml:space="preserve">, </w:t>
      </w:r>
      <w:r w:rsidRPr="00FE1911">
        <w:rPr>
          <w:rFonts w:ascii="Arial" w:hAnsi="Arial" w:cs="Arial"/>
          <w:sz w:val="28"/>
          <w:szCs w:val="28"/>
        </w:rPr>
        <w:t>deberá sobreseer</w:t>
      </w:r>
      <w:r>
        <w:rPr>
          <w:rFonts w:ascii="Arial" w:hAnsi="Arial" w:cs="Arial"/>
          <w:sz w:val="28"/>
          <w:szCs w:val="28"/>
        </w:rPr>
        <w:t>se</w:t>
      </w:r>
      <w:r w:rsidRPr="00FE1911">
        <w:rPr>
          <w:rFonts w:ascii="Arial" w:hAnsi="Arial" w:cs="Arial"/>
          <w:sz w:val="28"/>
          <w:szCs w:val="28"/>
        </w:rPr>
        <w:t xml:space="preserve"> respecto de éste y, en vía de consecuencia, también en relación con el acto de carácter general impugnado, al </w:t>
      </w:r>
      <w:r w:rsidRPr="00FE1911">
        <w:rPr>
          <w:rFonts w:ascii="Arial" w:hAnsi="Arial" w:cs="Arial"/>
          <w:b/>
          <w:sz w:val="28"/>
          <w:szCs w:val="28"/>
        </w:rPr>
        <w:t>no poder desvincularse uno de otro</w:t>
      </w:r>
      <w:r>
        <w:rPr>
          <w:rFonts w:ascii="Arial" w:hAnsi="Arial" w:cs="Arial"/>
          <w:sz w:val="28"/>
          <w:szCs w:val="28"/>
        </w:rPr>
        <w:t>.</w:t>
      </w:r>
    </w:p>
    <w:p w14:paraId="7A5E5119" w14:textId="77777777" w:rsidR="00177FB2" w:rsidRDefault="00177FB2" w:rsidP="00177FB2">
      <w:pPr>
        <w:pStyle w:val="Prrafodelista"/>
        <w:spacing w:after="0" w:line="360" w:lineRule="auto"/>
        <w:ind w:left="0" w:firstLine="851"/>
        <w:jc w:val="both"/>
        <w:rPr>
          <w:rFonts w:ascii="Arial" w:hAnsi="Arial" w:cs="Arial"/>
          <w:sz w:val="28"/>
          <w:szCs w:val="28"/>
        </w:rPr>
      </w:pPr>
      <w:r w:rsidRPr="00FE1911">
        <w:rPr>
          <w:rFonts w:ascii="Arial" w:hAnsi="Arial" w:cs="Arial"/>
          <w:sz w:val="28"/>
          <w:szCs w:val="28"/>
        </w:rPr>
        <w:t xml:space="preserve"> </w:t>
      </w:r>
    </w:p>
    <w:p w14:paraId="0F5A2F49" w14:textId="77777777" w:rsidR="00177FB2" w:rsidRDefault="00177FB2" w:rsidP="00177FB2">
      <w:pPr>
        <w:pStyle w:val="Prrafodelista"/>
        <w:spacing w:after="0" w:line="360" w:lineRule="auto"/>
        <w:ind w:left="0" w:firstLine="851"/>
        <w:jc w:val="both"/>
        <w:rPr>
          <w:rFonts w:ascii="Arial" w:hAnsi="Arial" w:cs="Arial"/>
          <w:sz w:val="28"/>
          <w:szCs w:val="28"/>
        </w:rPr>
      </w:pPr>
      <w:r w:rsidRPr="00745835">
        <w:rPr>
          <w:rFonts w:ascii="Arial" w:hAnsi="Arial" w:cs="Arial"/>
          <w:sz w:val="28"/>
          <w:szCs w:val="28"/>
        </w:rPr>
        <w:t>Sirven de apoyo a lo anterior, las Jurisprudencias 2a./J. 71/2000</w:t>
      </w:r>
      <w:r>
        <w:rPr>
          <w:rFonts w:ascii="Arial" w:hAnsi="Arial" w:cs="Arial"/>
          <w:sz w:val="28"/>
          <w:szCs w:val="28"/>
        </w:rPr>
        <w:t xml:space="preserve"> y </w:t>
      </w:r>
      <w:r w:rsidRPr="00745835">
        <w:rPr>
          <w:rFonts w:ascii="Arial" w:hAnsi="Arial" w:cs="Arial"/>
          <w:sz w:val="28"/>
          <w:szCs w:val="28"/>
        </w:rPr>
        <w:t xml:space="preserve">: 2a./J. 95/2005, </w:t>
      </w:r>
      <w:r>
        <w:rPr>
          <w:rFonts w:ascii="Arial" w:hAnsi="Arial" w:cs="Arial"/>
          <w:sz w:val="28"/>
          <w:szCs w:val="28"/>
        </w:rPr>
        <w:t xml:space="preserve">emitidas por la Segunda Sala de la Suprema Corte de Justicia de la Nación, </w:t>
      </w:r>
      <w:r w:rsidRPr="00745835">
        <w:rPr>
          <w:rFonts w:ascii="Arial" w:hAnsi="Arial" w:cs="Arial"/>
          <w:sz w:val="28"/>
          <w:szCs w:val="28"/>
        </w:rPr>
        <w:t>así como la tesis VI.1o.A.291 A, cuyo rubro, contenido y datos de localización, son los siguientes:</w:t>
      </w:r>
    </w:p>
    <w:p w14:paraId="11D4B919" w14:textId="77777777" w:rsidR="00177FB2" w:rsidRDefault="00177FB2" w:rsidP="00177FB2">
      <w:pPr>
        <w:pStyle w:val="Prrafodelista"/>
        <w:spacing w:after="0" w:line="360" w:lineRule="auto"/>
        <w:ind w:left="0" w:firstLine="851"/>
        <w:jc w:val="both"/>
        <w:rPr>
          <w:rFonts w:ascii="Arial" w:hAnsi="Arial" w:cs="Arial"/>
          <w:sz w:val="28"/>
          <w:szCs w:val="28"/>
        </w:rPr>
      </w:pPr>
    </w:p>
    <w:p w14:paraId="28CDA2B0" w14:textId="77777777" w:rsidR="00177FB2" w:rsidRDefault="00177FB2" w:rsidP="00177FB2">
      <w:pPr>
        <w:pStyle w:val="Prrafodelista"/>
        <w:spacing w:after="0" w:line="240" w:lineRule="auto"/>
        <w:ind w:left="567" w:right="618"/>
        <w:jc w:val="both"/>
        <w:rPr>
          <w:rFonts w:ascii="Arial Narrow" w:hAnsi="Arial Narrow" w:cs="Arial"/>
          <w:i/>
          <w:sz w:val="24"/>
          <w:szCs w:val="24"/>
        </w:rPr>
      </w:pPr>
      <w:r w:rsidRPr="00745835">
        <w:rPr>
          <w:rFonts w:ascii="Arial Narrow" w:hAnsi="Arial Narrow" w:cs="Arial"/>
          <w:b/>
          <w:i/>
          <w:sz w:val="24"/>
          <w:szCs w:val="24"/>
        </w:rPr>
        <w:t>“LEYES, AMPARO CONTRA. REGLAS PARA SU ESTUDIO CUANDO SE PROMUEVE CON MOTIVO DE UN ACTO DE APLICACIÓN.</w:t>
      </w:r>
      <w:r w:rsidRPr="00745835">
        <w:rPr>
          <w:rFonts w:ascii="Arial Narrow" w:hAnsi="Arial Narrow" w:cs="Arial"/>
          <w:i/>
          <w:sz w:val="24"/>
          <w:szCs w:val="24"/>
        </w:rPr>
        <w:t xml:space="preserve"> Conforme a lo dispuesto en la jurisprudencia número 221, visible en las páginas 210 y 211 del Tomo I del Apéndice al Semanario Judicial de la Federación, compilación 1917-1995, de rubro: "LEYES O REGLAMENTOS, AMPARO CONTRA, PROMOVIDO CON MOTIVO DE SU APLICACIÓN.", cuando se promueve un juicio de amparo en contra de una ley o reglamento con motivo de su aplicación concreta en perjuicio del quejoso, el Juez de Distrito no debe desvincular el estudio de la disposición impugnada del que concierne a su acto de aplicación. De ahí que el juzgador de garantías debe analizar, en principio, si el juicio de amparo resulta procedente en cuanto al acto de aplicación impugnado, es decir, si constituye el primero que concrete en perjuicio del peticionario de garantías la hipótesis jurídica controvertida y si en relación con él no se actualiza una diversa causa de improcedencia; de no acontecer así, se impondrá sobreseer en el juicio respecto del acto de aplicación y la norma impugnada. Por otra parte, de resultar procedente el juicio en cuanto al acto de aplicación, debe analizarse la constitucionalidad de la disposición impugnada determinando lo conducente y, únicamente en el caso de que se determine negar el amparo por lo que corresponde a ésta, será factible abordar el estudio de los conceptos de violación enderezados por vicios propios, en su caso, en contra del acto de aplicación; siendo incorrecto, por ello, el estudio de estas últimas cuestiones antes de concluir sobre la constitucionalidad de la norma reclamada.”</w:t>
      </w:r>
      <w:r w:rsidRPr="00745835">
        <w:rPr>
          <w:rStyle w:val="Refdenotaalpie"/>
          <w:rFonts w:ascii="Arial Narrow" w:hAnsi="Arial Narrow" w:cs="Arial"/>
          <w:i/>
          <w:sz w:val="24"/>
          <w:szCs w:val="24"/>
        </w:rPr>
        <w:footnoteReference w:id="23"/>
      </w:r>
    </w:p>
    <w:p w14:paraId="73E71306" w14:textId="77777777" w:rsidR="00177FB2" w:rsidRDefault="00177FB2" w:rsidP="00177FB2">
      <w:pPr>
        <w:pStyle w:val="Prrafodelista"/>
        <w:spacing w:after="0" w:line="240" w:lineRule="auto"/>
        <w:ind w:left="567" w:right="618"/>
        <w:jc w:val="both"/>
        <w:rPr>
          <w:rFonts w:ascii="Arial Narrow" w:hAnsi="Arial Narrow" w:cs="Arial"/>
          <w:i/>
          <w:sz w:val="24"/>
          <w:szCs w:val="24"/>
        </w:rPr>
      </w:pPr>
    </w:p>
    <w:p w14:paraId="02D1CC43" w14:textId="77777777" w:rsidR="00177FB2" w:rsidRDefault="00177FB2" w:rsidP="00177FB2">
      <w:pPr>
        <w:ind w:left="567" w:right="618"/>
        <w:jc w:val="both"/>
        <w:rPr>
          <w:rFonts w:ascii="Arial Narrow" w:hAnsi="Arial Narrow" w:cs="Arial"/>
          <w:i/>
          <w:sz w:val="24"/>
          <w:szCs w:val="24"/>
        </w:rPr>
      </w:pPr>
      <w:r w:rsidRPr="009777C4">
        <w:rPr>
          <w:rFonts w:ascii="Arial Narrow" w:hAnsi="Arial Narrow" w:cs="Arial"/>
          <w:b/>
          <w:i/>
          <w:sz w:val="24"/>
          <w:szCs w:val="24"/>
        </w:rPr>
        <w:t xml:space="preserve">“LEYES AUTOAPLICATIVAS COMBATIDAS CON MOTIVO DE SU PRIMER ACTO DE APLICACIÓN. CUANDO LA DEMANDA ES EXTEMPORÁNEA RESPECTO DE ÉSTE, TAMBIÉN LO ES EN RELACIÓN </w:t>
      </w:r>
      <w:r w:rsidRPr="009777C4">
        <w:rPr>
          <w:rFonts w:ascii="Arial Narrow" w:hAnsi="Arial Narrow" w:cs="Arial"/>
          <w:b/>
          <w:i/>
          <w:sz w:val="24"/>
          <w:szCs w:val="24"/>
        </w:rPr>
        <w:lastRenderedPageBreak/>
        <w:t xml:space="preserve">CON LA LEY, AUN CUANDO NO HAYA TRANSCURRIDO EL PLAZO DE 30 DÍAS PARA SU IMPUGNACIÓN. </w:t>
      </w:r>
      <w:r w:rsidRPr="00745835">
        <w:rPr>
          <w:rFonts w:ascii="Arial Narrow" w:hAnsi="Arial Narrow" w:cs="Arial"/>
          <w:i/>
          <w:sz w:val="24"/>
          <w:szCs w:val="24"/>
        </w:rPr>
        <w:t>Conforme a los artículos 21, 22 y 73, fracción XII, de la Ley de Amparo, una ley autoaplicativa puede ser combatida en dos diferentes momentos: a) dentro de los 30 días a partir de su entrada en vigor, y b) dentro de los 15 días siguientes al en que haya surtido efectos, conforme a la ley del acto, la notificación al quejoso de la resolución o acuerdo que reclame, o al en que haya tenido conocimiento de ellos. Ahora bien, la existencia de estos dos plazos para combatir la ley no significa que simultáneamente puedan coexistir, pues tal circunstancia provocaría inseguridad jurídica. Por ello, si el quejoso impugna la ley a partir de su entrada en vigor, el plazo será el de 30 días, pero si la combate con motivo de su primer acto de aplicación, el plazo será de 15 días en los términos destacados. En ese tenor, si el quejoso combate la ley con motivo de su primer acto de aplicación, pero la demanda la presenta fuera del plazo de 15 días aludido, el juicio de garantías resulta improcedente por lo que hace al acto de aplicación y, consecuentemente, también lo será por lo que respecta a la ley, sin que resulte válido pretender que en relación con esta última se aplique el plazo de 30 días por tratarse de una ley autoaplicativa, pues aun cuando tenga este carácter, el quejoso la combatió a través de su primer acto de aplicación.”</w:t>
      </w:r>
      <w:r>
        <w:rPr>
          <w:rStyle w:val="Refdenotaalpie"/>
          <w:rFonts w:ascii="Arial Narrow" w:hAnsi="Arial Narrow" w:cs="Arial"/>
          <w:i/>
          <w:sz w:val="24"/>
          <w:szCs w:val="24"/>
        </w:rPr>
        <w:footnoteReference w:id="24"/>
      </w:r>
    </w:p>
    <w:p w14:paraId="4595DC37" w14:textId="77777777" w:rsidR="00177FB2" w:rsidRPr="00745835" w:rsidRDefault="00177FB2" w:rsidP="00177FB2">
      <w:pPr>
        <w:ind w:left="567" w:right="618"/>
        <w:jc w:val="both"/>
        <w:rPr>
          <w:rFonts w:ascii="Arial Narrow" w:hAnsi="Arial Narrow" w:cs="Arial"/>
          <w:i/>
          <w:sz w:val="24"/>
          <w:szCs w:val="24"/>
        </w:rPr>
      </w:pPr>
      <w:r w:rsidRPr="00EC6D0D">
        <w:rPr>
          <w:rFonts w:ascii="Arial Narrow" w:hAnsi="Arial Narrow" w:cs="Arial"/>
          <w:b/>
          <w:i/>
          <w:sz w:val="24"/>
          <w:szCs w:val="24"/>
        </w:rPr>
        <w:t>“JUICIO CONTENCIOSO ADMINISTRATIVO. TÉCNICA PARA SU ESTUDIO CUANDO SE PROMUEVE CONTRA ACTOS ADMINISTRATIVOS, DECRETOS Y ACUERDOS DE CARÁCTER GENERAL, IMPUGNADOS POR SU SOLA ENTRADA EN VIGOR O CON MOTIVO DEL PRIMER ACTO DE APLICACIÓN.</w:t>
      </w:r>
      <w:r w:rsidRPr="00745835">
        <w:rPr>
          <w:rFonts w:ascii="Arial Narrow" w:hAnsi="Arial Narrow" w:cs="Arial"/>
          <w:i/>
          <w:sz w:val="24"/>
          <w:szCs w:val="24"/>
        </w:rPr>
        <w:t xml:space="preserve"> Con la entrada en vigor de la Ley Federal de Procedimiento Contencioso Administrativo, a partir del primero de enero de dos mil seis, la hipótesis legal de procedencia del juicio de nulidad para combatir disposiciones de observancia general, ha evolucionado de tal forma que es legalmente factible impugnar mediante el juicio de referencia, entre otros, actos administrativos de carácter general, diversos a los reglamentos, ya sea que se controviertan como autoaplicativos o cuando el gobernado los impugne conjuntamente con el primer acto de aplicación. Al respecto, existen semejanzas relevantes entre el juicio de amparo contra leyes promovido por la sola entrada en vigor de la norma reclamada o con motivo de su primer acto de aplicación, con el juicio contencioso administrativo en el que se impugne la nulidad de un acto, acuerdo o decreto de carácter general en dichas vías, conforme a lo dispuesto por el artículo 2o. de la Ley Federal de Procedimiento Contencioso Administrativo; lo que permite aplicar en forma analógica la técnica del juicio de amparo contra leyes en la vía de constitucionalidad, que ha sido objeto de desarrollo jurisprudencial por parte de la Suprema Corte de Justicia de la Nación, al examen de los actos, acuerdos o decretos de carácter general que </w:t>
      </w:r>
      <w:r w:rsidRPr="00745835">
        <w:rPr>
          <w:rFonts w:ascii="Arial Narrow" w:hAnsi="Arial Narrow" w:cs="Arial"/>
          <w:i/>
          <w:sz w:val="24"/>
          <w:szCs w:val="24"/>
        </w:rPr>
        <w:lastRenderedPageBreak/>
        <w:t>realice el Tribunal Federal de Justicia Fiscal y Administrativa en la vía de legalidad, con las particularidades propias de esta última y atendiendo a cada caso concreto. En efecto, en primer término se estima que para el examen en el juicio de nulidad de los actos administrativos de carácter general, impugnados por su sola entrada en vigor, es necesario que quien acude al juicio demuestre que es sujeto de la norma y que sus disposiciones afectan su interés jurídico, por lo que sólo una vez demostrado dicho extremo, se deberá proceder al examen de los planteamientos enderezados en contra del acto de carácter general combatido, declarando su nulidad o reconociendo su validez según sea el caso. En segundo lugar, para el estudio de la legalidad de los actos de carácter general combatidos en el juicio contencioso administrativo con motivo de su primer acto de aplicación, la técnica que por regla general rige en la vía de constitucionalidad para el juicio de amparo contra leyes en esos casos, se estima aplicable analógicamente al juicio fiscal, debiendo proceder el Tribunal Federal de Justicia Fiscal y Administrativa de la siguiente forma: 1. Deberá examinar la procedencia del juicio contencioso administrativo respecto del acto concreto de aplicación con motivo del cual se combate también la ilegalidad del acto, acuerdo o decreto general que le sirve de fundamento legal; 2. En caso de estimar improcedente el juicio en contra del acto de aplicación, deberá sobreseer respecto de éste y, en vía de consecuencia, en relación con el acto de carácter general impugnado, al no poder desvincularse uno de otro; 3. En el diverso supuesto de que el juicio fiscal resulte procedente en relación con el acto concreto de aplicación, lo será también respecto del acto de carácter general impugnado, y la Sala Fiscal deberá analizar en primer término los planteamientos de ilegalidad formulados en contra de la norma general combatida, pues de resultar ésta contraria a derecho, lo será también en vía de consecuencia el acto de aplicación impugnado por la parte actora, obteniendo ésta una declaratoria de ilegalidad tanto de la norma como del acto, lo que le depara un mayor beneficio a la sola anulación de este último por vicios propios; y, 4. Sólo en caso de que el Tribunal Federal de Justicia Fiscal y Administrativa desestime los conceptos de impugnación enderezados a combatir la ilegalidad de la norma general respectiva, deberá reconocer la validez de esta última y, posteriormente, analizar los planteamientos de nulidad relativos al acto de aplicación por vicios propios, declarando su nulidad o reconociendo su validez. Es por tanto incorrecto que el mencionado tribunal analice en primer lugar las cuestiones de ilegalidad del acto de aplicación combatido por vicios propios, en forma previa al examen de los planteamientos de nulidad enderezados en contra del acto, acuerdo o decreto de carácter general, pues ello implica desvincular el análisis de ambos actos.”</w:t>
      </w:r>
      <w:r>
        <w:rPr>
          <w:rFonts w:ascii="Arial Narrow" w:hAnsi="Arial Narrow" w:cs="Arial"/>
          <w:i/>
          <w:sz w:val="24"/>
          <w:szCs w:val="24"/>
        </w:rPr>
        <w:t xml:space="preserve"> </w:t>
      </w:r>
      <w:r>
        <w:rPr>
          <w:rStyle w:val="Refdenotaalpie"/>
          <w:rFonts w:ascii="Arial Narrow" w:hAnsi="Arial Narrow" w:cs="Arial"/>
          <w:i/>
          <w:sz w:val="24"/>
          <w:szCs w:val="24"/>
        </w:rPr>
        <w:footnoteReference w:id="25"/>
      </w:r>
    </w:p>
    <w:p w14:paraId="212DF477" w14:textId="77777777" w:rsidR="00177FB2" w:rsidRPr="00745835" w:rsidRDefault="00177FB2" w:rsidP="00177FB2">
      <w:pPr>
        <w:pStyle w:val="Prrafodelista"/>
        <w:spacing w:after="0" w:line="240" w:lineRule="auto"/>
        <w:ind w:left="567" w:right="618"/>
        <w:jc w:val="both"/>
        <w:rPr>
          <w:rFonts w:ascii="Arial Narrow" w:hAnsi="Arial Narrow" w:cs="Arial"/>
          <w:i/>
          <w:sz w:val="24"/>
          <w:szCs w:val="24"/>
        </w:rPr>
      </w:pPr>
    </w:p>
    <w:p w14:paraId="7B083279" w14:textId="21FBCD5B"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Máxime, que esta Sala Superior también comparte la determinación de la </w:t>
      </w:r>
      <w:r w:rsidRPr="0041169F">
        <w:rPr>
          <w:rFonts w:ascii="Arial" w:hAnsi="Arial" w:cs="Arial"/>
          <w:i/>
          <w:sz w:val="28"/>
          <w:szCs w:val="28"/>
        </w:rPr>
        <w:t>A quo</w:t>
      </w:r>
      <w:r>
        <w:rPr>
          <w:rFonts w:ascii="Arial" w:hAnsi="Arial" w:cs="Arial"/>
          <w:i/>
          <w:sz w:val="28"/>
          <w:szCs w:val="28"/>
        </w:rPr>
        <w:t>,</w:t>
      </w:r>
      <w:r>
        <w:rPr>
          <w:rFonts w:ascii="Arial" w:hAnsi="Arial" w:cs="Arial"/>
          <w:sz w:val="28"/>
          <w:szCs w:val="28"/>
        </w:rPr>
        <w:t xml:space="preserve"> en el sentido de que a la par</w:t>
      </w:r>
      <w:r w:rsidR="00937570">
        <w:rPr>
          <w:rFonts w:ascii="Arial" w:hAnsi="Arial" w:cs="Arial"/>
          <w:sz w:val="28"/>
          <w:szCs w:val="28"/>
        </w:rPr>
        <w:t>,</w:t>
      </w:r>
      <w:r>
        <w:rPr>
          <w:rFonts w:ascii="Arial" w:hAnsi="Arial" w:cs="Arial"/>
          <w:sz w:val="28"/>
          <w:szCs w:val="28"/>
        </w:rPr>
        <w:t xml:space="preserve"> se actualizó </w:t>
      </w:r>
      <w:r w:rsidRPr="001906C7">
        <w:rPr>
          <w:rFonts w:ascii="Arial" w:hAnsi="Arial" w:cs="Arial"/>
          <w:sz w:val="28"/>
          <w:szCs w:val="28"/>
        </w:rPr>
        <w:t>la causal de improcedencia prevista en el artículo 228, fracción IX</w:t>
      </w:r>
      <w:r w:rsidR="00937570">
        <w:rPr>
          <w:rFonts w:ascii="Arial" w:hAnsi="Arial" w:cs="Arial"/>
          <w:sz w:val="28"/>
          <w:szCs w:val="28"/>
        </w:rPr>
        <w:t>,</w:t>
      </w:r>
      <w:r w:rsidRPr="001906C7">
        <w:rPr>
          <w:rFonts w:ascii="Arial" w:hAnsi="Arial" w:cs="Arial"/>
          <w:sz w:val="28"/>
          <w:szCs w:val="28"/>
        </w:rPr>
        <w:t xml:space="preserve"> del Código Procesal Administrativo para el Estado de San Luis Potosí, </w:t>
      </w:r>
      <w:r>
        <w:rPr>
          <w:rFonts w:ascii="Arial" w:hAnsi="Arial" w:cs="Arial"/>
          <w:sz w:val="28"/>
          <w:szCs w:val="28"/>
        </w:rPr>
        <w:t>respecto dicho acto</w:t>
      </w:r>
      <w:r w:rsidRPr="001906C7">
        <w:rPr>
          <w:rFonts w:ascii="Arial" w:hAnsi="Arial" w:cs="Arial"/>
          <w:sz w:val="28"/>
          <w:szCs w:val="28"/>
        </w:rPr>
        <w:t xml:space="preserve"> Plan del Centro de </w:t>
      </w:r>
      <w:r w:rsidRPr="001906C7">
        <w:rPr>
          <w:rFonts w:ascii="Arial" w:hAnsi="Arial" w:cs="Arial"/>
          <w:sz w:val="28"/>
          <w:szCs w:val="28"/>
        </w:rPr>
        <w:lastRenderedPageBreak/>
        <w:t>Población Estratégico de Población San Luis Potosí - Soledad d</w:t>
      </w:r>
      <w:r>
        <w:rPr>
          <w:rFonts w:ascii="Arial" w:hAnsi="Arial" w:cs="Arial"/>
          <w:sz w:val="28"/>
          <w:szCs w:val="28"/>
        </w:rPr>
        <w:t xml:space="preserve">e Graciano Sánchez, </w:t>
      </w:r>
      <w:r w:rsidRPr="001906C7">
        <w:rPr>
          <w:rFonts w:ascii="Arial" w:hAnsi="Arial" w:cs="Arial"/>
          <w:sz w:val="28"/>
          <w:szCs w:val="28"/>
        </w:rPr>
        <w:t>ya que no puede surtir efectos legales por haber dejado de existir el ob</w:t>
      </w:r>
      <w:r w:rsidR="00937570">
        <w:rPr>
          <w:rFonts w:ascii="Arial" w:hAnsi="Arial" w:cs="Arial"/>
          <w:sz w:val="28"/>
          <w:szCs w:val="28"/>
        </w:rPr>
        <w:t>jeto o materia de su aplicación;</w:t>
      </w:r>
      <w:r w:rsidRPr="001906C7">
        <w:rPr>
          <w:rFonts w:ascii="Arial" w:hAnsi="Arial" w:cs="Arial"/>
          <w:sz w:val="28"/>
          <w:szCs w:val="28"/>
        </w:rPr>
        <w:t xml:space="preserve"> es decir, la negativa por parte de la autoridad demandada de expedir la licencia de uso de suelo de mérito, al cesar dichos efectos en sentido negativo</w:t>
      </w:r>
      <w:r>
        <w:rPr>
          <w:rFonts w:ascii="Arial" w:hAnsi="Arial" w:cs="Arial"/>
          <w:sz w:val="28"/>
          <w:szCs w:val="28"/>
        </w:rPr>
        <w:t xml:space="preserve"> </w:t>
      </w:r>
      <w:r w:rsidRPr="001906C7">
        <w:rPr>
          <w:rFonts w:ascii="Arial" w:hAnsi="Arial" w:cs="Arial"/>
          <w:sz w:val="28"/>
          <w:szCs w:val="28"/>
        </w:rPr>
        <w:t xml:space="preserve">por la expedición de la licencia de uso de suelo con número de folio </w:t>
      </w:r>
      <w:r w:rsidR="0050127A">
        <w:rPr>
          <w:rFonts w:ascii="Arial" w:hAnsi="Arial" w:cs="Arial"/>
          <w:color w:val="FF0000"/>
          <w:sz w:val="28"/>
          <w:szCs w:val="28"/>
        </w:rPr>
        <w:t>**********</w:t>
      </w:r>
      <w:r>
        <w:rPr>
          <w:rFonts w:ascii="Arial" w:hAnsi="Arial" w:cs="Arial"/>
          <w:sz w:val="28"/>
          <w:szCs w:val="28"/>
        </w:rPr>
        <w:t xml:space="preserve">, y, en consecuencia, </w:t>
      </w:r>
      <w:r w:rsidRPr="001906C7">
        <w:rPr>
          <w:rFonts w:ascii="Arial" w:hAnsi="Arial" w:cs="Arial"/>
          <w:sz w:val="28"/>
          <w:szCs w:val="28"/>
        </w:rPr>
        <w:t>el sobreseimiento del juicio, en términos de lo dispuesto en el artículo 229, fracción II</w:t>
      </w:r>
      <w:r w:rsidR="00937570">
        <w:rPr>
          <w:rFonts w:ascii="Arial" w:hAnsi="Arial" w:cs="Arial"/>
          <w:sz w:val="28"/>
          <w:szCs w:val="28"/>
        </w:rPr>
        <w:t>,</w:t>
      </w:r>
      <w:r w:rsidRPr="001906C7">
        <w:rPr>
          <w:rFonts w:ascii="Arial" w:hAnsi="Arial" w:cs="Arial"/>
          <w:sz w:val="28"/>
          <w:szCs w:val="28"/>
        </w:rPr>
        <w:t xml:space="preserve"> del mismo ordenamiento legal.</w:t>
      </w:r>
    </w:p>
    <w:p w14:paraId="04854379" w14:textId="77777777" w:rsidR="00177FB2" w:rsidRDefault="00177FB2" w:rsidP="00177FB2">
      <w:pPr>
        <w:pStyle w:val="Prrafodelista"/>
        <w:spacing w:after="0" w:line="360" w:lineRule="auto"/>
        <w:ind w:left="0" w:firstLine="851"/>
        <w:jc w:val="both"/>
        <w:rPr>
          <w:rFonts w:ascii="Arial" w:hAnsi="Arial" w:cs="Arial"/>
          <w:sz w:val="28"/>
          <w:szCs w:val="28"/>
        </w:rPr>
      </w:pPr>
    </w:p>
    <w:p w14:paraId="077A21A6" w14:textId="2298A6AC" w:rsidR="00177FB2" w:rsidRDefault="00177FB2" w:rsidP="00177FB2">
      <w:pPr>
        <w:pStyle w:val="Prrafodelista"/>
        <w:spacing w:after="0" w:line="360" w:lineRule="auto"/>
        <w:ind w:left="0" w:firstLine="851"/>
        <w:jc w:val="both"/>
        <w:rPr>
          <w:rFonts w:ascii="Arial" w:hAnsi="Arial" w:cs="Arial"/>
          <w:sz w:val="28"/>
          <w:szCs w:val="28"/>
        </w:rPr>
      </w:pPr>
      <w:r w:rsidRPr="009E64DD">
        <w:rPr>
          <w:rFonts w:ascii="Arial" w:hAnsi="Arial" w:cs="Arial"/>
          <w:sz w:val="28"/>
          <w:szCs w:val="28"/>
        </w:rPr>
        <w:t xml:space="preserve">Por otra parte, tampoco se advierte que con el sobreseimiento decretado por la Sala </w:t>
      </w:r>
      <w:r w:rsidRPr="009E64DD">
        <w:rPr>
          <w:rFonts w:ascii="Arial" w:hAnsi="Arial" w:cs="Arial"/>
          <w:i/>
          <w:sz w:val="28"/>
          <w:szCs w:val="28"/>
        </w:rPr>
        <w:t>A quo,</w:t>
      </w:r>
      <w:r w:rsidRPr="009E64DD">
        <w:rPr>
          <w:rFonts w:ascii="Arial" w:hAnsi="Arial" w:cs="Arial"/>
          <w:sz w:val="28"/>
          <w:szCs w:val="28"/>
        </w:rPr>
        <w:t xml:space="preserve"> respecto al Plan del Centro de Población Estratégico de Población San Luis Potosí - Soledad de Graciano Sánchez, se viole el principio de tutela judicial efectiva del impetrante</w:t>
      </w:r>
      <w:r>
        <w:rPr>
          <w:rFonts w:ascii="Arial" w:hAnsi="Arial" w:cs="Arial"/>
          <w:sz w:val="28"/>
          <w:szCs w:val="28"/>
        </w:rPr>
        <w:t xml:space="preserve"> y</w:t>
      </w:r>
      <w:r w:rsidR="00937570">
        <w:rPr>
          <w:rFonts w:ascii="Arial" w:hAnsi="Arial" w:cs="Arial"/>
          <w:sz w:val="28"/>
          <w:szCs w:val="28"/>
        </w:rPr>
        <w:t>,</w:t>
      </w:r>
      <w:r>
        <w:rPr>
          <w:rFonts w:ascii="Arial" w:hAnsi="Arial" w:cs="Arial"/>
          <w:sz w:val="28"/>
          <w:szCs w:val="28"/>
        </w:rPr>
        <w:t xml:space="preserve"> se le deje en estado de indefensión de no poder controvertir dicho acto, pues,</w:t>
      </w:r>
      <w:r w:rsidRPr="009E64DD">
        <w:rPr>
          <w:rFonts w:ascii="Arial" w:hAnsi="Arial" w:cs="Arial"/>
          <w:sz w:val="28"/>
          <w:szCs w:val="28"/>
        </w:rPr>
        <w:t xml:space="preserve"> al no existir un</w:t>
      </w:r>
      <w:r>
        <w:rPr>
          <w:rFonts w:ascii="Arial" w:hAnsi="Arial" w:cs="Arial"/>
          <w:sz w:val="28"/>
          <w:szCs w:val="28"/>
        </w:rPr>
        <w:t xml:space="preserve"> </w:t>
      </w:r>
      <w:r w:rsidRPr="009E64DD">
        <w:rPr>
          <w:rFonts w:ascii="Arial" w:hAnsi="Arial" w:cs="Arial"/>
          <w:sz w:val="28"/>
          <w:szCs w:val="28"/>
        </w:rPr>
        <w:t>pronunciamiento de fondo respecto de la d</w:t>
      </w:r>
      <w:r>
        <w:rPr>
          <w:rFonts w:ascii="Arial" w:hAnsi="Arial" w:cs="Arial"/>
          <w:sz w:val="28"/>
          <w:szCs w:val="28"/>
        </w:rPr>
        <w:t>isposición</w:t>
      </w:r>
      <w:r w:rsidRPr="009E64DD">
        <w:rPr>
          <w:rFonts w:ascii="Arial" w:hAnsi="Arial" w:cs="Arial"/>
          <w:sz w:val="28"/>
          <w:szCs w:val="28"/>
        </w:rPr>
        <w:t xml:space="preserve"> combatida, dado que se actualizó un tema de estudio preferente</w:t>
      </w:r>
      <w:r>
        <w:rPr>
          <w:rFonts w:ascii="Arial" w:hAnsi="Arial" w:cs="Arial"/>
          <w:sz w:val="28"/>
          <w:szCs w:val="28"/>
        </w:rPr>
        <w:t xml:space="preserve">, </w:t>
      </w:r>
      <w:r w:rsidRPr="009E64DD">
        <w:rPr>
          <w:rFonts w:ascii="Arial" w:hAnsi="Arial" w:cs="Arial"/>
          <w:sz w:val="28"/>
          <w:szCs w:val="28"/>
        </w:rPr>
        <w:t xml:space="preserve">no se </w:t>
      </w:r>
      <w:r w:rsidR="00937570">
        <w:rPr>
          <w:rFonts w:ascii="Arial" w:hAnsi="Arial" w:cs="Arial"/>
          <w:sz w:val="28"/>
          <w:szCs w:val="28"/>
        </w:rPr>
        <w:t>surte</w:t>
      </w:r>
      <w:r w:rsidRPr="009E64DD">
        <w:rPr>
          <w:rFonts w:ascii="Arial" w:hAnsi="Arial" w:cs="Arial"/>
          <w:sz w:val="28"/>
          <w:szCs w:val="28"/>
        </w:rPr>
        <w:t xml:space="preserve"> el principio de cosa</w:t>
      </w:r>
      <w:r>
        <w:rPr>
          <w:rFonts w:ascii="Arial" w:hAnsi="Arial" w:cs="Arial"/>
          <w:sz w:val="28"/>
          <w:szCs w:val="28"/>
        </w:rPr>
        <w:t xml:space="preserve"> </w:t>
      </w:r>
      <w:r w:rsidRPr="009E64DD">
        <w:rPr>
          <w:rFonts w:ascii="Arial" w:hAnsi="Arial" w:cs="Arial"/>
          <w:sz w:val="28"/>
          <w:szCs w:val="28"/>
        </w:rPr>
        <w:t xml:space="preserve">juzgada, lo que </w:t>
      </w:r>
      <w:r>
        <w:rPr>
          <w:rFonts w:ascii="Arial" w:hAnsi="Arial" w:cs="Arial"/>
          <w:sz w:val="28"/>
          <w:szCs w:val="28"/>
        </w:rPr>
        <w:t xml:space="preserve">le </w:t>
      </w:r>
      <w:r w:rsidRPr="009E64DD">
        <w:rPr>
          <w:rFonts w:ascii="Arial" w:hAnsi="Arial" w:cs="Arial"/>
          <w:sz w:val="28"/>
          <w:szCs w:val="28"/>
        </w:rPr>
        <w:t>permite volver a</w:t>
      </w:r>
      <w:r>
        <w:rPr>
          <w:rFonts w:ascii="Arial" w:hAnsi="Arial" w:cs="Arial"/>
          <w:sz w:val="28"/>
          <w:szCs w:val="28"/>
        </w:rPr>
        <w:t xml:space="preserve"> </w:t>
      </w:r>
      <w:r w:rsidRPr="009E64DD">
        <w:rPr>
          <w:rFonts w:ascii="Arial" w:hAnsi="Arial" w:cs="Arial"/>
          <w:sz w:val="28"/>
          <w:szCs w:val="28"/>
        </w:rPr>
        <w:t>impugnarla en un ulterior acto de aplicación, sin que</w:t>
      </w:r>
      <w:r>
        <w:rPr>
          <w:rFonts w:ascii="Arial" w:hAnsi="Arial" w:cs="Arial"/>
          <w:sz w:val="28"/>
          <w:szCs w:val="28"/>
        </w:rPr>
        <w:t xml:space="preserve"> </w:t>
      </w:r>
      <w:r w:rsidRPr="009E64DD">
        <w:rPr>
          <w:rFonts w:ascii="Arial" w:hAnsi="Arial" w:cs="Arial"/>
          <w:sz w:val="28"/>
          <w:szCs w:val="28"/>
        </w:rPr>
        <w:t xml:space="preserve">se entienda consentida la norma. </w:t>
      </w:r>
    </w:p>
    <w:p w14:paraId="7369829E" w14:textId="77777777" w:rsidR="00177FB2" w:rsidRDefault="00177FB2" w:rsidP="00177FB2">
      <w:pPr>
        <w:pStyle w:val="Prrafodelista"/>
        <w:spacing w:after="0" w:line="360" w:lineRule="auto"/>
        <w:ind w:left="0" w:firstLine="851"/>
        <w:jc w:val="both"/>
        <w:rPr>
          <w:rFonts w:ascii="Arial" w:hAnsi="Arial" w:cs="Arial"/>
          <w:sz w:val="28"/>
          <w:szCs w:val="28"/>
        </w:rPr>
      </w:pPr>
    </w:p>
    <w:p w14:paraId="31C4D2C6" w14:textId="77777777"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En ese sentido, es menester tener en cuenta el contenido del artículo 7°, fracción II, de la </w:t>
      </w:r>
      <w:r w:rsidRPr="009A2537">
        <w:rPr>
          <w:rFonts w:ascii="Arial" w:hAnsi="Arial" w:cs="Arial"/>
          <w:sz w:val="28"/>
          <w:szCs w:val="28"/>
        </w:rPr>
        <w:t>Ley Orgánica del Tribunal</w:t>
      </w:r>
      <w:r>
        <w:rPr>
          <w:rFonts w:ascii="Arial" w:hAnsi="Arial" w:cs="Arial"/>
          <w:sz w:val="28"/>
          <w:szCs w:val="28"/>
        </w:rPr>
        <w:t xml:space="preserve"> Estatal</w:t>
      </w:r>
      <w:r w:rsidRPr="009A2537">
        <w:rPr>
          <w:rFonts w:ascii="Arial" w:hAnsi="Arial" w:cs="Arial"/>
          <w:sz w:val="28"/>
          <w:szCs w:val="28"/>
        </w:rPr>
        <w:t xml:space="preserve"> de Justicia Administrativa</w:t>
      </w:r>
      <w:r>
        <w:rPr>
          <w:rFonts w:ascii="Arial" w:hAnsi="Arial" w:cs="Arial"/>
          <w:sz w:val="28"/>
          <w:szCs w:val="28"/>
        </w:rPr>
        <w:t xml:space="preserve"> de San Luis Potosí, veamos: </w:t>
      </w:r>
    </w:p>
    <w:p w14:paraId="66D6B4A5" w14:textId="77777777" w:rsidR="00177FB2" w:rsidRDefault="00177FB2" w:rsidP="00177FB2">
      <w:pPr>
        <w:pStyle w:val="Prrafodelista"/>
        <w:spacing w:after="0" w:line="360" w:lineRule="auto"/>
        <w:ind w:left="0" w:firstLine="851"/>
        <w:jc w:val="both"/>
        <w:rPr>
          <w:rFonts w:ascii="Arial" w:hAnsi="Arial" w:cs="Arial"/>
          <w:sz w:val="28"/>
          <w:szCs w:val="28"/>
        </w:rPr>
      </w:pPr>
    </w:p>
    <w:p w14:paraId="55DCF90E" w14:textId="77777777" w:rsidR="00177FB2" w:rsidRPr="009A74D8" w:rsidRDefault="00177FB2" w:rsidP="00177FB2">
      <w:pPr>
        <w:pStyle w:val="Prrafodelista"/>
        <w:spacing w:after="0" w:line="240" w:lineRule="auto"/>
        <w:ind w:left="567" w:right="618"/>
        <w:jc w:val="both"/>
        <w:rPr>
          <w:rFonts w:ascii="Arial Narrow" w:hAnsi="Arial Narrow" w:cs="Arial"/>
          <w:i/>
          <w:sz w:val="24"/>
          <w:szCs w:val="24"/>
        </w:rPr>
      </w:pPr>
      <w:r w:rsidRPr="009A74D8">
        <w:rPr>
          <w:rFonts w:ascii="Arial Narrow" w:hAnsi="Arial Narrow" w:cs="Arial"/>
          <w:b/>
          <w:i/>
          <w:sz w:val="24"/>
          <w:szCs w:val="24"/>
        </w:rPr>
        <w:t>“ARTÍCULO 7º.</w:t>
      </w:r>
      <w:r w:rsidRPr="009A74D8">
        <w:rPr>
          <w:rFonts w:ascii="Arial Narrow" w:hAnsi="Arial Narrow" w:cs="Arial"/>
          <w:i/>
          <w:sz w:val="24"/>
          <w:szCs w:val="24"/>
        </w:rPr>
        <w:t xml:space="preserve"> El Tribunal conocerá de los juicios que se promuevan contra las resoluciones definitivas, actos administrativos y procedimientos siguientes: […]</w:t>
      </w:r>
    </w:p>
    <w:p w14:paraId="194B6322" w14:textId="77777777" w:rsidR="00177FB2" w:rsidRPr="009A74D8" w:rsidRDefault="00177FB2" w:rsidP="00177FB2">
      <w:pPr>
        <w:pStyle w:val="Prrafodelista"/>
        <w:spacing w:after="0" w:line="240" w:lineRule="auto"/>
        <w:ind w:left="567" w:right="618"/>
        <w:jc w:val="both"/>
        <w:rPr>
          <w:rFonts w:ascii="Arial Narrow" w:hAnsi="Arial Narrow" w:cs="Arial"/>
          <w:i/>
          <w:sz w:val="24"/>
          <w:szCs w:val="24"/>
        </w:rPr>
      </w:pPr>
      <w:r w:rsidRPr="009A74D8">
        <w:rPr>
          <w:rFonts w:ascii="Arial Narrow" w:hAnsi="Arial Narrow" w:cs="Arial"/>
          <w:i/>
          <w:sz w:val="24"/>
          <w:szCs w:val="24"/>
        </w:rPr>
        <w:t>II. Los decretos y acuerdos estatales y municipales de carácter general, diversos a los reglamentos, cuando sean autoaplicativos o cuando el interesado los controvierta con motivo de su primer acto de aplicación; […]”</w:t>
      </w:r>
    </w:p>
    <w:p w14:paraId="7C26C90B" w14:textId="77777777" w:rsidR="00177FB2" w:rsidRDefault="00177FB2" w:rsidP="00177FB2">
      <w:pPr>
        <w:spacing w:after="0" w:line="360" w:lineRule="auto"/>
        <w:jc w:val="both"/>
        <w:rPr>
          <w:rFonts w:ascii="Arial" w:hAnsi="Arial" w:cs="Arial"/>
          <w:sz w:val="28"/>
          <w:szCs w:val="28"/>
        </w:rPr>
      </w:pPr>
    </w:p>
    <w:p w14:paraId="76FBA5F3" w14:textId="77777777" w:rsidR="00177FB2" w:rsidRDefault="00177FB2" w:rsidP="00177FB2">
      <w:pPr>
        <w:spacing w:after="0" w:line="360" w:lineRule="auto"/>
        <w:ind w:firstLine="851"/>
        <w:jc w:val="both"/>
        <w:rPr>
          <w:rFonts w:ascii="Arial" w:hAnsi="Arial" w:cs="Arial"/>
          <w:sz w:val="28"/>
          <w:szCs w:val="28"/>
        </w:rPr>
      </w:pPr>
      <w:r>
        <w:rPr>
          <w:rFonts w:ascii="Arial" w:hAnsi="Arial" w:cs="Arial"/>
          <w:sz w:val="28"/>
          <w:szCs w:val="28"/>
        </w:rPr>
        <w:t>El precepto</w:t>
      </w:r>
      <w:r w:rsidRPr="007666E6">
        <w:rPr>
          <w:rFonts w:ascii="Arial" w:hAnsi="Arial" w:cs="Arial"/>
          <w:sz w:val="28"/>
          <w:szCs w:val="28"/>
        </w:rPr>
        <w:t xml:space="preserve"> en consul</w:t>
      </w:r>
      <w:r>
        <w:rPr>
          <w:rFonts w:ascii="Arial" w:hAnsi="Arial" w:cs="Arial"/>
          <w:sz w:val="28"/>
          <w:szCs w:val="28"/>
        </w:rPr>
        <w:t>ta dispone</w:t>
      </w:r>
      <w:r w:rsidRPr="007666E6">
        <w:rPr>
          <w:rFonts w:ascii="Arial" w:hAnsi="Arial" w:cs="Arial"/>
          <w:sz w:val="28"/>
          <w:szCs w:val="28"/>
        </w:rPr>
        <w:t xml:space="preserve"> que el</w:t>
      </w:r>
      <w:r>
        <w:rPr>
          <w:rFonts w:ascii="Arial" w:hAnsi="Arial" w:cs="Arial"/>
          <w:sz w:val="28"/>
          <w:szCs w:val="28"/>
        </w:rPr>
        <w:t xml:space="preserve"> Tribunal conocerá </w:t>
      </w:r>
      <w:r w:rsidRPr="007666E6">
        <w:rPr>
          <w:rFonts w:ascii="Arial" w:hAnsi="Arial" w:cs="Arial"/>
          <w:sz w:val="28"/>
          <w:szCs w:val="28"/>
        </w:rPr>
        <w:t>de los juicios que se promuevan contra las resoluciones definitivas, actos a</w:t>
      </w:r>
      <w:r>
        <w:rPr>
          <w:rFonts w:ascii="Arial" w:hAnsi="Arial" w:cs="Arial"/>
          <w:sz w:val="28"/>
          <w:szCs w:val="28"/>
        </w:rPr>
        <w:t>dministrativos y procedimientos</w:t>
      </w:r>
      <w:r w:rsidRPr="007666E6">
        <w:rPr>
          <w:rFonts w:ascii="Arial" w:hAnsi="Arial" w:cs="Arial"/>
          <w:sz w:val="28"/>
          <w:szCs w:val="28"/>
        </w:rPr>
        <w:t>, entre otros, contra decretos o acuerdos</w:t>
      </w:r>
      <w:r>
        <w:rPr>
          <w:rFonts w:ascii="Arial" w:hAnsi="Arial" w:cs="Arial"/>
          <w:sz w:val="28"/>
          <w:szCs w:val="28"/>
        </w:rPr>
        <w:t xml:space="preserve"> </w:t>
      </w:r>
      <w:r w:rsidRPr="007666E6">
        <w:rPr>
          <w:rFonts w:ascii="Arial" w:hAnsi="Arial" w:cs="Arial"/>
          <w:sz w:val="28"/>
          <w:szCs w:val="28"/>
        </w:rPr>
        <w:t>de carácter general, diversos de los reglamentos.</w:t>
      </w:r>
      <w:r>
        <w:rPr>
          <w:rFonts w:ascii="Arial" w:hAnsi="Arial" w:cs="Arial"/>
          <w:sz w:val="28"/>
          <w:szCs w:val="28"/>
        </w:rPr>
        <w:t xml:space="preserve"> </w:t>
      </w:r>
      <w:r w:rsidRPr="007666E6">
        <w:rPr>
          <w:rFonts w:ascii="Arial" w:hAnsi="Arial" w:cs="Arial"/>
          <w:sz w:val="28"/>
          <w:szCs w:val="28"/>
        </w:rPr>
        <w:t>Asimismo, se podrán controvertir con motivo de su</w:t>
      </w:r>
      <w:r>
        <w:rPr>
          <w:rFonts w:ascii="Arial" w:hAnsi="Arial" w:cs="Arial"/>
          <w:sz w:val="28"/>
          <w:szCs w:val="28"/>
        </w:rPr>
        <w:t xml:space="preserve"> </w:t>
      </w:r>
      <w:r w:rsidRPr="007666E6">
        <w:rPr>
          <w:rFonts w:ascii="Arial" w:hAnsi="Arial" w:cs="Arial"/>
          <w:sz w:val="28"/>
          <w:szCs w:val="28"/>
        </w:rPr>
        <w:t>entrada en vigor, si tienen la naturaleza de ser</w:t>
      </w:r>
      <w:r>
        <w:rPr>
          <w:rFonts w:ascii="Arial" w:hAnsi="Arial" w:cs="Arial"/>
          <w:sz w:val="28"/>
          <w:szCs w:val="28"/>
        </w:rPr>
        <w:t xml:space="preserve"> </w:t>
      </w:r>
      <w:r w:rsidRPr="007666E6">
        <w:rPr>
          <w:rFonts w:ascii="Arial" w:hAnsi="Arial" w:cs="Arial"/>
          <w:sz w:val="28"/>
          <w:szCs w:val="28"/>
        </w:rPr>
        <w:t>autoaplicativos, o bien, con motivo del primer acto</w:t>
      </w:r>
      <w:r>
        <w:rPr>
          <w:rFonts w:ascii="Arial" w:hAnsi="Arial" w:cs="Arial"/>
          <w:sz w:val="28"/>
          <w:szCs w:val="28"/>
        </w:rPr>
        <w:t xml:space="preserve"> </w:t>
      </w:r>
      <w:r w:rsidRPr="007666E6">
        <w:rPr>
          <w:rFonts w:ascii="Arial" w:hAnsi="Arial" w:cs="Arial"/>
          <w:sz w:val="28"/>
          <w:szCs w:val="28"/>
        </w:rPr>
        <w:t>de aplicación.</w:t>
      </w:r>
    </w:p>
    <w:p w14:paraId="2F1A5E54" w14:textId="77777777" w:rsidR="00177FB2" w:rsidRDefault="00177FB2" w:rsidP="00177FB2">
      <w:pPr>
        <w:spacing w:after="0" w:line="360" w:lineRule="auto"/>
        <w:ind w:firstLine="851"/>
        <w:jc w:val="both"/>
        <w:rPr>
          <w:rFonts w:ascii="Arial" w:hAnsi="Arial" w:cs="Arial"/>
          <w:sz w:val="28"/>
          <w:szCs w:val="28"/>
        </w:rPr>
      </w:pPr>
    </w:p>
    <w:p w14:paraId="21A18A85" w14:textId="77777777" w:rsidR="00177FB2" w:rsidRDefault="00177FB2" w:rsidP="00177FB2">
      <w:pPr>
        <w:spacing w:after="0" w:line="360" w:lineRule="auto"/>
        <w:ind w:firstLine="851"/>
        <w:jc w:val="both"/>
        <w:rPr>
          <w:rFonts w:ascii="Arial" w:hAnsi="Arial" w:cs="Arial"/>
          <w:sz w:val="28"/>
          <w:szCs w:val="28"/>
        </w:rPr>
      </w:pPr>
      <w:r w:rsidRPr="007666E6">
        <w:rPr>
          <w:rFonts w:ascii="Arial" w:hAnsi="Arial" w:cs="Arial"/>
          <w:sz w:val="28"/>
          <w:szCs w:val="28"/>
        </w:rPr>
        <w:t>La finalidad de la norma de establecer estos</w:t>
      </w:r>
      <w:r>
        <w:rPr>
          <w:rFonts w:ascii="Arial" w:hAnsi="Arial" w:cs="Arial"/>
          <w:sz w:val="28"/>
          <w:szCs w:val="28"/>
        </w:rPr>
        <w:t xml:space="preserve"> </w:t>
      </w:r>
      <w:r w:rsidRPr="007666E6">
        <w:rPr>
          <w:rFonts w:ascii="Arial" w:hAnsi="Arial" w:cs="Arial"/>
          <w:sz w:val="28"/>
          <w:szCs w:val="28"/>
        </w:rPr>
        <w:t>presupuestos o reglas procesales para impugnar ese</w:t>
      </w:r>
      <w:r>
        <w:rPr>
          <w:rFonts w:ascii="Arial" w:hAnsi="Arial" w:cs="Arial"/>
          <w:sz w:val="28"/>
          <w:szCs w:val="28"/>
        </w:rPr>
        <w:t xml:space="preserve"> </w:t>
      </w:r>
      <w:r w:rsidRPr="007666E6">
        <w:rPr>
          <w:rFonts w:ascii="Arial" w:hAnsi="Arial" w:cs="Arial"/>
          <w:sz w:val="28"/>
          <w:szCs w:val="28"/>
        </w:rPr>
        <w:t>tipo de disposiciones de carácter general obedece,</w:t>
      </w:r>
      <w:r>
        <w:rPr>
          <w:rFonts w:ascii="Arial" w:hAnsi="Arial" w:cs="Arial"/>
          <w:sz w:val="28"/>
          <w:szCs w:val="28"/>
        </w:rPr>
        <w:t xml:space="preserve"> </w:t>
      </w:r>
      <w:r w:rsidRPr="007666E6">
        <w:rPr>
          <w:rFonts w:ascii="Arial" w:hAnsi="Arial" w:cs="Arial"/>
          <w:sz w:val="28"/>
          <w:szCs w:val="28"/>
        </w:rPr>
        <w:t>primero, a otorgar certeza jurídica a los particulares de</w:t>
      </w:r>
      <w:r>
        <w:rPr>
          <w:rFonts w:ascii="Arial" w:hAnsi="Arial" w:cs="Arial"/>
          <w:sz w:val="28"/>
          <w:szCs w:val="28"/>
        </w:rPr>
        <w:t xml:space="preserve"> </w:t>
      </w:r>
      <w:r w:rsidRPr="007666E6">
        <w:rPr>
          <w:rFonts w:ascii="Arial" w:hAnsi="Arial" w:cs="Arial"/>
          <w:sz w:val="28"/>
          <w:szCs w:val="28"/>
        </w:rPr>
        <w:t>conocer el momento en que se pueden combatir,</w:t>
      </w:r>
      <w:r>
        <w:rPr>
          <w:rFonts w:ascii="Arial" w:hAnsi="Arial" w:cs="Arial"/>
          <w:sz w:val="28"/>
          <w:szCs w:val="28"/>
        </w:rPr>
        <w:t xml:space="preserve"> </w:t>
      </w:r>
      <w:r w:rsidRPr="007666E6">
        <w:rPr>
          <w:rFonts w:ascii="Arial" w:hAnsi="Arial" w:cs="Arial"/>
          <w:sz w:val="28"/>
          <w:szCs w:val="28"/>
        </w:rPr>
        <w:t>segundo, a evitar que se emitan decisiones</w:t>
      </w:r>
      <w:r>
        <w:rPr>
          <w:rFonts w:ascii="Arial" w:hAnsi="Arial" w:cs="Arial"/>
          <w:sz w:val="28"/>
          <w:szCs w:val="28"/>
        </w:rPr>
        <w:t xml:space="preserve"> </w:t>
      </w:r>
      <w:r w:rsidRPr="007666E6">
        <w:rPr>
          <w:rFonts w:ascii="Arial" w:hAnsi="Arial" w:cs="Arial"/>
          <w:sz w:val="28"/>
          <w:szCs w:val="28"/>
        </w:rPr>
        <w:t xml:space="preserve">contradictorias y, tercero, que </w:t>
      </w:r>
      <w:r>
        <w:rPr>
          <w:rFonts w:ascii="Arial" w:hAnsi="Arial" w:cs="Arial"/>
          <w:sz w:val="28"/>
          <w:szCs w:val="28"/>
        </w:rPr>
        <w:t xml:space="preserve">no </w:t>
      </w:r>
      <w:r w:rsidRPr="007666E6">
        <w:rPr>
          <w:rFonts w:ascii="Arial" w:hAnsi="Arial" w:cs="Arial"/>
          <w:sz w:val="28"/>
          <w:szCs w:val="28"/>
        </w:rPr>
        <w:t>se transgreda el</w:t>
      </w:r>
      <w:r>
        <w:rPr>
          <w:rFonts w:ascii="Arial" w:hAnsi="Arial" w:cs="Arial"/>
          <w:sz w:val="28"/>
          <w:szCs w:val="28"/>
        </w:rPr>
        <w:t xml:space="preserve"> </w:t>
      </w:r>
      <w:r w:rsidRPr="007666E6">
        <w:rPr>
          <w:rFonts w:ascii="Arial" w:hAnsi="Arial" w:cs="Arial"/>
          <w:sz w:val="28"/>
          <w:szCs w:val="28"/>
        </w:rPr>
        <w:t>principio de la cosa juzgada</w:t>
      </w:r>
    </w:p>
    <w:p w14:paraId="4D4BC72A" w14:textId="77777777" w:rsidR="00177FB2" w:rsidRDefault="00177FB2" w:rsidP="00177FB2">
      <w:pPr>
        <w:spacing w:after="0" w:line="360" w:lineRule="auto"/>
        <w:ind w:firstLine="851"/>
        <w:jc w:val="both"/>
        <w:rPr>
          <w:rFonts w:ascii="Arial" w:hAnsi="Arial" w:cs="Arial"/>
          <w:sz w:val="28"/>
          <w:szCs w:val="28"/>
        </w:rPr>
      </w:pPr>
    </w:p>
    <w:p w14:paraId="6F246E99" w14:textId="75C8E2E8" w:rsidR="00177FB2" w:rsidRDefault="00937570" w:rsidP="00177FB2">
      <w:pPr>
        <w:spacing w:after="0" w:line="360" w:lineRule="auto"/>
        <w:ind w:firstLine="851"/>
        <w:jc w:val="both"/>
        <w:rPr>
          <w:rFonts w:ascii="Arial" w:hAnsi="Arial" w:cs="Arial"/>
          <w:sz w:val="28"/>
          <w:szCs w:val="28"/>
        </w:rPr>
      </w:pPr>
      <w:r>
        <w:rPr>
          <w:rFonts w:ascii="Arial" w:hAnsi="Arial" w:cs="Arial"/>
          <w:sz w:val="28"/>
          <w:szCs w:val="28"/>
        </w:rPr>
        <w:t>Tal</w:t>
      </w:r>
      <w:r w:rsidR="00177FB2" w:rsidRPr="009A2537">
        <w:rPr>
          <w:rFonts w:ascii="Arial" w:hAnsi="Arial" w:cs="Arial"/>
          <w:sz w:val="28"/>
          <w:szCs w:val="28"/>
        </w:rPr>
        <w:t xml:space="preserve"> impugnación </w:t>
      </w:r>
      <w:r w:rsidR="00177FB2">
        <w:rPr>
          <w:rFonts w:ascii="Arial" w:hAnsi="Arial" w:cs="Arial"/>
          <w:sz w:val="28"/>
          <w:szCs w:val="28"/>
        </w:rPr>
        <w:t>que prevé</w:t>
      </w:r>
      <w:r w:rsidR="00177FB2" w:rsidRPr="009A2537">
        <w:rPr>
          <w:rFonts w:ascii="Arial" w:hAnsi="Arial" w:cs="Arial"/>
          <w:sz w:val="28"/>
          <w:szCs w:val="28"/>
        </w:rPr>
        <w:t xml:space="preserve"> la Ley Orgánica Tribunal</w:t>
      </w:r>
      <w:r w:rsidR="00177FB2">
        <w:rPr>
          <w:rFonts w:ascii="Arial" w:hAnsi="Arial" w:cs="Arial"/>
          <w:sz w:val="28"/>
          <w:szCs w:val="28"/>
        </w:rPr>
        <w:t xml:space="preserve"> Estatal</w:t>
      </w:r>
      <w:r w:rsidR="00177FB2" w:rsidRPr="009A2537">
        <w:rPr>
          <w:rFonts w:ascii="Arial" w:hAnsi="Arial" w:cs="Arial"/>
          <w:sz w:val="28"/>
          <w:szCs w:val="28"/>
        </w:rPr>
        <w:t xml:space="preserve"> de Justicia Administrativa</w:t>
      </w:r>
      <w:r w:rsidR="00177FB2">
        <w:rPr>
          <w:rFonts w:ascii="Arial" w:hAnsi="Arial" w:cs="Arial"/>
          <w:sz w:val="28"/>
          <w:szCs w:val="28"/>
        </w:rPr>
        <w:t xml:space="preserve"> de San Luis Potosí,</w:t>
      </w:r>
      <w:r w:rsidR="00177FB2" w:rsidRPr="009A2537">
        <w:rPr>
          <w:rFonts w:ascii="Arial" w:hAnsi="Arial" w:cs="Arial"/>
          <w:sz w:val="28"/>
          <w:szCs w:val="28"/>
        </w:rPr>
        <w:t xml:space="preserve"> guarda</w:t>
      </w:r>
      <w:r w:rsidR="00177FB2">
        <w:rPr>
          <w:rFonts w:ascii="Arial" w:hAnsi="Arial" w:cs="Arial"/>
          <w:sz w:val="28"/>
          <w:szCs w:val="28"/>
        </w:rPr>
        <w:t xml:space="preserve"> </w:t>
      </w:r>
      <w:r w:rsidR="00177FB2" w:rsidRPr="009A2537">
        <w:rPr>
          <w:rFonts w:ascii="Arial" w:hAnsi="Arial" w:cs="Arial"/>
          <w:sz w:val="28"/>
          <w:szCs w:val="28"/>
        </w:rPr>
        <w:t>cierta similitud con las reglas del juicio de amparo</w:t>
      </w:r>
      <w:r w:rsidR="00177FB2">
        <w:rPr>
          <w:rFonts w:ascii="Arial" w:hAnsi="Arial" w:cs="Arial"/>
          <w:sz w:val="28"/>
          <w:szCs w:val="28"/>
        </w:rPr>
        <w:t xml:space="preserve"> </w:t>
      </w:r>
      <w:r w:rsidR="00177FB2" w:rsidRPr="00F17280">
        <w:rPr>
          <w:rFonts w:ascii="Arial" w:hAnsi="Arial" w:cs="Arial"/>
          <w:sz w:val="28"/>
          <w:szCs w:val="28"/>
        </w:rPr>
        <w:t>indirecto, relativas a que las disposiciones se pueden</w:t>
      </w:r>
      <w:r w:rsidR="00177FB2">
        <w:rPr>
          <w:rFonts w:ascii="Arial" w:hAnsi="Arial" w:cs="Arial"/>
          <w:sz w:val="28"/>
          <w:szCs w:val="28"/>
        </w:rPr>
        <w:t xml:space="preserve"> </w:t>
      </w:r>
      <w:r w:rsidR="00177FB2" w:rsidRPr="009A2537">
        <w:rPr>
          <w:rFonts w:ascii="Arial" w:hAnsi="Arial" w:cs="Arial"/>
          <w:sz w:val="28"/>
          <w:szCs w:val="28"/>
        </w:rPr>
        <w:t>controvertir en dos momentos específicos para que no</w:t>
      </w:r>
      <w:r w:rsidR="00177FB2">
        <w:rPr>
          <w:rFonts w:ascii="Arial" w:hAnsi="Arial" w:cs="Arial"/>
          <w:sz w:val="28"/>
          <w:szCs w:val="28"/>
        </w:rPr>
        <w:t xml:space="preserve"> </w:t>
      </w:r>
      <w:r w:rsidR="00177FB2" w:rsidRPr="009A2537">
        <w:rPr>
          <w:rFonts w:ascii="Arial" w:hAnsi="Arial" w:cs="Arial"/>
          <w:sz w:val="28"/>
          <w:szCs w:val="28"/>
        </w:rPr>
        <w:t>se consideren consentidas. En razón de su entrada en</w:t>
      </w:r>
      <w:r w:rsidR="00177FB2">
        <w:rPr>
          <w:rFonts w:ascii="Arial" w:hAnsi="Arial" w:cs="Arial"/>
          <w:sz w:val="28"/>
          <w:szCs w:val="28"/>
        </w:rPr>
        <w:t xml:space="preserve"> </w:t>
      </w:r>
      <w:r w:rsidR="00177FB2" w:rsidRPr="009A2537">
        <w:rPr>
          <w:rFonts w:ascii="Arial" w:hAnsi="Arial" w:cs="Arial"/>
          <w:sz w:val="28"/>
          <w:szCs w:val="28"/>
        </w:rPr>
        <w:t>vigor, si es una norma autoaplicativa, o bien, con</w:t>
      </w:r>
      <w:r w:rsidR="00177FB2">
        <w:rPr>
          <w:rFonts w:ascii="Arial" w:hAnsi="Arial" w:cs="Arial"/>
          <w:sz w:val="28"/>
          <w:szCs w:val="28"/>
        </w:rPr>
        <w:t xml:space="preserve"> </w:t>
      </w:r>
      <w:r w:rsidR="00177FB2" w:rsidRPr="009A2537">
        <w:rPr>
          <w:rFonts w:ascii="Arial" w:hAnsi="Arial" w:cs="Arial"/>
          <w:sz w:val="28"/>
          <w:szCs w:val="28"/>
        </w:rPr>
        <w:t>motivo del primer acto concreto de aplicación.</w:t>
      </w:r>
      <w:r w:rsidR="00177FB2">
        <w:rPr>
          <w:rFonts w:ascii="Arial" w:hAnsi="Arial" w:cs="Arial"/>
          <w:sz w:val="28"/>
          <w:szCs w:val="28"/>
        </w:rPr>
        <w:t xml:space="preserve"> </w:t>
      </w:r>
    </w:p>
    <w:p w14:paraId="63B3C357" w14:textId="77777777" w:rsidR="00177FB2" w:rsidRDefault="00177FB2" w:rsidP="00177FB2">
      <w:pPr>
        <w:spacing w:after="0" w:line="360" w:lineRule="auto"/>
        <w:ind w:firstLine="851"/>
        <w:jc w:val="both"/>
        <w:rPr>
          <w:rFonts w:ascii="Arial" w:hAnsi="Arial" w:cs="Arial"/>
          <w:sz w:val="28"/>
          <w:szCs w:val="28"/>
        </w:rPr>
      </w:pPr>
    </w:p>
    <w:p w14:paraId="0259BFD8" w14:textId="3D3F5020" w:rsidR="00177FB2" w:rsidRDefault="00177FB2" w:rsidP="00177FB2">
      <w:pPr>
        <w:spacing w:after="0" w:line="360" w:lineRule="auto"/>
        <w:ind w:firstLine="851"/>
        <w:jc w:val="both"/>
        <w:rPr>
          <w:rFonts w:ascii="Arial" w:hAnsi="Arial" w:cs="Arial"/>
          <w:sz w:val="28"/>
          <w:szCs w:val="28"/>
        </w:rPr>
      </w:pPr>
      <w:r w:rsidRPr="009A2537">
        <w:rPr>
          <w:rFonts w:ascii="Arial" w:hAnsi="Arial" w:cs="Arial"/>
          <w:sz w:val="28"/>
          <w:szCs w:val="28"/>
        </w:rPr>
        <w:t>Esta última parte guarda congruencia, en la</w:t>
      </w:r>
      <w:r>
        <w:rPr>
          <w:rFonts w:ascii="Arial" w:hAnsi="Arial" w:cs="Arial"/>
          <w:sz w:val="28"/>
          <w:szCs w:val="28"/>
        </w:rPr>
        <w:t xml:space="preserve"> </w:t>
      </w:r>
      <w:r w:rsidRPr="009A2537">
        <w:rPr>
          <w:rFonts w:ascii="Arial" w:hAnsi="Arial" w:cs="Arial"/>
          <w:sz w:val="28"/>
          <w:szCs w:val="28"/>
        </w:rPr>
        <w:t>medida de que si se impugna una disposición de</w:t>
      </w:r>
      <w:r>
        <w:rPr>
          <w:rFonts w:ascii="Arial" w:hAnsi="Arial" w:cs="Arial"/>
          <w:sz w:val="28"/>
          <w:szCs w:val="28"/>
        </w:rPr>
        <w:t xml:space="preserve"> </w:t>
      </w:r>
      <w:r w:rsidRPr="009A2537">
        <w:rPr>
          <w:rFonts w:ascii="Arial" w:hAnsi="Arial" w:cs="Arial"/>
          <w:sz w:val="28"/>
          <w:szCs w:val="28"/>
        </w:rPr>
        <w:t>carácter general, tanto en la instancia constitucional</w:t>
      </w:r>
      <w:r>
        <w:rPr>
          <w:rFonts w:ascii="Arial" w:hAnsi="Arial" w:cs="Arial"/>
          <w:sz w:val="28"/>
          <w:szCs w:val="28"/>
        </w:rPr>
        <w:t xml:space="preserve"> </w:t>
      </w:r>
      <w:r w:rsidRPr="009A2537">
        <w:rPr>
          <w:rFonts w:ascii="Arial" w:hAnsi="Arial" w:cs="Arial"/>
          <w:sz w:val="28"/>
          <w:szCs w:val="28"/>
        </w:rPr>
        <w:t>en la vía indirecta como en el juicio de nulidad, sí se</w:t>
      </w:r>
      <w:r>
        <w:rPr>
          <w:rFonts w:ascii="Arial" w:hAnsi="Arial" w:cs="Arial"/>
          <w:sz w:val="28"/>
          <w:szCs w:val="28"/>
        </w:rPr>
        <w:t xml:space="preserve"> </w:t>
      </w:r>
      <w:r w:rsidRPr="009A2537">
        <w:rPr>
          <w:rFonts w:ascii="Arial" w:hAnsi="Arial" w:cs="Arial"/>
          <w:sz w:val="28"/>
          <w:szCs w:val="28"/>
        </w:rPr>
        <w:t>examina como acto reclamado destacado y se llama</w:t>
      </w:r>
      <w:r>
        <w:rPr>
          <w:rFonts w:ascii="Arial" w:hAnsi="Arial" w:cs="Arial"/>
          <w:sz w:val="28"/>
          <w:szCs w:val="28"/>
        </w:rPr>
        <w:t xml:space="preserve"> </w:t>
      </w:r>
      <w:r w:rsidRPr="009A2537">
        <w:rPr>
          <w:rFonts w:ascii="Arial" w:hAnsi="Arial" w:cs="Arial"/>
          <w:sz w:val="28"/>
          <w:szCs w:val="28"/>
        </w:rPr>
        <w:t>al procedimiento a la autoridad que participó en su</w:t>
      </w:r>
      <w:r>
        <w:rPr>
          <w:rFonts w:ascii="Arial" w:hAnsi="Arial" w:cs="Arial"/>
          <w:sz w:val="28"/>
          <w:szCs w:val="28"/>
        </w:rPr>
        <w:t xml:space="preserve"> </w:t>
      </w:r>
      <w:r w:rsidRPr="009A2537">
        <w:rPr>
          <w:rFonts w:ascii="Arial" w:hAnsi="Arial" w:cs="Arial"/>
          <w:sz w:val="28"/>
          <w:szCs w:val="28"/>
        </w:rPr>
        <w:t>emisión; de ahí que</w:t>
      </w:r>
      <w:r w:rsidR="00937570">
        <w:rPr>
          <w:rFonts w:ascii="Arial" w:hAnsi="Arial" w:cs="Arial"/>
          <w:sz w:val="28"/>
          <w:szCs w:val="28"/>
        </w:rPr>
        <w:t>, se justifica</w:t>
      </w:r>
      <w:r w:rsidRPr="009A2537">
        <w:rPr>
          <w:rFonts w:ascii="Arial" w:hAnsi="Arial" w:cs="Arial"/>
          <w:sz w:val="28"/>
          <w:szCs w:val="28"/>
        </w:rPr>
        <w:t xml:space="preserve"> su procedencia una</w:t>
      </w:r>
      <w:r>
        <w:rPr>
          <w:rFonts w:ascii="Arial" w:hAnsi="Arial" w:cs="Arial"/>
          <w:sz w:val="28"/>
          <w:szCs w:val="28"/>
        </w:rPr>
        <w:t xml:space="preserve"> </w:t>
      </w:r>
      <w:r w:rsidRPr="009A2537">
        <w:rPr>
          <w:rFonts w:ascii="Arial" w:hAnsi="Arial" w:cs="Arial"/>
          <w:sz w:val="28"/>
          <w:szCs w:val="28"/>
        </w:rPr>
        <w:t>vez que entró en vigor o con motivo del primer acto</w:t>
      </w:r>
      <w:r>
        <w:rPr>
          <w:rFonts w:ascii="Arial" w:hAnsi="Arial" w:cs="Arial"/>
          <w:sz w:val="28"/>
          <w:szCs w:val="28"/>
        </w:rPr>
        <w:t xml:space="preserve"> </w:t>
      </w:r>
      <w:r w:rsidRPr="009A2537">
        <w:rPr>
          <w:rFonts w:ascii="Arial" w:hAnsi="Arial" w:cs="Arial"/>
          <w:sz w:val="28"/>
          <w:szCs w:val="28"/>
        </w:rPr>
        <w:t>concreto de aplicación, pues una vez resuelta su</w:t>
      </w:r>
      <w:r>
        <w:rPr>
          <w:rFonts w:ascii="Arial" w:hAnsi="Arial" w:cs="Arial"/>
          <w:sz w:val="28"/>
          <w:szCs w:val="28"/>
        </w:rPr>
        <w:t xml:space="preserve"> </w:t>
      </w:r>
      <w:r w:rsidRPr="009A2537">
        <w:rPr>
          <w:rFonts w:ascii="Arial" w:hAnsi="Arial" w:cs="Arial"/>
          <w:sz w:val="28"/>
          <w:szCs w:val="28"/>
        </w:rPr>
        <w:t xml:space="preserve">legalidad o </w:t>
      </w:r>
      <w:r w:rsidRPr="009A2537">
        <w:rPr>
          <w:rFonts w:ascii="Arial" w:hAnsi="Arial" w:cs="Arial"/>
          <w:sz w:val="28"/>
          <w:szCs w:val="28"/>
        </w:rPr>
        <w:lastRenderedPageBreak/>
        <w:t>constitucionalidad, tal decisión adquiere el</w:t>
      </w:r>
      <w:r>
        <w:rPr>
          <w:rFonts w:ascii="Arial" w:hAnsi="Arial" w:cs="Arial"/>
          <w:sz w:val="28"/>
          <w:szCs w:val="28"/>
        </w:rPr>
        <w:t xml:space="preserve"> </w:t>
      </w:r>
      <w:r w:rsidRPr="009A2537">
        <w:rPr>
          <w:rFonts w:ascii="Arial" w:hAnsi="Arial" w:cs="Arial"/>
          <w:sz w:val="28"/>
          <w:szCs w:val="28"/>
        </w:rPr>
        <w:t>carácter de cosa juzgada y, en caso de que no se</w:t>
      </w:r>
      <w:r>
        <w:rPr>
          <w:rFonts w:ascii="Arial" w:hAnsi="Arial" w:cs="Arial"/>
          <w:sz w:val="28"/>
          <w:szCs w:val="28"/>
        </w:rPr>
        <w:t xml:space="preserve"> reclame, se entiende consentida.</w:t>
      </w:r>
    </w:p>
    <w:p w14:paraId="48216FC6" w14:textId="77777777" w:rsidR="00177FB2" w:rsidRDefault="00177FB2" w:rsidP="00177FB2">
      <w:pPr>
        <w:spacing w:after="0" w:line="360" w:lineRule="auto"/>
        <w:ind w:firstLine="851"/>
        <w:jc w:val="both"/>
        <w:rPr>
          <w:rFonts w:ascii="Arial" w:hAnsi="Arial" w:cs="Arial"/>
          <w:sz w:val="28"/>
          <w:szCs w:val="28"/>
        </w:rPr>
      </w:pPr>
    </w:p>
    <w:p w14:paraId="45C9E283" w14:textId="77777777" w:rsidR="00177FB2" w:rsidRDefault="00177FB2" w:rsidP="00177FB2">
      <w:pPr>
        <w:spacing w:after="0" w:line="360" w:lineRule="auto"/>
        <w:ind w:firstLine="851"/>
        <w:jc w:val="both"/>
        <w:rPr>
          <w:rFonts w:ascii="Arial" w:hAnsi="Arial" w:cs="Arial"/>
          <w:sz w:val="28"/>
          <w:szCs w:val="28"/>
        </w:rPr>
      </w:pPr>
      <w:r>
        <w:rPr>
          <w:rFonts w:ascii="Arial" w:hAnsi="Arial" w:cs="Arial"/>
          <w:sz w:val="28"/>
          <w:szCs w:val="28"/>
        </w:rPr>
        <w:t>En ese sentido</w:t>
      </w:r>
      <w:r w:rsidRPr="00F17280">
        <w:rPr>
          <w:rFonts w:ascii="Arial" w:hAnsi="Arial" w:cs="Arial"/>
          <w:sz w:val="28"/>
          <w:szCs w:val="28"/>
        </w:rPr>
        <w:t>, se puede dar el caso en que el</w:t>
      </w:r>
      <w:r>
        <w:rPr>
          <w:rFonts w:ascii="Arial" w:hAnsi="Arial" w:cs="Arial"/>
          <w:sz w:val="28"/>
          <w:szCs w:val="28"/>
        </w:rPr>
        <w:t xml:space="preserve"> </w:t>
      </w:r>
      <w:r w:rsidRPr="00F17280">
        <w:rPr>
          <w:rFonts w:ascii="Arial" w:hAnsi="Arial" w:cs="Arial"/>
          <w:sz w:val="28"/>
          <w:szCs w:val="28"/>
        </w:rPr>
        <w:t>particular impugne una norma general con motivo del</w:t>
      </w:r>
      <w:r>
        <w:rPr>
          <w:rFonts w:ascii="Arial" w:hAnsi="Arial" w:cs="Arial"/>
          <w:sz w:val="28"/>
          <w:szCs w:val="28"/>
        </w:rPr>
        <w:t xml:space="preserve"> </w:t>
      </w:r>
      <w:r w:rsidRPr="00F17280">
        <w:rPr>
          <w:rFonts w:ascii="Arial" w:hAnsi="Arial" w:cs="Arial"/>
          <w:sz w:val="28"/>
          <w:szCs w:val="28"/>
        </w:rPr>
        <w:t>primer acto de aplicación, pero el órgano jurisdiccional</w:t>
      </w:r>
      <w:r>
        <w:rPr>
          <w:rFonts w:ascii="Arial" w:hAnsi="Arial" w:cs="Arial"/>
          <w:sz w:val="28"/>
          <w:szCs w:val="28"/>
        </w:rPr>
        <w:t xml:space="preserve"> </w:t>
      </w:r>
      <w:r w:rsidRPr="00F17280">
        <w:rPr>
          <w:rFonts w:ascii="Arial" w:hAnsi="Arial" w:cs="Arial"/>
          <w:sz w:val="28"/>
          <w:szCs w:val="28"/>
        </w:rPr>
        <w:t xml:space="preserve">que conoce del asunto, </w:t>
      </w:r>
      <w:r w:rsidRPr="009E64DD">
        <w:rPr>
          <w:rFonts w:ascii="Arial" w:hAnsi="Arial" w:cs="Arial"/>
          <w:sz w:val="28"/>
          <w:szCs w:val="28"/>
        </w:rPr>
        <w:t>dado que se actualizó un tema de estudio preferente</w:t>
      </w:r>
      <w:r>
        <w:rPr>
          <w:rFonts w:ascii="Arial" w:hAnsi="Arial" w:cs="Arial"/>
          <w:sz w:val="28"/>
          <w:szCs w:val="28"/>
        </w:rPr>
        <w:t xml:space="preserve">, no se pronuncie </w:t>
      </w:r>
      <w:r w:rsidRPr="00F17280">
        <w:rPr>
          <w:rFonts w:ascii="Arial" w:hAnsi="Arial" w:cs="Arial"/>
          <w:sz w:val="28"/>
          <w:szCs w:val="28"/>
        </w:rPr>
        <w:t>sobre la legalidad</w:t>
      </w:r>
      <w:r>
        <w:rPr>
          <w:rFonts w:ascii="Arial" w:hAnsi="Arial" w:cs="Arial"/>
          <w:sz w:val="28"/>
          <w:szCs w:val="28"/>
        </w:rPr>
        <w:t xml:space="preserve"> de la disposición general que </w:t>
      </w:r>
      <w:r w:rsidRPr="00F17280">
        <w:rPr>
          <w:rFonts w:ascii="Arial" w:hAnsi="Arial" w:cs="Arial"/>
          <w:sz w:val="28"/>
          <w:szCs w:val="28"/>
        </w:rPr>
        <w:t>dio</w:t>
      </w:r>
      <w:r>
        <w:rPr>
          <w:rFonts w:ascii="Arial" w:hAnsi="Arial" w:cs="Arial"/>
          <w:sz w:val="28"/>
          <w:szCs w:val="28"/>
        </w:rPr>
        <w:t xml:space="preserve"> </w:t>
      </w:r>
      <w:r w:rsidRPr="00F17280">
        <w:rPr>
          <w:rFonts w:ascii="Arial" w:hAnsi="Arial" w:cs="Arial"/>
          <w:sz w:val="28"/>
          <w:szCs w:val="28"/>
        </w:rPr>
        <w:t xml:space="preserve">origen </w:t>
      </w:r>
      <w:r>
        <w:rPr>
          <w:rFonts w:ascii="Arial" w:hAnsi="Arial" w:cs="Arial"/>
          <w:sz w:val="28"/>
          <w:szCs w:val="28"/>
        </w:rPr>
        <w:t xml:space="preserve">al acto o que constituye su fundamento, por lo que, </w:t>
      </w:r>
      <w:r w:rsidRPr="00F17280">
        <w:rPr>
          <w:rFonts w:ascii="Arial" w:hAnsi="Arial" w:cs="Arial"/>
          <w:sz w:val="28"/>
          <w:szCs w:val="28"/>
        </w:rPr>
        <w:t>al no existir un</w:t>
      </w:r>
      <w:r>
        <w:rPr>
          <w:rFonts w:ascii="Arial" w:hAnsi="Arial" w:cs="Arial"/>
          <w:sz w:val="28"/>
          <w:szCs w:val="28"/>
        </w:rPr>
        <w:t xml:space="preserve"> </w:t>
      </w:r>
      <w:r w:rsidRPr="00F17280">
        <w:rPr>
          <w:rFonts w:ascii="Arial" w:hAnsi="Arial" w:cs="Arial"/>
          <w:sz w:val="28"/>
          <w:szCs w:val="28"/>
        </w:rPr>
        <w:t>pronunciamiento de fondo respecto de la norma</w:t>
      </w:r>
      <w:r>
        <w:rPr>
          <w:rFonts w:ascii="Arial" w:hAnsi="Arial" w:cs="Arial"/>
          <w:sz w:val="28"/>
          <w:szCs w:val="28"/>
        </w:rPr>
        <w:t xml:space="preserve"> </w:t>
      </w:r>
      <w:r w:rsidRPr="00F17280">
        <w:rPr>
          <w:rFonts w:ascii="Arial" w:hAnsi="Arial" w:cs="Arial"/>
          <w:sz w:val="28"/>
          <w:szCs w:val="28"/>
        </w:rPr>
        <w:t>general combatida, no se actualiza el principio de cosa</w:t>
      </w:r>
      <w:r>
        <w:rPr>
          <w:rFonts w:ascii="Arial" w:hAnsi="Arial" w:cs="Arial"/>
          <w:sz w:val="28"/>
          <w:szCs w:val="28"/>
        </w:rPr>
        <w:t xml:space="preserve"> </w:t>
      </w:r>
      <w:r w:rsidRPr="00F17280">
        <w:rPr>
          <w:rFonts w:ascii="Arial" w:hAnsi="Arial" w:cs="Arial"/>
          <w:sz w:val="28"/>
          <w:szCs w:val="28"/>
        </w:rPr>
        <w:t>juzgada, lo que permite al gobernado volver a</w:t>
      </w:r>
      <w:r>
        <w:rPr>
          <w:rFonts w:ascii="Arial" w:hAnsi="Arial" w:cs="Arial"/>
          <w:sz w:val="28"/>
          <w:szCs w:val="28"/>
        </w:rPr>
        <w:t xml:space="preserve"> </w:t>
      </w:r>
      <w:r w:rsidRPr="00F17280">
        <w:rPr>
          <w:rFonts w:ascii="Arial" w:hAnsi="Arial" w:cs="Arial"/>
          <w:sz w:val="28"/>
          <w:szCs w:val="28"/>
        </w:rPr>
        <w:t>impugnarla en un ulterior acto de aplicación, sin que</w:t>
      </w:r>
      <w:r>
        <w:rPr>
          <w:rFonts w:ascii="Arial" w:hAnsi="Arial" w:cs="Arial"/>
          <w:sz w:val="28"/>
          <w:szCs w:val="28"/>
        </w:rPr>
        <w:t xml:space="preserve"> </w:t>
      </w:r>
      <w:r w:rsidRPr="00F17280">
        <w:rPr>
          <w:rFonts w:ascii="Arial" w:hAnsi="Arial" w:cs="Arial"/>
          <w:sz w:val="28"/>
          <w:szCs w:val="28"/>
        </w:rPr>
        <w:t xml:space="preserve">se entienda consentida la norma. </w:t>
      </w:r>
    </w:p>
    <w:p w14:paraId="6D03956D" w14:textId="77777777" w:rsidR="00177FB2" w:rsidRDefault="00177FB2" w:rsidP="00177FB2">
      <w:pPr>
        <w:spacing w:after="0" w:line="360" w:lineRule="auto"/>
        <w:ind w:firstLine="851"/>
        <w:jc w:val="both"/>
        <w:rPr>
          <w:rFonts w:ascii="Arial" w:hAnsi="Arial" w:cs="Arial"/>
          <w:sz w:val="28"/>
          <w:szCs w:val="28"/>
        </w:rPr>
      </w:pPr>
    </w:p>
    <w:p w14:paraId="3D886EA2" w14:textId="77777777" w:rsidR="00177FB2" w:rsidRDefault="00177FB2" w:rsidP="00177FB2">
      <w:pPr>
        <w:spacing w:after="0" w:line="360" w:lineRule="auto"/>
        <w:ind w:firstLine="851"/>
        <w:jc w:val="both"/>
        <w:rPr>
          <w:rFonts w:ascii="Arial" w:hAnsi="Arial" w:cs="Arial"/>
          <w:sz w:val="28"/>
          <w:szCs w:val="28"/>
        </w:rPr>
      </w:pPr>
      <w:r w:rsidRPr="00FD6CA4">
        <w:rPr>
          <w:rFonts w:ascii="Arial" w:hAnsi="Arial" w:cs="Arial"/>
          <w:sz w:val="28"/>
          <w:szCs w:val="28"/>
        </w:rPr>
        <w:t>En relación con el tema analizado, sirve</w:t>
      </w:r>
      <w:r>
        <w:rPr>
          <w:rFonts w:ascii="Arial" w:hAnsi="Arial" w:cs="Arial"/>
          <w:sz w:val="28"/>
          <w:szCs w:val="28"/>
        </w:rPr>
        <w:t>n</w:t>
      </w:r>
      <w:r w:rsidRPr="00FD6CA4">
        <w:rPr>
          <w:rFonts w:ascii="Arial" w:hAnsi="Arial" w:cs="Arial"/>
          <w:sz w:val="28"/>
          <w:szCs w:val="28"/>
        </w:rPr>
        <w:t xml:space="preserve"> de apoyo, la</w:t>
      </w:r>
      <w:r>
        <w:rPr>
          <w:rFonts w:ascii="Arial" w:hAnsi="Arial" w:cs="Arial"/>
          <w:sz w:val="28"/>
          <w:szCs w:val="28"/>
        </w:rPr>
        <w:t>s</w:t>
      </w:r>
      <w:r w:rsidRPr="00FD6CA4">
        <w:rPr>
          <w:rFonts w:ascii="Arial" w:hAnsi="Arial" w:cs="Arial"/>
          <w:sz w:val="28"/>
          <w:szCs w:val="28"/>
        </w:rPr>
        <w:t xml:space="preserve"> tesis 1a.</w:t>
      </w:r>
      <w:r>
        <w:rPr>
          <w:rFonts w:ascii="Arial" w:hAnsi="Arial" w:cs="Arial"/>
          <w:sz w:val="28"/>
          <w:szCs w:val="28"/>
        </w:rPr>
        <w:t xml:space="preserve"> </w:t>
      </w:r>
      <w:r w:rsidRPr="00FD6CA4">
        <w:rPr>
          <w:rFonts w:ascii="Arial" w:hAnsi="Arial" w:cs="Arial"/>
          <w:sz w:val="28"/>
          <w:szCs w:val="28"/>
        </w:rPr>
        <w:t>XVI/2005</w:t>
      </w:r>
      <w:r>
        <w:rPr>
          <w:rFonts w:ascii="Arial" w:hAnsi="Arial" w:cs="Arial"/>
          <w:sz w:val="28"/>
          <w:szCs w:val="28"/>
        </w:rPr>
        <w:t xml:space="preserve"> y</w:t>
      </w:r>
      <w:r w:rsidRPr="00FD6CA4">
        <w:rPr>
          <w:rFonts w:ascii="Arial" w:hAnsi="Arial" w:cs="Arial"/>
          <w:sz w:val="28"/>
          <w:szCs w:val="28"/>
        </w:rPr>
        <w:t xml:space="preserve"> 2a. XLII/95</w:t>
      </w:r>
      <w:r>
        <w:rPr>
          <w:rFonts w:ascii="Arial" w:hAnsi="Arial" w:cs="Arial"/>
          <w:sz w:val="28"/>
          <w:szCs w:val="28"/>
        </w:rPr>
        <w:t xml:space="preserve">, </w:t>
      </w:r>
      <w:r w:rsidRPr="00FD6CA4">
        <w:rPr>
          <w:rFonts w:ascii="Arial" w:hAnsi="Arial" w:cs="Arial"/>
          <w:sz w:val="28"/>
          <w:szCs w:val="28"/>
        </w:rPr>
        <w:t xml:space="preserve">de la Primera </w:t>
      </w:r>
      <w:r>
        <w:rPr>
          <w:rFonts w:ascii="Arial" w:hAnsi="Arial" w:cs="Arial"/>
          <w:sz w:val="28"/>
          <w:szCs w:val="28"/>
        </w:rPr>
        <w:t xml:space="preserve">y Segunda </w:t>
      </w:r>
      <w:r w:rsidRPr="00FD6CA4">
        <w:rPr>
          <w:rFonts w:ascii="Arial" w:hAnsi="Arial" w:cs="Arial"/>
          <w:sz w:val="28"/>
          <w:szCs w:val="28"/>
        </w:rPr>
        <w:t>Sala de la Suprema Corte de</w:t>
      </w:r>
      <w:r>
        <w:rPr>
          <w:rFonts w:ascii="Arial" w:hAnsi="Arial" w:cs="Arial"/>
          <w:sz w:val="28"/>
          <w:szCs w:val="28"/>
        </w:rPr>
        <w:t xml:space="preserve"> </w:t>
      </w:r>
      <w:r w:rsidRPr="00FD6CA4">
        <w:rPr>
          <w:rFonts w:ascii="Arial" w:hAnsi="Arial" w:cs="Arial"/>
          <w:sz w:val="28"/>
          <w:szCs w:val="28"/>
        </w:rPr>
        <w:t>Justicia de la Nación, publicada</w:t>
      </w:r>
      <w:r>
        <w:rPr>
          <w:rFonts w:ascii="Arial" w:hAnsi="Arial" w:cs="Arial"/>
          <w:sz w:val="28"/>
          <w:szCs w:val="28"/>
        </w:rPr>
        <w:t>s</w:t>
      </w:r>
      <w:r w:rsidRPr="00FD6CA4">
        <w:rPr>
          <w:rFonts w:ascii="Arial" w:hAnsi="Arial" w:cs="Arial"/>
          <w:sz w:val="28"/>
          <w:szCs w:val="28"/>
        </w:rPr>
        <w:t xml:space="preserve"> en el Semanario</w:t>
      </w:r>
      <w:r>
        <w:rPr>
          <w:rFonts w:ascii="Arial" w:hAnsi="Arial" w:cs="Arial"/>
          <w:sz w:val="28"/>
          <w:szCs w:val="28"/>
        </w:rPr>
        <w:t xml:space="preserve"> Judicial de la Federación, cuyos rubros y textos son</w:t>
      </w:r>
      <w:r w:rsidRPr="00FD6CA4">
        <w:rPr>
          <w:rFonts w:ascii="Arial" w:hAnsi="Arial" w:cs="Arial"/>
          <w:sz w:val="28"/>
          <w:szCs w:val="28"/>
        </w:rPr>
        <w:t>:</w:t>
      </w:r>
    </w:p>
    <w:p w14:paraId="36091664" w14:textId="77777777" w:rsidR="00177FB2" w:rsidRPr="00CE55EC" w:rsidRDefault="00177FB2" w:rsidP="00177FB2">
      <w:pPr>
        <w:spacing w:after="0" w:line="360" w:lineRule="auto"/>
        <w:jc w:val="both"/>
        <w:rPr>
          <w:rFonts w:ascii="Arial" w:hAnsi="Arial" w:cs="Arial"/>
          <w:sz w:val="28"/>
          <w:szCs w:val="28"/>
        </w:rPr>
      </w:pPr>
    </w:p>
    <w:p w14:paraId="15ACD67E" w14:textId="77777777" w:rsidR="00177FB2" w:rsidRPr="00FD6CA4" w:rsidRDefault="00177FB2" w:rsidP="00177FB2">
      <w:pPr>
        <w:pStyle w:val="Prrafodelista"/>
        <w:spacing w:after="0" w:line="240" w:lineRule="auto"/>
        <w:ind w:left="567" w:right="618"/>
        <w:jc w:val="both"/>
        <w:rPr>
          <w:rFonts w:ascii="Arial Narrow" w:hAnsi="Arial Narrow" w:cs="Arial"/>
          <w:i/>
          <w:sz w:val="24"/>
          <w:szCs w:val="24"/>
        </w:rPr>
      </w:pPr>
      <w:r w:rsidRPr="00FD6CA4">
        <w:rPr>
          <w:rFonts w:ascii="Arial Narrow" w:hAnsi="Arial Narrow" w:cs="Arial"/>
          <w:b/>
          <w:i/>
          <w:sz w:val="24"/>
          <w:szCs w:val="24"/>
        </w:rPr>
        <w:t xml:space="preserve">“AMPARO DIRECTO. ES PROCEDENTE LA IMPUGNACIÓN DE LOS PRECEPTOS APLICADOS EN LA SENTENCIA RECURRIDA, NO OBSTANTE QUE NO SE TRATE DEL PRIMER ACTO DE APLICACIÓN, SI RESPECTO DE LA RESOLUCIÓN EN LA QUE SE APLICARON POR VEZ PRIMERA, SE ACTUALIZÓ UNA VIOLACIÓN PROCESAL CUYO ESTUDIO ES PREFERENTE AL ASPECTO DE CONSTITUCIONALIDAD. </w:t>
      </w:r>
      <w:r w:rsidRPr="00FD6CA4">
        <w:rPr>
          <w:rFonts w:ascii="Arial Narrow" w:hAnsi="Arial Narrow" w:cs="Arial"/>
          <w:i/>
          <w:sz w:val="24"/>
          <w:szCs w:val="24"/>
        </w:rPr>
        <w:t xml:space="preserve">La Suprema Corte de Justicia de la Nación ha sostenido que en el amparo directo resultan inoperantes los conceptos de violación enderezados contra la ley aplicada en la sentencia combatida, si el quejoso estuvo legalmente en aptitud de combatir su constitucionalidad en un amparo anterior, ya que en ese supuesto la ley debe considerarse consentida. Sin embargo, dicho criterio no es aplicable cuando en la resolución en que se aplicaron por vez primera los preceptos combatidos se actualizó una violación procesal que resulte de estudio preferente al tema de constitucionalidad, porque para tener por consentida la ley aplicada en el acto reclamado, se requiere que, conforme a las particularidades del caso, el quejoso hubiera podido plantear el tema de constitucionalidad en un amparo anterior y que, en su caso, el Tribunal Colegiado estuviera en aptitud de avocarse al estudio de dicho </w:t>
      </w:r>
      <w:r w:rsidRPr="00FD6CA4">
        <w:rPr>
          <w:rFonts w:ascii="Arial Narrow" w:hAnsi="Arial Narrow" w:cs="Arial"/>
          <w:i/>
          <w:sz w:val="24"/>
          <w:szCs w:val="24"/>
        </w:rPr>
        <w:lastRenderedPageBreak/>
        <w:t>planteamiento, pues de lo contrario se afectaría a la parte quejosa con base en un aspecto que, de haberse planteado, no hubiera tenido trascendencia jurídica alguna, porque el órgano de control constitucional no hubiese estudiado la inconstitucionalidad referida. “</w:t>
      </w:r>
      <w:r w:rsidRPr="00FD6CA4">
        <w:rPr>
          <w:rStyle w:val="Refdenotaalpie"/>
          <w:rFonts w:ascii="Arial Narrow" w:hAnsi="Arial Narrow" w:cs="Arial"/>
          <w:i/>
          <w:sz w:val="24"/>
          <w:szCs w:val="24"/>
        </w:rPr>
        <w:footnoteReference w:id="26"/>
      </w:r>
    </w:p>
    <w:p w14:paraId="22AD6349" w14:textId="77777777" w:rsidR="00177FB2" w:rsidRPr="00CE55EC" w:rsidRDefault="00177FB2" w:rsidP="00177FB2">
      <w:pPr>
        <w:spacing w:after="0" w:line="240" w:lineRule="auto"/>
        <w:ind w:right="618"/>
        <w:jc w:val="both"/>
        <w:rPr>
          <w:rFonts w:ascii="Arial Narrow" w:hAnsi="Arial Narrow" w:cs="Arial"/>
          <w:i/>
          <w:sz w:val="24"/>
          <w:szCs w:val="24"/>
        </w:rPr>
      </w:pPr>
    </w:p>
    <w:p w14:paraId="70C6B43E" w14:textId="77777777" w:rsidR="00177FB2" w:rsidRPr="00FD6CA4" w:rsidRDefault="00177FB2" w:rsidP="00177FB2">
      <w:pPr>
        <w:pStyle w:val="Prrafodelista"/>
        <w:spacing w:after="0" w:line="240" w:lineRule="auto"/>
        <w:ind w:left="567" w:right="618"/>
        <w:jc w:val="both"/>
        <w:rPr>
          <w:rFonts w:ascii="Arial" w:hAnsi="Arial" w:cs="Arial"/>
          <w:sz w:val="28"/>
          <w:szCs w:val="28"/>
        </w:rPr>
      </w:pPr>
      <w:r w:rsidRPr="00FD6CA4">
        <w:rPr>
          <w:rFonts w:ascii="Arial Narrow" w:hAnsi="Arial Narrow" w:cs="Arial"/>
          <w:b/>
          <w:i/>
          <w:sz w:val="24"/>
          <w:szCs w:val="24"/>
        </w:rPr>
        <w:t>AMPARO CONTRA LEYES. ES PROCEDENTE AUNQUE SE RECLAME EN CONTRA DEL SEGUNDO ACTO DE APLICACION, SI EL PRIMERO SE DECLARO INVALIDO.</w:t>
      </w:r>
      <w:r w:rsidRPr="00FD6CA4">
        <w:rPr>
          <w:rFonts w:ascii="Arial Narrow" w:hAnsi="Arial Narrow" w:cs="Arial"/>
          <w:i/>
          <w:sz w:val="24"/>
          <w:szCs w:val="24"/>
        </w:rPr>
        <w:t xml:space="preserve"> Si en un juicio de amparo se reclama la inconstitucionalidad de una ley con motivo de un acto de aplicación y de los antecedentes se advierte que aunque había existido un acto de aplicación anterior, éste fue anulado legalmente, no cabe sobreseer en el juicio por consentimiento del referido acto primero de aplicación, pues si el mismo fue combatido por el medio ordinario de defensa, no se consintió; y si con ese motivo se obtuvo resolución favorable que lo anuló, ha de considerarse que el posterior acto de aplicación es el que, por afectar al quejoso de manera actual, es el que debe servir de base para impugnar la ley, de lo que se sigue que el plazo para la promoción del amparo debe computarse a partir de éste, que debe tenerse como primer acto de aplicación.”</w:t>
      </w:r>
      <w:r w:rsidRPr="00FD6CA4">
        <w:rPr>
          <w:rStyle w:val="Refdenotaalpie"/>
          <w:rFonts w:ascii="Arial Narrow" w:hAnsi="Arial Narrow" w:cs="Arial"/>
          <w:i/>
          <w:sz w:val="24"/>
          <w:szCs w:val="24"/>
        </w:rPr>
        <w:footnoteReference w:id="27"/>
      </w:r>
    </w:p>
    <w:p w14:paraId="11FDAEBB" w14:textId="77777777" w:rsidR="00177FB2" w:rsidRPr="00CE55EC" w:rsidRDefault="00177FB2" w:rsidP="00177FB2">
      <w:pPr>
        <w:spacing w:after="0" w:line="360" w:lineRule="auto"/>
        <w:jc w:val="both"/>
        <w:rPr>
          <w:rFonts w:ascii="Arial" w:hAnsi="Arial" w:cs="Arial"/>
          <w:sz w:val="28"/>
          <w:szCs w:val="28"/>
        </w:rPr>
      </w:pPr>
    </w:p>
    <w:p w14:paraId="4C24E751" w14:textId="702B416D" w:rsidR="00177FB2" w:rsidRDefault="00937570"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No obstante a lo anterior que, s</w:t>
      </w:r>
      <w:r w:rsidR="00177FB2" w:rsidRPr="00CE55EC">
        <w:rPr>
          <w:rFonts w:ascii="Arial" w:hAnsi="Arial" w:cs="Arial"/>
          <w:sz w:val="28"/>
          <w:szCs w:val="28"/>
        </w:rPr>
        <w:t>i bien</w:t>
      </w:r>
      <w:r>
        <w:rPr>
          <w:rFonts w:ascii="Arial" w:hAnsi="Arial" w:cs="Arial"/>
          <w:sz w:val="28"/>
          <w:szCs w:val="28"/>
        </w:rPr>
        <w:t>,</w:t>
      </w:r>
      <w:r w:rsidR="00177FB2" w:rsidRPr="00CE55EC">
        <w:rPr>
          <w:rFonts w:ascii="Arial" w:hAnsi="Arial" w:cs="Arial"/>
          <w:sz w:val="28"/>
          <w:szCs w:val="28"/>
        </w:rPr>
        <w:t xml:space="preserve"> el primer criterio reproducido se</w:t>
      </w:r>
      <w:r w:rsidR="00177FB2">
        <w:rPr>
          <w:rFonts w:ascii="Arial" w:hAnsi="Arial" w:cs="Arial"/>
          <w:sz w:val="28"/>
          <w:szCs w:val="28"/>
        </w:rPr>
        <w:t xml:space="preserve"> </w:t>
      </w:r>
      <w:r w:rsidR="00177FB2" w:rsidRPr="00CE55EC">
        <w:rPr>
          <w:rFonts w:ascii="Arial" w:hAnsi="Arial" w:cs="Arial"/>
          <w:sz w:val="28"/>
          <w:szCs w:val="28"/>
        </w:rPr>
        <w:t>refiere al juicio de amparo directo y el segundo a</w:t>
      </w:r>
      <w:r w:rsidR="00177FB2">
        <w:rPr>
          <w:rFonts w:ascii="Arial" w:hAnsi="Arial" w:cs="Arial"/>
          <w:sz w:val="28"/>
          <w:szCs w:val="28"/>
        </w:rPr>
        <w:t xml:space="preserve"> </w:t>
      </w:r>
      <w:r w:rsidR="00177FB2" w:rsidRPr="00CE55EC">
        <w:rPr>
          <w:rFonts w:ascii="Arial" w:hAnsi="Arial" w:cs="Arial"/>
          <w:sz w:val="28"/>
          <w:szCs w:val="28"/>
        </w:rPr>
        <w:t>amparo indirecto, lo relevante es que subyace el</w:t>
      </w:r>
      <w:r w:rsidR="00177FB2">
        <w:rPr>
          <w:rFonts w:ascii="Arial" w:hAnsi="Arial" w:cs="Arial"/>
          <w:sz w:val="28"/>
          <w:szCs w:val="28"/>
        </w:rPr>
        <w:t xml:space="preserve"> </w:t>
      </w:r>
      <w:r w:rsidR="00177FB2" w:rsidRPr="00CE55EC">
        <w:rPr>
          <w:rFonts w:ascii="Arial" w:hAnsi="Arial" w:cs="Arial"/>
          <w:sz w:val="28"/>
          <w:szCs w:val="28"/>
        </w:rPr>
        <w:t>criterio relativo a que, si no existe un pronunciamiento</w:t>
      </w:r>
      <w:r w:rsidR="00177FB2">
        <w:rPr>
          <w:rFonts w:ascii="Arial" w:hAnsi="Arial" w:cs="Arial"/>
          <w:sz w:val="28"/>
          <w:szCs w:val="28"/>
        </w:rPr>
        <w:t xml:space="preserve"> </w:t>
      </w:r>
      <w:r w:rsidR="00177FB2" w:rsidRPr="00CE55EC">
        <w:rPr>
          <w:rFonts w:ascii="Arial" w:hAnsi="Arial" w:cs="Arial"/>
          <w:sz w:val="28"/>
          <w:szCs w:val="28"/>
        </w:rPr>
        <w:t>de fondo sobre una disposición general que se</w:t>
      </w:r>
      <w:r w:rsidR="00177FB2">
        <w:rPr>
          <w:rFonts w:ascii="Arial" w:hAnsi="Arial" w:cs="Arial"/>
          <w:sz w:val="28"/>
          <w:szCs w:val="28"/>
        </w:rPr>
        <w:t xml:space="preserve"> </w:t>
      </w:r>
      <w:r w:rsidR="00177FB2" w:rsidRPr="00CE55EC">
        <w:rPr>
          <w:rFonts w:ascii="Arial" w:hAnsi="Arial" w:cs="Arial"/>
          <w:sz w:val="28"/>
          <w:szCs w:val="28"/>
        </w:rPr>
        <w:t>impugnó con motivo de un primer acto de aplicación,</w:t>
      </w:r>
      <w:r w:rsidR="00177FB2">
        <w:rPr>
          <w:rFonts w:ascii="Arial" w:hAnsi="Arial" w:cs="Arial"/>
          <w:sz w:val="28"/>
          <w:szCs w:val="28"/>
        </w:rPr>
        <w:t xml:space="preserve"> </w:t>
      </w:r>
      <w:r w:rsidR="00177FB2" w:rsidRPr="00CE55EC">
        <w:rPr>
          <w:rFonts w:ascii="Arial" w:hAnsi="Arial" w:cs="Arial"/>
          <w:sz w:val="28"/>
          <w:szCs w:val="28"/>
        </w:rPr>
        <w:t>dado que se actualizó un tema de estudio preferente</w:t>
      </w:r>
      <w:r w:rsidR="00177FB2">
        <w:rPr>
          <w:rFonts w:ascii="Arial" w:hAnsi="Arial" w:cs="Arial"/>
          <w:sz w:val="28"/>
          <w:szCs w:val="28"/>
        </w:rPr>
        <w:t xml:space="preserve"> </w:t>
      </w:r>
      <w:r w:rsidR="00177FB2" w:rsidRPr="00CE55EC">
        <w:rPr>
          <w:rFonts w:ascii="Arial" w:hAnsi="Arial" w:cs="Arial"/>
          <w:sz w:val="28"/>
          <w:szCs w:val="28"/>
        </w:rPr>
        <w:t>que lo hizo innecesario, o bien, se anuló a través de</w:t>
      </w:r>
      <w:r w:rsidR="00177FB2">
        <w:rPr>
          <w:rFonts w:ascii="Arial" w:hAnsi="Arial" w:cs="Arial"/>
          <w:sz w:val="28"/>
          <w:szCs w:val="28"/>
        </w:rPr>
        <w:t xml:space="preserve"> </w:t>
      </w:r>
      <w:r w:rsidR="00177FB2" w:rsidRPr="00CE55EC">
        <w:rPr>
          <w:rFonts w:ascii="Arial" w:hAnsi="Arial" w:cs="Arial"/>
          <w:sz w:val="28"/>
          <w:szCs w:val="28"/>
        </w:rPr>
        <w:t>otra vía, nada imposibilita al particular que en uno</w:t>
      </w:r>
      <w:r w:rsidR="00177FB2">
        <w:rPr>
          <w:rFonts w:ascii="Arial" w:hAnsi="Arial" w:cs="Arial"/>
          <w:sz w:val="28"/>
          <w:szCs w:val="28"/>
        </w:rPr>
        <w:t xml:space="preserve"> </w:t>
      </w:r>
      <w:r w:rsidR="00177FB2" w:rsidRPr="00CE55EC">
        <w:rPr>
          <w:rFonts w:ascii="Arial" w:hAnsi="Arial" w:cs="Arial"/>
          <w:sz w:val="28"/>
          <w:szCs w:val="28"/>
        </w:rPr>
        <w:t xml:space="preserve">posterior la vuelva </w:t>
      </w:r>
      <w:r w:rsidR="00177FB2">
        <w:rPr>
          <w:rFonts w:ascii="Arial" w:hAnsi="Arial" w:cs="Arial"/>
          <w:sz w:val="28"/>
          <w:szCs w:val="28"/>
        </w:rPr>
        <w:t xml:space="preserve">a controvertir, toda vez que en </w:t>
      </w:r>
      <w:r w:rsidR="00177FB2" w:rsidRPr="00CE55EC">
        <w:rPr>
          <w:rFonts w:ascii="Arial" w:hAnsi="Arial" w:cs="Arial"/>
          <w:sz w:val="28"/>
          <w:szCs w:val="28"/>
        </w:rPr>
        <w:t>este supuesto la norma general no se debe considerar</w:t>
      </w:r>
      <w:r w:rsidR="00177FB2">
        <w:rPr>
          <w:rFonts w:ascii="Arial" w:hAnsi="Arial" w:cs="Arial"/>
          <w:sz w:val="28"/>
          <w:szCs w:val="28"/>
        </w:rPr>
        <w:t xml:space="preserve"> </w:t>
      </w:r>
      <w:r w:rsidR="00177FB2" w:rsidRPr="00CE55EC">
        <w:rPr>
          <w:rFonts w:ascii="Arial" w:hAnsi="Arial" w:cs="Arial"/>
          <w:sz w:val="28"/>
          <w:szCs w:val="28"/>
        </w:rPr>
        <w:t>consentida.</w:t>
      </w:r>
    </w:p>
    <w:p w14:paraId="3ECAEEC9" w14:textId="77777777" w:rsidR="00177FB2" w:rsidRDefault="00177FB2" w:rsidP="00177FB2">
      <w:pPr>
        <w:pStyle w:val="Prrafodelista"/>
        <w:spacing w:after="0" w:line="360" w:lineRule="auto"/>
        <w:ind w:firstLine="131"/>
        <w:jc w:val="both"/>
        <w:rPr>
          <w:rFonts w:ascii="Arial" w:hAnsi="Arial" w:cs="Arial"/>
          <w:sz w:val="28"/>
          <w:szCs w:val="28"/>
        </w:rPr>
      </w:pPr>
    </w:p>
    <w:p w14:paraId="0A375F21" w14:textId="64F0C786" w:rsidR="00177FB2" w:rsidRDefault="00177FB2" w:rsidP="00177FB2">
      <w:pPr>
        <w:pStyle w:val="Prrafodelista"/>
        <w:spacing w:after="0" w:line="360" w:lineRule="auto"/>
        <w:ind w:left="0" w:firstLine="851"/>
        <w:jc w:val="both"/>
        <w:rPr>
          <w:rFonts w:ascii="Arial" w:hAnsi="Arial" w:cs="Arial"/>
          <w:sz w:val="28"/>
          <w:szCs w:val="28"/>
        </w:rPr>
      </w:pPr>
      <w:r>
        <w:rPr>
          <w:rFonts w:ascii="Arial" w:hAnsi="Arial" w:cs="Arial"/>
          <w:sz w:val="28"/>
          <w:szCs w:val="28"/>
        </w:rPr>
        <w:t xml:space="preserve">Por ende, se insiste, adverso a lo alegado por la recurrente, </w:t>
      </w:r>
      <w:r w:rsidRPr="00FE1911">
        <w:rPr>
          <w:rFonts w:ascii="Arial" w:hAnsi="Arial" w:cs="Arial"/>
          <w:sz w:val="28"/>
          <w:szCs w:val="28"/>
        </w:rPr>
        <w:t>no debe desvincularse el estudio de la referida disposición impugnada</w:t>
      </w:r>
      <w:r>
        <w:rPr>
          <w:rFonts w:ascii="Arial" w:hAnsi="Arial" w:cs="Arial"/>
          <w:sz w:val="28"/>
          <w:szCs w:val="28"/>
        </w:rPr>
        <w:t xml:space="preserve"> </w:t>
      </w:r>
      <w:r w:rsidRPr="00603679">
        <w:rPr>
          <w:rFonts w:ascii="Arial" w:hAnsi="Arial" w:cs="Arial"/>
          <w:sz w:val="28"/>
          <w:szCs w:val="28"/>
        </w:rPr>
        <w:t>Plan del Centro de Población Estratégico de Población San Luis Potosí - Soledad de Graciano Sánchez</w:t>
      </w:r>
      <w:r>
        <w:rPr>
          <w:rFonts w:ascii="Arial" w:hAnsi="Arial" w:cs="Arial"/>
          <w:sz w:val="28"/>
          <w:szCs w:val="28"/>
        </w:rPr>
        <w:t>,</w:t>
      </w:r>
      <w:r w:rsidRPr="00FE1911">
        <w:rPr>
          <w:rFonts w:ascii="Arial" w:hAnsi="Arial" w:cs="Arial"/>
          <w:sz w:val="28"/>
          <w:szCs w:val="28"/>
        </w:rPr>
        <w:t xml:space="preserve"> del que concierne a su acto de aplicación, por lo que, si se estima improcedente el juicio en contra del acto de aplicación</w:t>
      </w:r>
      <w:r>
        <w:rPr>
          <w:rFonts w:ascii="Arial" w:hAnsi="Arial" w:cs="Arial"/>
          <w:sz w:val="28"/>
          <w:szCs w:val="28"/>
        </w:rPr>
        <w:t xml:space="preserve"> es decir el oficio </w:t>
      </w:r>
      <w:r w:rsidR="0050127A">
        <w:rPr>
          <w:rFonts w:ascii="Arial" w:hAnsi="Arial" w:cs="Arial"/>
          <w:color w:val="FF0000"/>
          <w:sz w:val="28"/>
          <w:szCs w:val="28"/>
        </w:rPr>
        <w:t>**********</w:t>
      </w:r>
      <w:r w:rsidRPr="007B12E3">
        <w:rPr>
          <w:rFonts w:ascii="Arial" w:hAnsi="Arial" w:cs="Arial"/>
          <w:sz w:val="28"/>
          <w:szCs w:val="28"/>
        </w:rPr>
        <w:t xml:space="preserve">de </w:t>
      </w:r>
      <w:r w:rsidRPr="001A640B">
        <w:rPr>
          <w:rFonts w:ascii="Arial" w:hAnsi="Arial" w:cs="Arial"/>
          <w:color w:val="0000FF"/>
          <w:sz w:val="28"/>
          <w:szCs w:val="28"/>
        </w:rPr>
        <w:t xml:space="preserve">once de marzo de </w:t>
      </w:r>
      <w:r w:rsidRPr="001A640B">
        <w:rPr>
          <w:rFonts w:ascii="Arial" w:hAnsi="Arial" w:cs="Arial"/>
          <w:color w:val="0000FF"/>
          <w:sz w:val="28"/>
          <w:szCs w:val="28"/>
        </w:rPr>
        <w:lastRenderedPageBreak/>
        <w:t>dos mil veinte</w:t>
      </w:r>
      <w:r>
        <w:rPr>
          <w:rFonts w:ascii="Arial" w:hAnsi="Arial" w:cs="Arial"/>
          <w:sz w:val="28"/>
          <w:szCs w:val="28"/>
        </w:rPr>
        <w:t xml:space="preserve">, </w:t>
      </w:r>
      <w:r w:rsidRPr="00FE1911">
        <w:rPr>
          <w:rFonts w:ascii="Arial" w:hAnsi="Arial" w:cs="Arial"/>
          <w:sz w:val="28"/>
          <w:szCs w:val="28"/>
        </w:rPr>
        <w:t>deberá sobreseer</w:t>
      </w:r>
      <w:r>
        <w:rPr>
          <w:rFonts w:ascii="Arial" w:hAnsi="Arial" w:cs="Arial"/>
          <w:sz w:val="28"/>
          <w:szCs w:val="28"/>
        </w:rPr>
        <w:t>se</w:t>
      </w:r>
      <w:r w:rsidRPr="00FE1911">
        <w:rPr>
          <w:rFonts w:ascii="Arial" w:hAnsi="Arial" w:cs="Arial"/>
          <w:sz w:val="28"/>
          <w:szCs w:val="28"/>
        </w:rPr>
        <w:t xml:space="preserve"> respecto de éste y, en vía de consecuencia, también en relación con el acto de carácter general impugnado, al </w:t>
      </w:r>
      <w:r w:rsidRPr="006366E9">
        <w:rPr>
          <w:rFonts w:ascii="Arial" w:hAnsi="Arial" w:cs="Arial"/>
          <w:sz w:val="28"/>
          <w:szCs w:val="28"/>
        </w:rPr>
        <w:t>no poder desvincularse uno de otro; lo cual</w:t>
      </w:r>
      <w:r w:rsidR="00937570">
        <w:rPr>
          <w:rFonts w:ascii="Arial" w:hAnsi="Arial" w:cs="Arial"/>
          <w:sz w:val="28"/>
          <w:szCs w:val="28"/>
        </w:rPr>
        <w:t>,</w:t>
      </w:r>
      <w:r w:rsidRPr="006366E9">
        <w:rPr>
          <w:rFonts w:ascii="Arial" w:hAnsi="Arial" w:cs="Arial"/>
          <w:sz w:val="28"/>
          <w:szCs w:val="28"/>
        </w:rPr>
        <w:t xml:space="preserve"> no vulnera </w:t>
      </w:r>
      <w:r>
        <w:rPr>
          <w:rFonts w:ascii="Arial" w:hAnsi="Arial" w:cs="Arial"/>
          <w:sz w:val="28"/>
          <w:szCs w:val="28"/>
        </w:rPr>
        <w:t xml:space="preserve">el </w:t>
      </w:r>
      <w:r w:rsidRPr="006366E9">
        <w:rPr>
          <w:rFonts w:ascii="Arial" w:hAnsi="Arial" w:cs="Arial"/>
          <w:sz w:val="28"/>
          <w:szCs w:val="28"/>
        </w:rPr>
        <w:t>principio de</w:t>
      </w:r>
      <w:r w:rsidRPr="009E64DD">
        <w:rPr>
          <w:rFonts w:ascii="Arial" w:hAnsi="Arial" w:cs="Arial"/>
          <w:sz w:val="28"/>
          <w:szCs w:val="28"/>
        </w:rPr>
        <w:t xml:space="preserve"> tutela judicial efectiva </w:t>
      </w:r>
      <w:r>
        <w:rPr>
          <w:rFonts w:ascii="Arial" w:hAnsi="Arial" w:cs="Arial"/>
          <w:sz w:val="28"/>
          <w:szCs w:val="28"/>
        </w:rPr>
        <w:t>ni deja en estado de indefensión al</w:t>
      </w:r>
      <w:r w:rsidRPr="009E64DD">
        <w:rPr>
          <w:rFonts w:ascii="Arial" w:hAnsi="Arial" w:cs="Arial"/>
          <w:sz w:val="28"/>
          <w:szCs w:val="28"/>
        </w:rPr>
        <w:t xml:space="preserve"> impetrante</w:t>
      </w:r>
      <w:r>
        <w:rPr>
          <w:rFonts w:ascii="Arial" w:hAnsi="Arial" w:cs="Arial"/>
          <w:sz w:val="28"/>
          <w:szCs w:val="28"/>
        </w:rPr>
        <w:t>, pues,</w:t>
      </w:r>
      <w:r w:rsidRPr="009E64DD">
        <w:rPr>
          <w:rFonts w:ascii="Arial" w:hAnsi="Arial" w:cs="Arial"/>
          <w:sz w:val="28"/>
          <w:szCs w:val="28"/>
        </w:rPr>
        <w:t xml:space="preserve"> al no existir un</w:t>
      </w:r>
      <w:r>
        <w:rPr>
          <w:rFonts w:ascii="Arial" w:hAnsi="Arial" w:cs="Arial"/>
          <w:sz w:val="28"/>
          <w:szCs w:val="28"/>
        </w:rPr>
        <w:t xml:space="preserve"> </w:t>
      </w:r>
      <w:r w:rsidRPr="009E64DD">
        <w:rPr>
          <w:rFonts w:ascii="Arial" w:hAnsi="Arial" w:cs="Arial"/>
          <w:sz w:val="28"/>
          <w:szCs w:val="28"/>
        </w:rPr>
        <w:t>pronunciamiento de fondo respecto de la d</w:t>
      </w:r>
      <w:r>
        <w:rPr>
          <w:rFonts w:ascii="Arial" w:hAnsi="Arial" w:cs="Arial"/>
          <w:sz w:val="28"/>
          <w:szCs w:val="28"/>
        </w:rPr>
        <w:t>isposición</w:t>
      </w:r>
      <w:r w:rsidRPr="009E64DD">
        <w:rPr>
          <w:rFonts w:ascii="Arial" w:hAnsi="Arial" w:cs="Arial"/>
          <w:sz w:val="28"/>
          <w:szCs w:val="28"/>
        </w:rPr>
        <w:t xml:space="preserve"> combatida, no se actualiza el principio de cosa</w:t>
      </w:r>
      <w:r>
        <w:rPr>
          <w:rFonts w:ascii="Arial" w:hAnsi="Arial" w:cs="Arial"/>
          <w:sz w:val="28"/>
          <w:szCs w:val="28"/>
        </w:rPr>
        <w:t xml:space="preserve"> </w:t>
      </w:r>
      <w:r w:rsidRPr="009E64DD">
        <w:rPr>
          <w:rFonts w:ascii="Arial" w:hAnsi="Arial" w:cs="Arial"/>
          <w:sz w:val="28"/>
          <w:szCs w:val="28"/>
        </w:rPr>
        <w:t xml:space="preserve">juzgada, lo que </w:t>
      </w:r>
      <w:r>
        <w:rPr>
          <w:rFonts w:ascii="Arial" w:hAnsi="Arial" w:cs="Arial"/>
          <w:sz w:val="28"/>
          <w:szCs w:val="28"/>
        </w:rPr>
        <w:t xml:space="preserve">le </w:t>
      </w:r>
      <w:r w:rsidRPr="009E64DD">
        <w:rPr>
          <w:rFonts w:ascii="Arial" w:hAnsi="Arial" w:cs="Arial"/>
          <w:sz w:val="28"/>
          <w:szCs w:val="28"/>
        </w:rPr>
        <w:t>permite volver a</w:t>
      </w:r>
      <w:r>
        <w:rPr>
          <w:rFonts w:ascii="Arial" w:hAnsi="Arial" w:cs="Arial"/>
          <w:sz w:val="28"/>
          <w:szCs w:val="28"/>
        </w:rPr>
        <w:t xml:space="preserve"> </w:t>
      </w:r>
      <w:r w:rsidRPr="009E64DD">
        <w:rPr>
          <w:rFonts w:ascii="Arial" w:hAnsi="Arial" w:cs="Arial"/>
          <w:sz w:val="28"/>
          <w:szCs w:val="28"/>
        </w:rPr>
        <w:t>impugnarla en un ulterior acto de aplicación, sin que</w:t>
      </w:r>
      <w:r>
        <w:rPr>
          <w:rFonts w:ascii="Arial" w:hAnsi="Arial" w:cs="Arial"/>
          <w:sz w:val="28"/>
          <w:szCs w:val="28"/>
        </w:rPr>
        <w:t xml:space="preserve"> </w:t>
      </w:r>
      <w:r w:rsidRPr="009E64DD">
        <w:rPr>
          <w:rFonts w:ascii="Arial" w:hAnsi="Arial" w:cs="Arial"/>
          <w:sz w:val="28"/>
          <w:szCs w:val="28"/>
        </w:rPr>
        <w:t xml:space="preserve">se entienda consentida la norma. </w:t>
      </w:r>
    </w:p>
    <w:p w14:paraId="09491AC1" w14:textId="77777777" w:rsidR="00177FB2" w:rsidRPr="009E5A80" w:rsidRDefault="00177FB2" w:rsidP="00177FB2">
      <w:pPr>
        <w:widowControl w:val="0"/>
        <w:spacing w:after="120" w:line="360" w:lineRule="auto"/>
        <w:jc w:val="both"/>
        <w:rPr>
          <w:rFonts w:ascii="Arial" w:hAnsi="Arial" w:cs="Arial"/>
          <w:sz w:val="28"/>
          <w:szCs w:val="28"/>
        </w:rPr>
      </w:pPr>
    </w:p>
    <w:p w14:paraId="54942691" w14:textId="5B9838FB" w:rsidR="00177FB2" w:rsidRDefault="00177FB2" w:rsidP="00177FB2">
      <w:pPr>
        <w:pStyle w:val="Prrafodelista"/>
        <w:widowControl w:val="0"/>
        <w:spacing w:after="0" w:line="360" w:lineRule="auto"/>
        <w:ind w:left="0" w:firstLine="851"/>
        <w:jc w:val="both"/>
        <w:rPr>
          <w:rFonts w:ascii="Arial" w:hAnsi="Arial" w:cs="Arial"/>
          <w:sz w:val="28"/>
          <w:szCs w:val="28"/>
        </w:rPr>
      </w:pPr>
      <w:r>
        <w:rPr>
          <w:rFonts w:ascii="Arial" w:hAnsi="Arial" w:cs="Arial"/>
          <w:sz w:val="28"/>
          <w:szCs w:val="28"/>
        </w:rPr>
        <w:t xml:space="preserve">En las relatadas condiciones, ante lo infundado de los agravios planteados, </w:t>
      </w:r>
      <w:r w:rsidRPr="00997FCD">
        <w:rPr>
          <w:rFonts w:ascii="Arial" w:hAnsi="Arial" w:cs="Arial"/>
          <w:sz w:val="28"/>
          <w:szCs w:val="28"/>
        </w:rPr>
        <w:t>debe subsistir el</w:t>
      </w:r>
      <w:r>
        <w:rPr>
          <w:rFonts w:ascii="Arial" w:hAnsi="Arial" w:cs="Arial"/>
          <w:sz w:val="28"/>
          <w:szCs w:val="28"/>
        </w:rPr>
        <w:t xml:space="preserve"> </w:t>
      </w:r>
      <w:r w:rsidRPr="008F0353">
        <w:rPr>
          <w:rFonts w:ascii="Arial" w:eastAsia="Times New Roman" w:hAnsi="Arial" w:cs="Arial"/>
          <w:kern w:val="28"/>
          <w:sz w:val="28"/>
          <w:szCs w:val="28"/>
          <w:lang w:val="es-ES_tradnl" w:eastAsia="es-ES"/>
        </w:rPr>
        <w:t xml:space="preserve">sobreseimiento </w:t>
      </w:r>
      <w:r>
        <w:rPr>
          <w:rFonts w:ascii="Arial" w:eastAsia="Times New Roman" w:hAnsi="Arial" w:cs="Arial"/>
          <w:kern w:val="28"/>
          <w:sz w:val="28"/>
          <w:szCs w:val="28"/>
          <w:lang w:val="es-ES_tradnl" w:eastAsia="es-ES"/>
        </w:rPr>
        <w:t xml:space="preserve">del juicio, </w:t>
      </w:r>
      <w:r w:rsidRPr="008F0353">
        <w:rPr>
          <w:rFonts w:ascii="Arial" w:eastAsia="Times New Roman" w:hAnsi="Arial" w:cs="Arial"/>
          <w:kern w:val="28"/>
          <w:sz w:val="28"/>
          <w:szCs w:val="28"/>
          <w:lang w:val="es-ES_tradnl" w:eastAsia="es-ES"/>
        </w:rPr>
        <w:t xml:space="preserve">respecto de la resolución contenida en el oficio </w:t>
      </w:r>
      <w:r w:rsidR="0050127A">
        <w:rPr>
          <w:rFonts w:ascii="Arial" w:eastAsia="Times New Roman" w:hAnsi="Arial" w:cs="Arial"/>
          <w:color w:val="FF0000"/>
          <w:kern w:val="28"/>
          <w:sz w:val="28"/>
          <w:szCs w:val="28"/>
          <w:lang w:val="es-ES_tradnl" w:eastAsia="es-ES"/>
        </w:rPr>
        <w:t>**********</w:t>
      </w:r>
      <w:r w:rsidRPr="000105E8">
        <w:rPr>
          <w:rFonts w:ascii="Arial" w:eastAsia="Times New Roman" w:hAnsi="Arial" w:cs="Arial"/>
          <w:kern w:val="28"/>
          <w:sz w:val="28"/>
          <w:szCs w:val="28"/>
          <w:lang w:val="es-ES_tradnl" w:eastAsia="es-ES"/>
        </w:rPr>
        <w:t xml:space="preserve">, de </w:t>
      </w:r>
      <w:r w:rsidRPr="009E5A80">
        <w:rPr>
          <w:rFonts w:ascii="Arial" w:eastAsia="Times New Roman" w:hAnsi="Arial" w:cs="Arial"/>
          <w:color w:val="0000FF"/>
          <w:kern w:val="28"/>
          <w:sz w:val="28"/>
          <w:szCs w:val="28"/>
          <w:lang w:val="es-ES_tradnl" w:eastAsia="es-ES"/>
        </w:rPr>
        <w:t>once marzo de dos mil veinte</w:t>
      </w:r>
      <w:r w:rsidRPr="000105E8">
        <w:rPr>
          <w:rFonts w:ascii="Arial" w:eastAsia="Times New Roman" w:hAnsi="Arial" w:cs="Arial"/>
          <w:kern w:val="28"/>
          <w:sz w:val="28"/>
          <w:szCs w:val="28"/>
          <w:lang w:val="es-ES_tradnl" w:eastAsia="es-ES"/>
        </w:rPr>
        <w:t xml:space="preserve">, y </w:t>
      </w:r>
      <w:r>
        <w:rPr>
          <w:rFonts w:ascii="Arial" w:eastAsia="Times New Roman" w:hAnsi="Arial" w:cs="Arial"/>
          <w:kern w:val="28"/>
          <w:sz w:val="28"/>
          <w:szCs w:val="28"/>
          <w:lang w:val="es-ES_tradnl" w:eastAsia="es-ES"/>
        </w:rPr>
        <w:t xml:space="preserve">el </w:t>
      </w:r>
      <w:r w:rsidRPr="000105E8">
        <w:rPr>
          <w:rFonts w:ascii="Arial" w:eastAsia="Times New Roman" w:hAnsi="Arial" w:cs="Arial"/>
          <w:kern w:val="28"/>
          <w:sz w:val="28"/>
          <w:szCs w:val="28"/>
          <w:lang w:val="es-ES_tradnl" w:eastAsia="es-ES"/>
        </w:rPr>
        <w:t>Plan del Centro de Población Estratégico de Población San Luis Potos</w:t>
      </w:r>
      <w:r>
        <w:rPr>
          <w:rFonts w:ascii="Arial" w:eastAsia="Times New Roman" w:hAnsi="Arial" w:cs="Arial"/>
          <w:kern w:val="28"/>
          <w:sz w:val="28"/>
          <w:szCs w:val="28"/>
          <w:lang w:val="es-ES_tradnl" w:eastAsia="es-ES"/>
        </w:rPr>
        <w:t>í - Soledad de Graciano Sánchez</w:t>
      </w:r>
      <w:r>
        <w:rPr>
          <w:rFonts w:ascii="Arial" w:hAnsi="Arial" w:cs="Arial"/>
          <w:sz w:val="28"/>
          <w:szCs w:val="28"/>
        </w:rPr>
        <w:t>, por los motivos expuestos por la Primera Sala Unitaria</w:t>
      </w:r>
      <w:r w:rsidR="00977CA4">
        <w:rPr>
          <w:rFonts w:ascii="Arial" w:hAnsi="Arial" w:cs="Arial"/>
          <w:sz w:val="28"/>
          <w:szCs w:val="28"/>
        </w:rPr>
        <w:t>.</w:t>
      </w:r>
    </w:p>
    <w:p w14:paraId="680C4EB9" w14:textId="77777777" w:rsidR="00177FB2" w:rsidRPr="00D02E04" w:rsidRDefault="00177FB2" w:rsidP="00D02E04">
      <w:pPr>
        <w:spacing w:after="0" w:line="360" w:lineRule="auto"/>
        <w:jc w:val="both"/>
        <w:rPr>
          <w:rFonts w:ascii="Arial" w:hAnsi="Arial" w:cs="Arial"/>
          <w:b/>
          <w:sz w:val="28"/>
          <w:szCs w:val="28"/>
        </w:rPr>
      </w:pPr>
    </w:p>
    <w:p w14:paraId="540AC283" w14:textId="0EBDA149" w:rsidR="00A422FE" w:rsidRDefault="003C2284" w:rsidP="00D02E04">
      <w:pPr>
        <w:spacing w:after="0" w:line="360" w:lineRule="auto"/>
        <w:ind w:firstLine="851"/>
        <w:jc w:val="both"/>
        <w:rPr>
          <w:rFonts w:ascii="Arial" w:hAnsi="Arial" w:cs="Arial"/>
          <w:i/>
          <w:sz w:val="28"/>
          <w:szCs w:val="28"/>
        </w:rPr>
      </w:pPr>
      <w:r w:rsidRPr="00D02E04">
        <w:rPr>
          <w:rFonts w:ascii="Arial" w:hAnsi="Arial" w:cs="Arial"/>
          <w:b/>
          <w:sz w:val="28"/>
          <w:szCs w:val="28"/>
        </w:rPr>
        <w:t>DÉCIMO. En estricto acato al fallo protector</w:t>
      </w:r>
      <w:r w:rsidR="00AD4D29" w:rsidRPr="00D02E04">
        <w:rPr>
          <w:rFonts w:ascii="Arial" w:hAnsi="Arial" w:cs="Arial"/>
          <w:b/>
          <w:sz w:val="28"/>
          <w:szCs w:val="28"/>
        </w:rPr>
        <w:t>, y t</w:t>
      </w:r>
      <w:r w:rsidRPr="00D02E04">
        <w:rPr>
          <w:rFonts w:ascii="Arial" w:hAnsi="Arial" w:cs="Arial"/>
          <w:b/>
          <w:sz w:val="28"/>
          <w:szCs w:val="28"/>
        </w:rPr>
        <w:t>oda vez que</w:t>
      </w:r>
      <w:r w:rsidR="00AD4D29" w:rsidRPr="00D02E04">
        <w:rPr>
          <w:rFonts w:ascii="Arial" w:hAnsi="Arial" w:cs="Arial"/>
          <w:b/>
          <w:sz w:val="28"/>
          <w:szCs w:val="28"/>
        </w:rPr>
        <w:t xml:space="preserve"> no fue materia de concesión </w:t>
      </w:r>
      <w:r w:rsidR="00A422FE" w:rsidRPr="00D02E04">
        <w:rPr>
          <w:rFonts w:ascii="Arial" w:hAnsi="Arial" w:cs="Arial"/>
          <w:b/>
          <w:sz w:val="28"/>
          <w:szCs w:val="28"/>
        </w:rPr>
        <w:t>de amparo, lo decidido en relación con la licencia de uso de suelo con número de folio DU Y CM/417/2020 de dieciséis de julio de dos mil veinte, emitida por el Director de Desarrollo Urbano y Catastro Municipal de Soledad de Graciano Sánchez, al decidir “</w:t>
      </w:r>
      <w:r w:rsidR="00A422FE" w:rsidRPr="00D02E04">
        <w:rPr>
          <w:rFonts w:ascii="Arial" w:hAnsi="Arial" w:cs="Arial"/>
          <w:i/>
          <w:sz w:val="28"/>
          <w:szCs w:val="28"/>
        </w:rPr>
        <w:t xml:space="preserve">En esa medida, resulta innecesario el análisis de los restantes conceptos de violación, en los que la quejosa combate las consideraciones que hizo la autoridad del diverso acto impugnado en el juicio de nulidad consistente en la licencia de uso de suelo con número de folio </w:t>
      </w:r>
      <w:r w:rsidR="0050127A">
        <w:rPr>
          <w:rFonts w:ascii="Arial" w:hAnsi="Arial" w:cs="Arial"/>
          <w:i/>
          <w:color w:val="FF0000"/>
          <w:sz w:val="28"/>
          <w:szCs w:val="28"/>
        </w:rPr>
        <w:t>**********</w:t>
      </w:r>
      <w:r w:rsidR="00A422FE" w:rsidRPr="00D02E04">
        <w:rPr>
          <w:rFonts w:ascii="Arial" w:hAnsi="Arial" w:cs="Arial"/>
          <w:i/>
          <w:sz w:val="28"/>
          <w:szCs w:val="28"/>
        </w:rPr>
        <w:t xml:space="preserve">/2020, de dieciséis de julio de dos mil veinte, emitida por el Director de </w:t>
      </w:r>
      <w:r w:rsidR="00A422FE" w:rsidRPr="00D02E04">
        <w:rPr>
          <w:rFonts w:ascii="Arial" w:hAnsi="Arial" w:cs="Arial"/>
          <w:i/>
          <w:sz w:val="28"/>
          <w:szCs w:val="28"/>
        </w:rPr>
        <w:lastRenderedPageBreak/>
        <w:t xml:space="preserve">Desarrollo Urbano y Catastro Municipal de Soledad de Graciano Sánchez, San Luis Potosí, porque el análisis que hizo la autoridad en relación a dicho acto, partió de la premisa de que l aquejosa consintió el Plan Estratégico de Población, San Luis Potosí – Soledad de Graciano Sánchez, y por tanto, ante la concesión del amparo, dichas consideraciones quedan sin efecto.” </w:t>
      </w:r>
    </w:p>
    <w:p w14:paraId="22A95F1F" w14:textId="77777777" w:rsidR="00790E42" w:rsidRPr="00D02E04" w:rsidRDefault="00790E42" w:rsidP="00D02E04">
      <w:pPr>
        <w:spacing w:after="0" w:line="360" w:lineRule="auto"/>
        <w:ind w:firstLine="851"/>
        <w:jc w:val="both"/>
        <w:rPr>
          <w:rFonts w:ascii="Arial" w:hAnsi="Arial" w:cs="Arial"/>
          <w:i/>
          <w:sz w:val="28"/>
          <w:szCs w:val="28"/>
        </w:rPr>
      </w:pPr>
    </w:p>
    <w:p w14:paraId="557D9D13" w14:textId="26F525B9" w:rsidR="003C2284" w:rsidRDefault="00A422FE" w:rsidP="00D02E04">
      <w:pPr>
        <w:spacing w:after="0" w:line="360" w:lineRule="auto"/>
        <w:ind w:firstLine="708"/>
        <w:jc w:val="both"/>
        <w:rPr>
          <w:rFonts w:ascii="Arial" w:hAnsi="Arial" w:cs="Arial"/>
          <w:sz w:val="28"/>
          <w:szCs w:val="28"/>
        </w:rPr>
      </w:pPr>
      <w:r w:rsidRPr="00D02E04">
        <w:rPr>
          <w:rFonts w:ascii="Arial" w:hAnsi="Arial" w:cs="Arial"/>
          <w:sz w:val="28"/>
          <w:szCs w:val="28"/>
        </w:rPr>
        <w:t>Este tribunal de alzada</w:t>
      </w:r>
      <w:r w:rsidR="00DD3965" w:rsidRPr="00D02E04">
        <w:rPr>
          <w:rFonts w:ascii="Arial" w:hAnsi="Arial" w:cs="Arial"/>
          <w:sz w:val="28"/>
          <w:szCs w:val="28"/>
        </w:rPr>
        <w:t xml:space="preserve">, </w:t>
      </w:r>
      <w:r w:rsidRPr="00D02E04">
        <w:rPr>
          <w:rFonts w:ascii="Arial" w:hAnsi="Arial" w:cs="Arial"/>
          <w:sz w:val="28"/>
          <w:szCs w:val="28"/>
        </w:rPr>
        <w:t xml:space="preserve">procede a resolver respecto de </w:t>
      </w:r>
      <w:r w:rsidR="001060AB" w:rsidRPr="00D02E04">
        <w:rPr>
          <w:rFonts w:ascii="Arial" w:hAnsi="Arial" w:cs="Arial"/>
          <w:sz w:val="28"/>
          <w:szCs w:val="28"/>
        </w:rPr>
        <w:t xml:space="preserve">la determinación </w:t>
      </w:r>
      <w:r w:rsidRPr="00D02E04">
        <w:rPr>
          <w:rFonts w:ascii="Arial" w:hAnsi="Arial" w:cs="Arial"/>
          <w:sz w:val="28"/>
          <w:szCs w:val="28"/>
        </w:rPr>
        <w:t>que hizo valer la Resolutora primigenia y que son materia de impugnación por la actora en el juicio génesis,</w:t>
      </w:r>
      <w:r w:rsidR="001060AB" w:rsidRPr="00D02E04">
        <w:rPr>
          <w:rFonts w:ascii="Arial" w:hAnsi="Arial" w:cs="Arial"/>
          <w:sz w:val="28"/>
          <w:szCs w:val="28"/>
        </w:rPr>
        <w:t xml:space="preserve"> respecto de lo cual en el </w:t>
      </w:r>
      <w:r w:rsidR="003C2284" w:rsidRPr="00D02E04">
        <w:rPr>
          <w:rFonts w:ascii="Arial" w:hAnsi="Arial" w:cs="Arial"/>
          <w:b/>
          <w:sz w:val="28"/>
          <w:szCs w:val="28"/>
        </w:rPr>
        <w:t xml:space="preserve">agravio identificado como tercero respecto de la indebida fundamentación y motivación hecha valer por la Sala </w:t>
      </w:r>
      <w:r w:rsidR="003C2284" w:rsidRPr="00D02E04">
        <w:rPr>
          <w:rFonts w:ascii="Arial" w:hAnsi="Arial" w:cs="Arial"/>
          <w:b/>
          <w:i/>
          <w:sz w:val="28"/>
          <w:szCs w:val="28"/>
        </w:rPr>
        <w:t>A quo</w:t>
      </w:r>
      <w:r w:rsidR="003C2284" w:rsidRPr="00D02E04">
        <w:rPr>
          <w:rFonts w:ascii="Arial" w:hAnsi="Arial" w:cs="Arial"/>
          <w:b/>
          <w:sz w:val="28"/>
          <w:szCs w:val="28"/>
        </w:rPr>
        <w:t xml:space="preserve">, en relación con la </w:t>
      </w:r>
      <w:r w:rsidR="00DD3965" w:rsidRPr="00D02E04">
        <w:rPr>
          <w:rFonts w:ascii="Arial" w:hAnsi="Arial" w:cs="Arial"/>
          <w:b/>
          <w:sz w:val="28"/>
          <w:szCs w:val="28"/>
        </w:rPr>
        <w:t>l</w:t>
      </w:r>
      <w:r w:rsidR="003C2284" w:rsidRPr="00D02E04">
        <w:rPr>
          <w:rFonts w:ascii="Arial" w:hAnsi="Arial" w:cs="Arial"/>
          <w:b/>
          <w:sz w:val="28"/>
          <w:szCs w:val="28"/>
        </w:rPr>
        <w:t xml:space="preserve">icencia de </w:t>
      </w:r>
      <w:r w:rsidR="00DD3965" w:rsidRPr="00D02E04">
        <w:rPr>
          <w:rFonts w:ascii="Arial" w:hAnsi="Arial" w:cs="Arial"/>
          <w:b/>
          <w:sz w:val="28"/>
          <w:szCs w:val="28"/>
        </w:rPr>
        <w:t>u</w:t>
      </w:r>
      <w:r w:rsidR="003C2284" w:rsidRPr="00D02E04">
        <w:rPr>
          <w:rFonts w:ascii="Arial" w:hAnsi="Arial" w:cs="Arial"/>
          <w:b/>
          <w:sz w:val="28"/>
          <w:szCs w:val="28"/>
        </w:rPr>
        <w:t xml:space="preserve">so de </w:t>
      </w:r>
      <w:r w:rsidR="00DD3965" w:rsidRPr="00D02E04">
        <w:rPr>
          <w:rFonts w:ascii="Arial" w:hAnsi="Arial" w:cs="Arial"/>
          <w:b/>
          <w:sz w:val="28"/>
          <w:szCs w:val="28"/>
        </w:rPr>
        <w:t>s</w:t>
      </w:r>
      <w:r w:rsidR="003C2284" w:rsidRPr="00D02E04">
        <w:rPr>
          <w:rFonts w:ascii="Arial" w:hAnsi="Arial" w:cs="Arial"/>
          <w:b/>
          <w:sz w:val="28"/>
          <w:szCs w:val="28"/>
        </w:rPr>
        <w:t xml:space="preserve">uelo con número de folio </w:t>
      </w:r>
      <w:r w:rsidR="0050127A">
        <w:rPr>
          <w:rFonts w:ascii="Arial" w:hAnsi="Arial" w:cs="Arial"/>
          <w:b/>
          <w:color w:val="FF0000"/>
          <w:sz w:val="28"/>
          <w:szCs w:val="28"/>
        </w:rPr>
        <w:t>**********</w:t>
      </w:r>
      <w:r w:rsidR="003C2284" w:rsidRPr="00D02E04">
        <w:rPr>
          <w:rFonts w:ascii="Arial" w:hAnsi="Arial" w:cs="Arial"/>
          <w:b/>
          <w:sz w:val="28"/>
          <w:szCs w:val="28"/>
        </w:rPr>
        <w:t>de dieciséis de julio de dos mil veinte, emitida por el Director de Desarrollo Urbano y Catastro Municipal de Soledad de Graciano Sánchez</w:t>
      </w:r>
      <w:r w:rsidR="001060AB" w:rsidRPr="00D02E04">
        <w:rPr>
          <w:rFonts w:ascii="Arial" w:hAnsi="Arial" w:cs="Arial"/>
          <w:b/>
          <w:sz w:val="28"/>
          <w:szCs w:val="28"/>
        </w:rPr>
        <w:t xml:space="preserve">, </w:t>
      </w:r>
      <w:r w:rsidR="001060AB" w:rsidRPr="00D02E04">
        <w:rPr>
          <w:rFonts w:ascii="Arial" w:hAnsi="Arial" w:cs="Arial"/>
          <w:sz w:val="28"/>
          <w:szCs w:val="28"/>
        </w:rPr>
        <w:t>l</w:t>
      </w:r>
      <w:r w:rsidR="003C2284" w:rsidRPr="00D02E04">
        <w:rPr>
          <w:rFonts w:ascii="Arial" w:hAnsi="Arial" w:cs="Arial"/>
          <w:sz w:val="28"/>
          <w:szCs w:val="28"/>
        </w:rPr>
        <w:t xml:space="preserve">a actora aduce que la Sala del conocimiento partió de una premisa equivocada en el sentido de que el Plan del Centro de Población Estratégico San Luis Potosí Soledad de Graciano Sánchez es correcto, y fue debidamente aplicado por la autoridad demandada, al considerar que el uso de suelo aplicable al inmueble de </w:t>
      </w:r>
      <w:r w:rsidR="00DD3965" w:rsidRPr="00D02E04">
        <w:rPr>
          <w:rFonts w:ascii="Arial" w:hAnsi="Arial" w:cs="Arial"/>
          <w:sz w:val="28"/>
          <w:szCs w:val="28"/>
        </w:rPr>
        <w:t xml:space="preserve">su </w:t>
      </w:r>
      <w:r w:rsidR="003C2284" w:rsidRPr="00D02E04">
        <w:rPr>
          <w:rFonts w:ascii="Arial" w:hAnsi="Arial" w:cs="Arial"/>
          <w:sz w:val="28"/>
          <w:szCs w:val="28"/>
        </w:rPr>
        <w:t>mandante es “agroindustrial”, no así “agropecuario”, y esgrime al respecto substancialmente lo siguiente:</w:t>
      </w:r>
    </w:p>
    <w:p w14:paraId="56B2FF7A" w14:textId="77777777" w:rsidR="00790E42" w:rsidRPr="00D02E04" w:rsidRDefault="00790E42" w:rsidP="00D02E04">
      <w:pPr>
        <w:spacing w:after="0" w:line="360" w:lineRule="auto"/>
        <w:ind w:firstLine="708"/>
        <w:jc w:val="both"/>
        <w:rPr>
          <w:rFonts w:ascii="Arial" w:hAnsi="Arial" w:cs="Arial"/>
          <w:sz w:val="28"/>
          <w:szCs w:val="28"/>
        </w:rPr>
      </w:pPr>
    </w:p>
    <w:p w14:paraId="4EFFB898" w14:textId="2B7D5CA3"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De una revisión que se realice a lo sustentado en el escrito inicial de demanda, se desprende que la Licencia de Uso de Suelo con número de folio </w:t>
      </w:r>
      <w:r w:rsidR="0050127A">
        <w:rPr>
          <w:rFonts w:ascii="Arial" w:hAnsi="Arial" w:cs="Arial"/>
          <w:color w:val="FF0000"/>
          <w:sz w:val="28"/>
          <w:szCs w:val="28"/>
        </w:rPr>
        <w:t>**********</w:t>
      </w:r>
      <w:r w:rsidRPr="00D02E04">
        <w:rPr>
          <w:rFonts w:ascii="Arial" w:hAnsi="Arial" w:cs="Arial"/>
          <w:sz w:val="28"/>
          <w:szCs w:val="28"/>
        </w:rPr>
        <w:t>de dieciséis de julio de dos mil veinte fue impugnada toda vez que deriva de la aplicación del Plan controvertido bajo una ilegal interpretación que la propia demandada hizo.</w:t>
      </w:r>
    </w:p>
    <w:p w14:paraId="43597F21"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El Plan del Centro de Población Estratégico San Luis Potosí Soledad de Graciano Sánchez no se encuentra sujeto a los principios de legalidad y seguridad jurídica, en </w:t>
      </w:r>
      <w:r w:rsidRPr="00D02E04">
        <w:rPr>
          <w:rFonts w:ascii="Arial" w:hAnsi="Arial" w:cs="Arial"/>
          <w:sz w:val="28"/>
          <w:szCs w:val="28"/>
        </w:rPr>
        <w:lastRenderedPageBreak/>
        <w:t>la medida en que dicho ordenamiento considera a la actividad de “granjas avícolas” como parte del Grupo de “Industria”, subgrupo “Agroindustria”, no obstante de la definición y alcance de lo que el propio Plan señala como “Agroindustria”, tenemos que resulta incompatible con la finalidad y actividades desarrolladas en una “granja avícola”.</w:t>
      </w:r>
    </w:p>
    <w:p w14:paraId="5B6EDBA5" w14:textId="5551FF35"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En términos de lo anterior, es claro que la sentencia recurrida resulta ilegal, pues se perdió de vista que el análisis de legalidad de la Licencia de Uso de Suelo de Funcionamiento con número de folio </w:t>
      </w:r>
      <w:r w:rsidR="0050127A">
        <w:rPr>
          <w:rFonts w:ascii="Arial" w:hAnsi="Arial" w:cs="Arial"/>
          <w:color w:val="FF0000"/>
          <w:sz w:val="28"/>
          <w:szCs w:val="28"/>
        </w:rPr>
        <w:t>**********</w:t>
      </w:r>
      <w:r w:rsidRPr="00D02E04">
        <w:rPr>
          <w:rFonts w:ascii="Arial" w:hAnsi="Arial" w:cs="Arial"/>
          <w:sz w:val="28"/>
          <w:szCs w:val="28"/>
        </w:rPr>
        <w:t>de dieciséis de julio de dos mil veinte, necesariamente se encontraba vinculada al análisis de legalidad del Plan del Centro de Población Estratégico San Luis Potosí Soledad de Graciano Sánchez.</w:t>
      </w:r>
    </w:p>
    <w:p w14:paraId="46ED2DCB" w14:textId="505015C9"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También aduce que la sentencia recurrida se encuentra equivocada al  señalar que la Licencia de Uso de Suelo con número de folio </w:t>
      </w:r>
      <w:r w:rsidR="0050127A">
        <w:rPr>
          <w:rFonts w:ascii="Arial" w:hAnsi="Arial" w:cs="Arial"/>
          <w:color w:val="FF0000"/>
          <w:sz w:val="28"/>
          <w:szCs w:val="28"/>
        </w:rPr>
        <w:t>**********</w:t>
      </w:r>
      <w:r w:rsidRPr="00D02E04">
        <w:rPr>
          <w:rFonts w:ascii="Arial" w:hAnsi="Arial" w:cs="Arial"/>
          <w:sz w:val="28"/>
          <w:szCs w:val="28"/>
        </w:rPr>
        <w:t>no viola en su perjuicio el principio de confianza legítima, porque en aplicación del Plan del Centro de Población Estratégico San Luis Potosí - Soledad de Graciano Sánchez, la autoridad demandada: i) Desconoció la actividad que ha venido desempeñando en el predio de su propiedad desde 1994 como granja de producción avícola; y ii) Pretende encuadrarla como uso de suelo agroindustrial, mismo que es incompatible con la actividad que realiza.</w:t>
      </w:r>
    </w:p>
    <w:p w14:paraId="1402B152"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No pasa inadvertido lo sustentado por la Sala de origen quien expuso que no se exhibió constancia alguna de la cual se desprenda que siempre había sido clasificada como una actividad “agropecuaria” y nunca </w:t>
      </w:r>
      <w:r w:rsidRPr="00D02E04">
        <w:rPr>
          <w:rFonts w:ascii="Arial" w:hAnsi="Arial" w:cs="Arial"/>
          <w:sz w:val="28"/>
          <w:szCs w:val="28"/>
        </w:rPr>
        <w:lastRenderedPageBreak/>
        <w:t>“Agroindustrial”; sin embargo, se podrá advertir dicha circunstancia, con el material probatorio mismo, en la medida en que sí demostró que el uso de suelo que le corresponde es el agropecuario.</w:t>
      </w:r>
    </w:p>
    <w:p w14:paraId="465951D5"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Ha demostrado dentro del juicio que desarrolla una actividad agropecuaria en el predio de su propiedad consistente en fungir como una granja de producción avícola, la cual siempre ha sido clasificada como una actividad agropecuaria y nunca industrial.</w:t>
      </w:r>
    </w:p>
    <w:p w14:paraId="6BA53750"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Esta actividad únicamente se desarrolla en zonas rústicas, como incluso lo reconoce el propio Plan del Centro de Población Estratégico San Luis Potosí Soledad de Graciano Sánchez al catalogar estas áreas como no urbanizables y zonas de aprovechamiento de recursos naturales.</w:t>
      </w:r>
    </w:p>
    <w:p w14:paraId="3C47D739"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Lo que es más, este tipo de áreas no urbanizables corresponden a las actividades del sector primario de manera permanente, por lo que las mismas no pueden ser utilizadas por las industrias, tal y como se desprende del propio Plan.</w:t>
      </w:r>
    </w:p>
    <w:p w14:paraId="2B18738F"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Es por ello, que dice que modificar un uso de suelo o las características del suelo del inmueble de mi mandante haría incompatible que pueda llevar a cabo su actividad.</w:t>
      </w:r>
    </w:p>
    <w:p w14:paraId="64160439"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Esta situación incluso se reconoce en el propio Plan del Centro de Población Estratégico San Luis Potosí Soledad de Graciano Sánchez, en donde se reconoce que agroindustria se encuentra relacionada con el proceso de alimentos, como lo es el procesamiento de alimento de ganado o para el consumo humano. </w:t>
      </w:r>
    </w:p>
    <w:p w14:paraId="3BACDF4A"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Tomando esto como referencia, resulta ilegal que la Sala considere que no exhibió constancia alguna de la cual se desprenda que siempre había sido clasificada como una actividad “agropecuaria” y nunca “industrial”. Ello, si se considera que ofreció en el juicio contencioso las </w:t>
      </w:r>
      <w:r w:rsidRPr="00D02E04">
        <w:rPr>
          <w:rFonts w:ascii="Arial" w:hAnsi="Arial" w:cs="Arial"/>
          <w:sz w:val="28"/>
          <w:szCs w:val="28"/>
        </w:rPr>
        <w:lastRenderedPageBreak/>
        <w:t>siguientes documentales, que acreditan que siempre ha sido considerada su actividad como agropecuaria:</w:t>
      </w:r>
      <w:r w:rsidRPr="00D02E04">
        <w:rPr>
          <w:rFonts w:ascii="Arial" w:hAnsi="Arial" w:cs="Arial"/>
          <w:sz w:val="28"/>
          <w:szCs w:val="28"/>
        </w:rPr>
        <w:tab/>
      </w:r>
    </w:p>
    <w:p w14:paraId="71FEF8E4" w14:textId="3503D2B2"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1. Copia certificada de la Licencia de Uso de Suelo de Funcionamiento con número de folio </w:t>
      </w:r>
      <w:r w:rsidR="0050127A">
        <w:rPr>
          <w:rFonts w:ascii="Arial" w:hAnsi="Arial" w:cs="Arial"/>
          <w:color w:val="FF0000"/>
          <w:sz w:val="28"/>
          <w:szCs w:val="28"/>
        </w:rPr>
        <w:t>**********</w:t>
      </w:r>
      <w:r w:rsidRPr="00D02E04">
        <w:rPr>
          <w:rFonts w:ascii="Arial" w:hAnsi="Arial" w:cs="Arial"/>
          <w:sz w:val="28"/>
          <w:szCs w:val="28"/>
        </w:rPr>
        <w:t>de dieciséis de julio de dos mil veinte, emitida por el Director de Desarrollo Urbano y Catastro Municipal del Municipio de Soledad de Graciano Sánchez de San Luis Potosí. En relación con esta documental, la Sala de origen perdió de vista al emitirse una Licencia de Uso de Suelo, se demuestra que hubo un cambio en el uso de suelo en el predio de la actora, diverso con el que inicialmente contaba.</w:t>
      </w:r>
    </w:p>
    <w:p w14:paraId="5D9F28F4"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2. Copia certificada de la escritura pública levantada el veintitrés de abril de mil novecientos noventa y cuatro, ante la Fe del Notario Público número 14 de la Ciudad de San Luis Potosí, SLP., de la que se desprende la protocolización del contrato de compra venta a través del cual la actora adquirió el inmueble materia de la presente controversia, ubicado en el Municipio de Soledad de Graciano Sánchez, S.L.P., y en la cual se estableció que el destino que se le daría al inmueble (y que actualmente se le ha venido dando), es para la producción avícola.</w:t>
      </w:r>
    </w:p>
    <w:p w14:paraId="3DF308A9"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3. Cédula de identificación Fiscal, de la cual se desprende que la actividad preponderante es precisamente la cría y engorda de aves de corral para venta de su carne.</w:t>
      </w:r>
    </w:p>
    <w:p w14:paraId="2FA00414"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4. Copia certificada de las fichas de registro de unidades de producción avícola, ante la Servicio Nacional de Sanidad, Inocuidad y Calidad Agroalimentaria (SENASICA) de la Secretaría de Agricultura y Desarrollo </w:t>
      </w:r>
      <w:r w:rsidRPr="00D02E04">
        <w:rPr>
          <w:rFonts w:ascii="Arial" w:hAnsi="Arial" w:cs="Arial"/>
          <w:sz w:val="28"/>
          <w:szCs w:val="28"/>
        </w:rPr>
        <w:lastRenderedPageBreak/>
        <w:t>Rural, de las cuales se advierte el registro de las granjas, para producción avícola.</w:t>
      </w:r>
    </w:p>
    <w:p w14:paraId="28C92E16" w14:textId="7704EF8C"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5. Copia certificada de los Vistos Buenos y Dictámenes de Seguridad emitidos el seis de junio de dos mil diecinueve por el Director General de la Unidad Municipal de Protección Civil del Municipio de Soledad de Graciano Sánchez respecto de las granjas de engorda que se encuentran  dentro del inmueble de mi mandante, mismas que</w:t>
      </w:r>
      <w:r w:rsidRPr="00D02E04">
        <w:rPr>
          <w:rFonts w:ascii="Arial" w:hAnsi="Arial" w:cs="Arial"/>
          <w:sz w:val="28"/>
          <w:szCs w:val="28"/>
        </w:rPr>
        <w:tab/>
        <w:t xml:space="preserve">se encuentran registradas con los números </w:t>
      </w:r>
      <w:r w:rsidR="0050127A">
        <w:rPr>
          <w:rFonts w:ascii="Arial" w:hAnsi="Arial" w:cs="Arial"/>
          <w:color w:val="FF0000"/>
          <w:sz w:val="28"/>
          <w:szCs w:val="28"/>
        </w:rPr>
        <w:t>**********</w:t>
      </w:r>
      <w:r w:rsidRPr="00D02E04">
        <w:rPr>
          <w:rFonts w:ascii="Arial" w:hAnsi="Arial" w:cs="Arial"/>
          <w:sz w:val="28"/>
          <w:szCs w:val="28"/>
        </w:rPr>
        <w:t>, en donde se establece como actividad la "crianza de pollos para engorda”.</w:t>
      </w:r>
    </w:p>
    <w:p w14:paraId="48F9CC05" w14:textId="6B100124"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6. Copia certificada de la Constancia de Carácter Administrativo para Establecimiento, Obras y Servicios de Significativo Impacto Ambiental, emitidos a las Granjas de Pollo </w:t>
      </w:r>
      <w:r w:rsidR="0050127A">
        <w:rPr>
          <w:rFonts w:ascii="Arial" w:hAnsi="Arial" w:cs="Arial"/>
          <w:color w:val="FF0000"/>
          <w:sz w:val="28"/>
          <w:szCs w:val="28"/>
        </w:rPr>
        <w:t>**********</w:t>
      </w:r>
      <w:r w:rsidRPr="00D02E04">
        <w:rPr>
          <w:rFonts w:ascii="Arial" w:hAnsi="Arial" w:cs="Arial"/>
          <w:sz w:val="28"/>
          <w:szCs w:val="28"/>
        </w:rPr>
        <w:t>ubicadas en el inmueble de mi mandante, emitida por la Directora de Ecología del H. Ayuntamiento de Soledad de Graciano Sánchez, S.L.P.</w:t>
      </w:r>
    </w:p>
    <w:p w14:paraId="3214C757" w14:textId="4A403F6B"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7. Copia certificada del Dictamen de Seguridad en Riesgo e Infracciones Contra Incendio número </w:t>
      </w:r>
      <w:r w:rsidR="0050127A">
        <w:rPr>
          <w:rFonts w:ascii="Arial" w:hAnsi="Arial" w:cs="Arial"/>
          <w:color w:val="FF0000"/>
          <w:sz w:val="28"/>
          <w:szCs w:val="28"/>
        </w:rPr>
        <w:t>**********</w:t>
      </w:r>
      <w:r w:rsidRPr="00D02E04">
        <w:rPr>
          <w:rFonts w:ascii="Arial" w:hAnsi="Arial" w:cs="Arial"/>
          <w:sz w:val="28"/>
          <w:szCs w:val="28"/>
        </w:rPr>
        <w:t>, de diecinueve de febrero de dos mil diecinueve, emitido por el Departamento de Inspección y Prevención de Incendios del Cuerpo de Bomberos Metropolitanos de la Ciudad de San Luis Potosí, respecto de las granjas ubicadas en el inmueble.</w:t>
      </w:r>
    </w:p>
    <w:p w14:paraId="6230212E"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8. Prueba de inspección que tuvo por objeto generar convicción en la Sala A quo, que la actividad que desarrolla la actora dentro del predio que nos ocupa, consiste en una actividad </w:t>
      </w:r>
      <w:r w:rsidRPr="00D02E04">
        <w:rPr>
          <w:rFonts w:ascii="Arial" w:hAnsi="Arial" w:cs="Arial"/>
          <w:sz w:val="28"/>
          <w:szCs w:val="28"/>
        </w:rPr>
        <w:tab/>
        <w:t>agropecuaria y no así de tipo agroindustrial. En dicha inspección sustancialmente funcionarios de la Sala de origen plasmaron que no se ejecutaban actividades relacionadas con la industria y agroindustria, sino únicamente se realiza una actividad agropecuaria consistente en la cría y engorda de pollos.</w:t>
      </w:r>
    </w:p>
    <w:p w14:paraId="6B75D3F9"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Así se acreditó fehacientemente que su uso de suelo siempre había sido clasificado como de tipo agropecuario, </w:t>
      </w:r>
      <w:r w:rsidRPr="00D02E04">
        <w:rPr>
          <w:rFonts w:ascii="Arial" w:hAnsi="Arial" w:cs="Arial"/>
          <w:sz w:val="28"/>
          <w:szCs w:val="28"/>
        </w:rPr>
        <w:lastRenderedPageBreak/>
        <w:t>y no así de tipo agroindustrial, lo que fue superficialmente analizado por la Sala de origen.</w:t>
      </w:r>
    </w:p>
    <w:p w14:paraId="2251F7BD"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Que además, el actuar de la autoridad demandada, validado por la Sala de origen, desconoce derechos adquiridos con los que cuenta, al tomar en cuenta que veinticinco años después de que iniciara su actividad como granja de producción agrícola en el predio que es de su propiedad, sea hasta este momento en donde se le desconozca la actividad que ejecuta, y en consecuencia lo que ya consiste en un derecho adquirido.</w:t>
      </w:r>
      <w:r w:rsidRPr="00D02E04">
        <w:rPr>
          <w:rFonts w:ascii="Arial" w:hAnsi="Arial" w:cs="Arial"/>
          <w:sz w:val="28"/>
          <w:szCs w:val="28"/>
        </w:rPr>
        <w:tab/>
      </w:r>
    </w:p>
    <w:p w14:paraId="3D99BFF0"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Más aún, tomando en consideración que el predio de su mandante se encuentra ubicado en un área considerada como silvestre (compatible con usos de suelo agropecuarios), siendo evidente que la misma se encuentra en una zona de aprovechamiento de recursos naturales, zonas en las cuales conforme al mismo Plan se encuentran las Zonas de Granjas y Huertos.</w:t>
      </w:r>
    </w:p>
    <w:p w14:paraId="4E652F75" w14:textId="77777777"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Considera aplicables al caso los criterios de rubro: “</w:t>
      </w:r>
      <w:r w:rsidRPr="00D02E04">
        <w:rPr>
          <w:rFonts w:ascii="Arial" w:hAnsi="Arial" w:cs="Arial"/>
          <w:i/>
          <w:sz w:val="28"/>
          <w:szCs w:val="28"/>
        </w:rPr>
        <w:t>CONSTANCIA</w:t>
      </w:r>
      <w:r w:rsidRPr="00D02E04">
        <w:rPr>
          <w:rFonts w:ascii="Arial" w:hAnsi="Arial" w:cs="Arial"/>
          <w:i/>
          <w:sz w:val="28"/>
          <w:szCs w:val="28"/>
        </w:rPr>
        <w:tab/>
        <w:t>DE</w:t>
      </w:r>
      <w:r w:rsidRPr="00D02E04">
        <w:rPr>
          <w:rFonts w:ascii="Arial" w:hAnsi="Arial" w:cs="Arial"/>
          <w:i/>
          <w:sz w:val="28"/>
          <w:szCs w:val="28"/>
        </w:rPr>
        <w:tab/>
        <w:t>USO</w:t>
      </w:r>
      <w:r w:rsidRPr="00D02E04">
        <w:rPr>
          <w:rFonts w:ascii="Arial" w:hAnsi="Arial" w:cs="Arial"/>
          <w:i/>
          <w:sz w:val="28"/>
          <w:szCs w:val="28"/>
        </w:rPr>
        <w:tab/>
        <w:t>DE</w:t>
      </w:r>
      <w:r w:rsidRPr="00D02E04">
        <w:rPr>
          <w:rFonts w:ascii="Arial" w:hAnsi="Arial" w:cs="Arial"/>
          <w:i/>
          <w:sz w:val="28"/>
          <w:szCs w:val="28"/>
        </w:rPr>
        <w:tab/>
        <w:t>SUELO POR DERECHOS ADQUIRIDOS. SU PERMANENCIA ESTÁ SUJETA A QUE PERSISTAN CIERTAS CONDICIONES PRESENTES CUANDO SE OTORGA, MISMAS QUE, DE MODIFICARSE O INTERRUMPIRSE, CONLLEVAN LA PÉRDIDA DE EFICACIA JURÍDICA E IMPIDEN QUE SIRVAN DE BASE PARA LA AUTORIZACIÓN DE CONSTRUCCIONES O APROVECHAMIENTOS</w:t>
      </w:r>
      <w:r w:rsidRPr="00D02E04">
        <w:rPr>
          <w:rFonts w:ascii="Arial" w:hAnsi="Arial" w:cs="Arial"/>
          <w:sz w:val="28"/>
          <w:szCs w:val="28"/>
        </w:rPr>
        <w:t xml:space="preserve">”. De la tesis transcrita se puede  desprender que un derecho adquirido podrá permanecer, en la medida en la que las condiciones de hecho específicas y concretas que le dieron sustento, persistan desde su reconocimiento, lo </w:t>
      </w:r>
      <w:r w:rsidRPr="00D02E04">
        <w:rPr>
          <w:rFonts w:ascii="Arial" w:hAnsi="Arial" w:cs="Arial"/>
          <w:sz w:val="28"/>
          <w:szCs w:val="28"/>
        </w:rPr>
        <w:lastRenderedPageBreak/>
        <w:t>cual acontece en el caso particular, si se considera que su mandante desde hace veinticinco años desarrolla una actividad avícola en su inmueble por ser compatible la misma para su desempeño en un área silvestre, es claro que las condiciones actuales no se han visto modificadas, pues en función de la legislación vigente, una actividad avícola resulta compatible con un área silvestre.</w:t>
      </w:r>
    </w:p>
    <w:p w14:paraId="1ADA6A1B" w14:textId="7B433BFC" w:rsidR="003C2284" w:rsidRPr="00D02E04" w:rsidRDefault="003C2284" w:rsidP="00D02E04">
      <w:pPr>
        <w:pStyle w:val="Prrafodelista"/>
        <w:numPr>
          <w:ilvl w:val="0"/>
          <w:numId w:val="5"/>
        </w:numPr>
        <w:spacing w:after="0" w:line="360" w:lineRule="auto"/>
        <w:jc w:val="both"/>
        <w:rPr>
          <w:rFonts w:ascii="Arial" w:hAnsi="Arial" w:cs="Arial"/>
          <w:sz w:val="28"/>
          <w:szCs w:val="28"/>
        </w:rPr>
      </w:pPr>
      <w:r w:rsidRPr="00D02E04">
        <w:rPr>
          <w:rFonts w:ascii="Arial" w:hAnsi="Arial" w:cs="Arial"/>
          <w:sz w:val="28"/>
          <w:szCs w:val="28"/>
        </w:rPr>
        <w:t xml:space="preserve">En virtud de lo anterior, una vez demostrada la ilegalidad de la sentencia recurrida, lo procedente será que se revoque y con fundamento en lo dispuesto por los artículos 250, fracción IV, 251 y 252 del Código Procesal Administrativo para el Estado de San Luis Potosí, se declare la nulidad lisa y llana de los actos impugnados, y se reconozca que al predio ubicado en la </w:t>
      </w:r>
      <w:r w:rsidR="0050127A">
        <w:rPr>
          <w:rFonts w:ascii="Arial" w:hAnsi="Arial" w:cs="Arial"/>
          <w:color w:val="FF0000"/>
          <w:sz w:val="28"/>
          <w:szCs w:val="28"/>
        </w:rPr>
        <w:t>**********</w:t>
      </w:r>
      <w:r w:rsidRPr="00D02E04">
        <w:rPr>
          <w:rFonts w:ascii="Arial" w:hAnsi="Arial" w:cs="Arial"/>
          <w:sz w:val="28"/>
          <w:szCs w:val="28"/>
        </w:rPr>
        <w:t>, le corresponde un uso de suelo “agropecuario”, compatible con el área silvestre en la que se encuentra ubicado, ordenando devolver las cantidades que su representada tuvo que erogar por un cambio de uso de suelo que resulta ilegal, y que se considere para efectos de la emisión de cualquier tipo de permisos y/o Licencias, que mi mandante realiza actividades “agropecuarias”, no así “agroindustriales” o “comerciales”.</w:t>
      </w:r>
    </w:p>
    <w:p w14:paraId="2BFFD5A5" w14:textId="77777777" w:rsidR="00790E42" w:rsidRDefault="00790E42" w:rsidP="00D02E04">
      <w:pPr>
        <w:spacing w:after="0" w:line="360" w:lineRule="auto"/>
        <w:ind w:firstLine="709"/>
        <w:jc w:val="both"/>
        <w:rPr>
          <w:rFonts w:ascii="Arial" w:hAnsi="Arial" w:cs="Arial"/>
          <w:sz w:val="28"/>
          <w:szCs w:val="28"/>
        </w:rPr>
      </w:pPr>
    </w:p>
    <w:p w14:paraId="4825560A" w14:textId="77777777" w:rsidR="003C2284" w:rsidRPr="00D02E04" w:rsidRDefault="003C2284" w:rsidP="00D02E04">
      <w:pPr>
        <w:spacing w:after="0" w:line="360" w:lineRule="auto"/>
        <w:ind w:firstLine="709"/>
        <w:jc w:val="both"/>
        <w:rPr>
          <w:rFonts w:ascii="Arial" w:hAnsi="Arial" w:cs="Arial"/>
          <w:sz w:val="28"/>
          <w:szCs w:val="28"/>
        </w:rPr>
      </w:pPr>
      <w:r w:rsidRPr="00D02E04">
        <w:rPr>
          <w:rFonts w:ascii="Arial" w:hAnsi="Arial" w:cs="Arial"/>
          <w:sz w:val="28"/>
          <w:szCs w:val="28"/>
        </w:rPr>
        <w:t>Inicialmente debe dejarse establecido que en este apartado se analizaran los agravios bajo la perspectiva de legalidad, no teniendo como acto impugnado el Plan del Centro de Población Estratégico San Luis Potosí-Soledad de Graciano Sánchez publicado en el Periódico Oficial el veintiuno de agosto de dos mil tres, sino sólo su interpretación y aplicación por la autoridad demandada, ya que como quedó establecido en el considerando anterior se sobreseyó con respecto a dicho Plan.</w:t>
      </w:r>
    </w:p>
    <w:p w14:paraId="10B3EB1E" w14:textId="77777777" w:rsidR="00790E42" w:rsidRDefault="00790E42" w:rsidP="00D02E04">
      <w:pPr>
        <w:spacing w:after="0" w:line="360" w:lineRule="auto"/>
        <w:ind w:firstLine="708"/>
        <w:jc w:val="both"/>
        <w:rPr>
          <w:rFonts w:ascii="Arial" w:eastAsia="Times New Roman" w:hAnsi="Arial" w:cs="Arial"/>
          <w:sz w:val="28"/>
          <w:szCs w:val="28"/>
          <w:lang w:val="es-ES" w:eastAsia="es-ES"/>
        </w:rPr>
      </w:pPr>
    </w:p>
    <w:p w14:paraId="614F9F02" w14:textId="46940A02" w:rsidR="00790E42" w:rsidRPr="00D02E04" w:rsidRDefault="003C2284" w:rsidP="00790E42">
      <w:pPr>
        <w:spacing w:after="0" w:line="360" w:lineRule="auto"/>
        <w:ind w:firstLine="708"/>
        <w:jc w:val="both"/>
        <w:rPr>
          <w:rFonts w:ascii="Arial" w:eastAsia="Times New Roman" w:hAnsi="Arial" w:cs="Arial"/>
          <w:sz w:val="28"/>
          <w:szCs w:val="28"/>
          <w:lang w:val="es-ES" w:eastAsia="es-ES"/>
        </w:rPr>
      </w:pPr>
      <w:r w:rsidRPr="00D02E04">
        <w:rPr>
          <w:rFonts w:ascii="Arial" w:eastAsia="Times New Roman" w:hAnsi="Arial" w:cs="Arial"/>
          <w:sz w:val="28"/>
          <w:szCs w:val="28"/>
          <w:lang w:val="es-ES" w:eastAsia="es-ES"/>
        </w:rPr>
        <w:t xml:space="preserve">De conformidad con  lo dispuesto en el Plan del Centro de Población Estratégico San Luis Potosí - Soledad de Graciano Sánchez, publicado en edición extraordinaria del Periódico </w:t>
      </w:r>
      <w:r w:rsidRPr="00D02E04">
        <w:rPr>
          <w:rFonts w:ascii="Arial" w:eastAsia="Times New Roman" w:hAnsi="Arial" w:cs="Arial"/>
          <w:sz w:val="28"/>
          <w:szCs w:val="28"/>
          <w:lang w:val="es-ES" w:eastAsia="es-ES"/>
        </w:rPr>
        <w:lastRenderedPageBreak/>
        <w:t>Oficial del Estado de San Luis Potosí el veintiuno de agosto de dos mil tres; la actividad de “Granja Avícola” se consideró en su</w:t>
      </w:r>
      <w:r w:rsidRPr="00D02E04">
        <w:rPr>
          <w:rFonts w:ascii="Arial" w:eastAsia="Times New Roman" w:hAnsi="Arial" w:cs="Arial"/>
          <w:b/>
          <w:sz w:val="28"/>
          <w:szCs w:val="28"/>
          <w:lang w:val="es-ES" w:eastAsia="es-ES"/>
        </w:rPr>
        <w:t xml:space="preserve"> </w:t>
      </w:r>
      <w:r w:rsidRPr="00D02E04">
        <w:rPr>
          <w:rFonts w:ascii="Arial" w:eastAsia="Times New Roman" w:hAnsi="Arial" w:cs="Arial"/>
          <w:sz w:val="28"/>
          <w:szCs w:val="28"/>
          <w:lang w:val="es-ES" w:eastAsia="es-ES"/>
        </w:rPr>
        <w:t xml:space="preserve">ANEXO 2 </w:t>
      </w:r>
      <w:r w:rsidRPr="00D02E04">
        <w:rPr>
          <w:rFonts w:ascii="Arial" w:eastAsia="Times New Roman" w:hAnsi="Arial" w:cs="Arial"/>
          <w:i/>
          <w:sz w:val="28"/>
          <w:szCs w:val="28"/>
          <w:lang w:val="es-ES" w:eastAsia="es-ES"/>
        </w:rPr>
        <w:t>“Normas de Uso de Suelo para el Centro de Población de San Luis - Soledad”,</w:t>
      </w:r>
      <w:r w:rsidRPr="00D02E04">
        <w:rPr>
          <w:rFonts w:ascii="Arial" w:eastAsia="Times New Roman" w:hAnsi="Arial" w:cs="Arial"/>
          <w:sz w:val="28"/>
          <w:szCs w:val="28"/>
          <w:lang w:val="es-ES" w:eastAsia="es-ES"/>
        </w:rPr>
        <w:t xml:space="preserve"> lo siguiente: </w:t>
      </w:r>
    </w:p>
    <w:p w14:paraId="70EF47E7" w14:textId="77777777" w:rsidR="003C2284" w:rsidRPr="002C7778" w:rsidRDefault="003C2284" w:rsidP="003C2284">
      <w:pPr>
        <w:spacing w:after="0" w:line="240" w:lineRule="auto"/>
        <w:jc w:val="both"/>
        <w:rPr>
          <w:rFonts w:ascii="Arial" w:eastAsia="Times New Roman" w:hAnsi="Arial" w:cs="Arial"/>
          <w:sz w:val="18"/>
          <w:szCs w:val="18"/>
          <w:lang w:val="es-ES" w:eastAsia="es-ES"/>
        </w:rPr>
      </w:pPr>
      <w:r w:rsidRPr="002C7778">
        <w:rPr>
          <w:rFonts w:ascii="Arial" w:eastAsia="Times New Roman" w:hAnsi="Arial" w:cs="Arial"/>
          <w:b/>
          <w:sz w:val="18"/>
          <w:szCs w:val="18"/>
          <w:lang w:val="es-ES" w:eastAsia="es-ES"/>
        </w:rPr>
        <w:t>“</w:t>
      </w:r>
      <w:r w:rsidRPr="002C7778">
        <w:rPr>
          <w:rFonts w:ascii="Arial" w:eastAsia="Times New Roman" w:hAnsi="Arial" w:cs="Arial"/>
          <w:sz w:val="18"/>
          <w:szCs w:val="18"/>
          <w:lang w:val="es-ES" w:eastAsia="es-ES"/>
        </w:rPr>
        <w:t>(…)</w:t>
      </w:r>
    </w:p>
    <w:p w14:paraId="26A65232" w14:textId="77777777" w:rsidR="003C2284" w:rsidRPr="002C7778" w:rsidRDefault="003C2284" w:rsidP="003C2284">
      <w:pPr>
        <w:spacing w:after="0" w:line="360" w:lineRule="auto"/>
        <w:ind w:firstLine="708"/>
        <w:jc w:val="both"/>
        <w:rPr>
          <w:rFonts w:ascii="Arial" w:eastAsia="Times New Roman" w:hAnsi="Arial" w:cs="Arial"/>
          <w:sz w:val="18"/>
          <w:szCs w:val="18"/>
          <w:lang w:val="es-ES" w:eastAsia="es-ES"/>
        </w:rPr>
      </w:pPr>
      <w:r>
        <w:rPr>
          <w:rFonts w:ascii="Times New Roman" w:eastAsia="Times New Roman" w:hAnsi="Times New Roman"/>
          <w:noProof/>
          <w:sz w:val="18"/>
          <w:szCs w:val="18"/>
          <w:lang w:eastAsia="es-MX"/>
        </w:rPr>
        <w:drawing>
          <wp:anchor distT="0" distB="0" distL="114300" distR="114300" simplePos="0" relativeHeight="251667456" behindDoc="0" locked="0" layoutInCell="1" allowOverlap="1" wp14:anchorId="3E4C53E0" wp14:editId="113A97B0">
            <wp:simplePos x="0" y="0"/>
            <wp:positionH relativeFrom="column">
              <wp:posOffset>-229590</wp:posOffset>
            </wp:positionH>
            <wp:positionV relativeFrom="paragraph">
              <wp:posOffset>27305</wp:posOffset>
            </wp:positionV>
            <wp:extent cx="6210605" cy="212141"/>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a:extLst>
                        <a:ext uri="{28A0092B-C50C-407E-A947-70E740481C1C}">
                          <a14:useLocalDpi xmlns:a14="http://schemas.microsoft.com/office/drawing/2010/main" val="0"/>
                        </a:ext>
                      </a:extLst>
                    </a:blip>
                    <a:srcRect l="9764" t="28487" r="13544" b="66911"/>
                    <a:stretch>
                      <a:fillRect/>
                    </a:stretch>
                  </pic:blipFill>
                  <pic:spPr bwMode="auto">
                    <a:xfrm>
                      <a:off x="0" y="0"/>
                      <a:ext cx="6210605" cy="2121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AC0395" w14:textId="77777777" w:rsidR="003C2284" w:rsidRPr="002C7778" w:rsidRDefault="003C2284" w:rsidP="003C2284">
      <w:pPr>
        <w:spacing w:after="0" w:line="360" w:lineRule="auto"/>
        <w:rPr>
          <w:rFonts w:ascii="Arial" w:eastAsia="Times New Roman" w:hAnsi="Arial" w:cs="Arial"/>
          <w:bCs/>
          <w:sz w:val="18"/>
          <w:szCs w:val="18"/>
          <w:lang w:val="es-ES" w:eastAsia="es-ES"/>
        </w:rPr>
      </w:pPr>
      <w:r w:rsidRPr="002C7778">
        <w:rPr>
          <w:rFonts w:ascii="Arial" w:eastAsia="Times New Roman" w:hAnsi="Arial" w:cs="Arial"/>
          <w:bCs/>
          <w:sz w:val="18"/>
          <w:szCs w:val="18"/>
          <w:lang w:val="es-ES" w:eastAsia="es-ES"/>
        </w:rPr>
        <w:t>…</w:t>
      </w:r>
    </w:p>
    <w:p w14:paraId="4312468B" w14:textId="77777777" w:rsidR="003C2284" w:rsidRPr="002C7778" w:rsidRDefault="003C2284" w:rsidP="003C2284">
      <w:pPr>
        <w:spacing w:after="0" w:line="360" w:lineRule="auto"/>
        <w:rPr>
          <w:rFonts w:ascii="Arial" w:eastAsia="Times New Roman" w:hAnsi="Arial" w:cs="Arial"/>
          <w:bCs/>
          <w:sz w:val="18"/>
          <w:szCs w:val="18"/>
          <w:lang w:val="es-ES" w:eastAsia="es-ES"/>
        </w:rPr>
      </w:pPr>
      <w:r>
        <w:rPr>
          <w:rFonts w:ascii="Times New Roman" w:eastAsia="Times New Roman" w:hAnsi="Times New Roman"/>
          <w:noProof/>
          <w:sz w:val="18"/>
          <w:szCs w:val="18"/>
          <w:lang w:eastAsia="es-MX"/>
        </w:rPr>
        <w:drawing>
          <wp:anchor distT="0" distB="0" distL="114300" distR="114300" simplePos="0" relativeHeight="251668480" behindDoc="0" locked="0" layoutInCell="1" allowOverlap="1" wp14:anchorId="0FD9F037" wp14:editId="36E12714">
            <wp:simplePos x="0" y="0"/>
            <wp:positionH relativeFrom="column">
              <wp:posOffset>-229946</wp:posOffset>
            </wp:positionH>
            <wp:positionV relativeFrom="paragraph">
              <wp:posOffset>-635</wp:posOffset>
            </wp:positionV>
            <wp:extent cx="6130137" cy="658368"/>
            <wp:effectExtent l="0" t="0" r="4445" b="889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
                      <a:extLst>
                        <a:ext uri="{28A0092B-C50C-407E-A947-70E740481C1C}">
                          <a14:useLocalDpi xmlns:a14="http://schemas.microsoft.com/office/drawing/2010/main" val="0"/>
                        </a:ext>
                      </a:extLst>
                    </a:blip>
                    <a:srcRect l="9842" t="61557" r="14015" b="24165"/>
                    <a:stretch>
                      <a:fillRect/>
                    </a:stretch>
                  </pic:blipFill>
                  <pic:spPr bwMode="auto">
                    <a:xfrm>
                      <a:off x="0" y="0"/>
                      <a:ext cx="6130137" cy="65836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290D0D" w14:textId="77777777" w:rsidR="003C2284" w:rsidRPr="002C7778" w:rsidRDefault="003C2284" w:rsidP="003C2284">
      <w:pPr>
        <w:spacing w:after="0" w:line="360" w:lineRule="auto"/>
        <w:ind w:firstLine="708"/>
        <w:rPr>
          <w:rFonts w:ascii="Arial" w:eastAsia="Times New Roman" w:hAnsi="Arial" w:cs="Arial"/>
          <w:bCs/>
          <w:sz w:val="18"/>
          <w:szCs w:val="18"/>
          <w:lang w:val="es-ES" w:eastAsia="es-ES"/>
        </w:rPr>
      </w:pPr>
    </w:p>
    <w:p w14:paraId="54E67B4C" w14:textId="77777777" w:rsidR="003C2284" w:rsidRPr="002C7778" w:rsidRDefault="003C2284" w:rsidP="003C2284">
      <w:pPr>
        <w:spacing w:after="0" w:line="360" w:lineRule="auto"/>
        <w:ind w:firstLine="708"/>
        <w:rPr>
          <w:rFonts w:ascii="Arial" w:eastAsia="Times New Roman" w:hAnsi="Arial" w:cs="Arial"/>
          <w:bCs/>
          <w:sz w:val="18"/>
          <w:szCs w:val="18"/>
          <w:lang w:val="es-ES" w:eastAsia="es-ES"/>
        </w:rPr>
      </w:pPr>
    </w:p>
    <w:p w14:paraId="2914E8B4" w14:textId="77777777" w:rsidR="003C2284" w:rsidRPr="002C7778" w:rsidRDefault="003C2284" w:rsidP="003C2284">
      <w:pPr>
        <w:spacing w:after="0" w:line="240" w:lineRule="auto"/>
        <w:rPr>
          <w:rFonts w:ascii="Arial" w:eastAsia="Times New Roman" w:hAnsi="Arial" w:cs="Arial"/>
          <w:bCs/>
          <w:sz w:val="18"/>
          <w:szCs w:val="18"/>
          <w:lang w:val="es-ES" w:eastAsia="es-ES"/>
        </w:rPr>
      </w:pPr>
      <w:r w:rsidRPr="002C7778">
        <w:rPr>
          <w:rFonts w:ascii="Arial" w:eastAsia="Times New Roman" w:hAnsi="Arial" w:cs="Arial"/>
          <w:bCs/>
          <w:sz w:val="18"/>
          <w:szCs w:val="18"/>
          <w:lang w:val="es-ES" w:eastAsia="es-ES"/>
        </w:rPr>
        <w:t>…</w:t>
      </w:r>
    </w:p>
    <w:p w14:paraId="22300FEB" w14:textId="77777777" w:rsidR="003C2284" w:rsidRPr="002C7778" w:rsidRDefault="003C2284" w:rsidP="003C2284">
      <w:pPr>
        <w:spacing w:after="0" w:line="240" w:lineRule="auto"/>
        <w:rPr>
          <w:rFonts w:ascii="Arial" w:eastAsia="Times New Roman" w:hAnsi="Arial" w:cs="Arial"/>
          <w:bCs/>
          <w:sz w:val="18"/>
          <w:szCs w:val="18"/>
          <w:lang w:val="es-ES" w:eastAsia="es-ES"/>
        </w:rPr>
      </w:pPr>
      <w:r>
        <w:rPr>
          <w:rFonts w:ascii="Times New Roman" w:eastAsia="Times New Roman" w:hAnsi="Times New Roman"/>
          <w:noProof/>
          <w:sz w:val="18"/>
          <w:szCs w:val="18"/>
          <w:lang w:eastAsia="es-MX"/>
        </w:rPr>
        <w:drawing>
          <wp:anchor distT="0" distB="0" distL="114300" distR="114300" simplePos="0" relativeHeight="251669504" behindDoc="0" locked="0" layoutInCell="1" allowOverlap="1" wp14:anchorId="76A4ED79" wp14:editId="3037388A">
            <wp:simplePos x="0" y="0"/>
            <wp:positionH relativeFrom="column">
              <wp:posOffset>-193370</wp:posOffset>
            </wp:positionH>
            <wp:positionV relativeFrom="paragraph">
              <wp:posOffset>66040</wp:posOffset>
            </wp:positionV>
            <wp:extent cx="6130137" cy="421130"/>
            <wp:effectExtent l="0" t="0" r="444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a:extLst>
                        <a:ext uri="{28A0092B-C50C-407E-A947-70E740481C1C}">
                          <a14:useLocalDpi xmlns:a14="http://schemas.microsoft.com/office/drawing/2010/main" val="0"/>
                        </a:ext>
                      </a:extLst>
                    </a:blip>
                    <a:srcRect l="4083" t="47279" r="25708" b="43465"/>
                    <a:stretch>
                      <a:fillRect/>
                    </a:stretch>
                  </pic:blipFill>
                  <pic:spPr bwMode="auto">
                    <a:xfrm>
                      <a:off x="0" y="0"/>
                      <a:ext cx="6130137" cy="421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DF6BA3" w14:textId="77777777" w:rsidR="003C2284" w:rsidRDefault="003C2284" w:rsidP="003C2284">
      <w:pPr>
        <w:spacing w:after="0" w:line="240" w:lineRule="auto"/>
        <w:jc w:val="both"/>
        <w:rPr>
          <w:rFonts w:ascii="Arial" w:eastAsia="Times New Roman" w:hAnsi="Arial" w:cs="Arial"/>
          <w:bCs/>
          <w:sz w:val="18"/>
          <w:szCs w:val="18"/>
          <w:lang w:val="es-ES" w:eastAsia="es-ES"/>
        </w:rPr>
      </w:pPr>
    </w:p>
    <w:p w14:paraId="1E3107B6" w14:textId="77777777" w:rsidR="003C2284" w:rsidRDefault="003C2284" w:rsidP="003C2284">
      <w:pPr>
        <w:spacing w:after="0" w:line="240" w:lineRule="auto"/>
        <w:jc w:val="both"/>
        <w:rPr>
          <w:rFonts w:ascii="Arial" w:eastAsia="Times New Roman" w:hAnsi="Arial" w:cs="Arial"/>
          <w:bCs/>
          <w:sz w:val="18"/>
          <w:szCs w:val="18"/>
          <w:lang w:val="es-ES" w:eastAsia="es-ES"/>
        </w:rPr>
      </w:pPr>
    </w:p>
    <w:p w14:paraId="5A018D22" w14:textId="77777777" w:rsidR="003C2284" w:rsidRDefault="003C2284" w:rsidP="003C2284">
      <w:pPr>
        <w:spacing w:after="0" w:line="240" w:lineRule="auto"/>
        <w:jc w:val="both"/>
        <w:rPr>
          <w:rFonts w:ascii="Arial" w:eastAsia="Times New Roman" w:hAnsi="Arial" w:cs="Arial"/>
          <w:bCs/>
          <w:sz w:val="18"/>
          <w:szCs w:val="18"/>
          <w:lang w:val="es-ES" w:eastAsia="es-ES"/>
        </w:rPr>
      </w:pPr>
    </w:p>
    <w:p w14:paraId="08903E27" w14:textId="77777777" w:rsidR="003C2284" w:rsidRPr="002C7778" w:rsidRDefault="003C2284" w:rsidP="003C2284">
      <w:pPr>
        <w:spacing w:after="0" w:line="240" w:lineRule="auto"/>
        <w:jc w:val="both"/>
        <w:rPr>
          <w:rFonts w:ascii="Arial" w:eastAsia="Times New Roman" w:hAnsi="Arial" w:cs="Arial"/>
          <w:bCs/>
          <w:sz w:val="18"/>
          <w:szCs w:val="18"/>
          <w:lang w:val="es-ES" w:eastAsia="es-ES"/>
        </w:rPr>
      </w:pPr>
      <w:r w:rsidRPr="002C7778">
        <w:rPr>
          <w:rFonts w:ascii="Arial" w:eastAsia="Times New Roman" w:hAnsi="Arial" w:cs="Arial"/>
          <w:bCs/>
          <w:sz w:val="18"/>
          <w:szCs w:val="18"/>
          <w:lang w:val="es-ES" w:eastAsia="es-ES"/>
        </w:rPr>
        <w:t>(…)</w:t>
      </w:r>
      <w:r w:rsidRPr="002C7778">
        <w:rPr>
          <w:rFonts w:ascii="Arial" w:eastAsia="Times New Roman" w:hAnsi="Arial" w:cs="Arial"/>
          <w:b/>
          <w:bCs/>
          <w:sz w:val="18"/>
          <w:szCs w:val="18"/>
          <w:lang w:val="es-ES" w:eastAsia="es-ES"/>
        </w:rPr>
        <w:t>”</w:t>
      </w:r>
    </w:p>
    <w:p w14:paraId="20AD07C1" w14:textId="77777777" w:rsidR="003C2284" w:rsidRPr="002C7778" w:rsidRDefault="003C2284" w:rsidP="003C2284">
      <w:pPr>
        <w:tabs>
          <w:tab w:val="left" w:pos="1878"/>
        </w:tabs>
        <w:spacing w:after="0" w:line="360" w:lineRule="auto"/>
        <w:ind w:firstLine="708"/>
        <w:jc w:val="both"/>
        <w:rPr>
          <w:rFonts w:ascii="Arial" w:eastAsia="Times New Roman" w:hAnsi="Arial" w:cs="Arial"/>
          <w:bCs/>
          <w:sz w:val="18"/>
          <w:szCs w:val="18"/>
          <w:lang w:val="es-ES" w:eastAsia="es-ES"/>
        </w:rPr>
      </w:pPr>
      <w:r>
        <w:rPr>
          <w:rFonts w:ascii="Arial" w:eastAsia="Times New Roman" w:hAnsi="Arial" w:cs="Arial"/>
          <w:bCs/>
          <w:sz w:val="18"/>
          <w:szCs w:val="18"/>
          <w:lang w:val="es-ES" w:eastAsia="es-ES"/>
        </w:rPr>
        <w:tab/>
      </w:r>
    </w:p>
    <w:p w14:paraId="290F49B0" w14:textId="77777777" w:rsidR="003C2284" w:rsidRDefault="003C2284" w:rsidP="00790E42">
      <w:pPr>
        <w:spacing w:after="0" w:line="360" w:lineRule="auto"/>
        <w:ind w:firstLine="709"/>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Como se advierte desde el año de dos mil tres, se ha entendido jurídicamente a la actividad de “granja avícola” como un uso específico clasificado en el Subgrupo 4.3 “Agroindustria”, del grupo 4 “Industria”; por lo que contrario a lo que sostiene la recurrente no existe obscuridad para la clasificación.</w:t>
      </w:r>
    </w:p>
    <w:p w14:paraId="5A56D6BB" w14:textId="77777777" w:rsidR="00790E42" w:rsidRDefault="00790E42" w:rsidP="00790E42">
      <w:pPr>
        <w:spacing w:after="0" w:line="360" w:lineRule="auto"/>
        <w:ind w:firstLine="709"/>
        <w:jc w:val="both"/>
        <w:rPr>
          <w:rFonts w:ascii="Arial" w:eastAsia="Times New Roman" w:hAnsi="Arial" w:cs="Arial"/>
          <w:bCs/>
          <w:sz w:val="28"/>
          <w:szCs w:val="28"/>
          <w:lang w:val="es-ES" w:eastAsia="es-ES"/>
        </w:rPr>
      </w:pPr>
    </w:p>
    <w:p w14:paraId="4A8A9EDB" w14:textId="77777777" w:rsidR="003C2284" w:rsidRDefault="003C2284" w:rsidP="00790E42">
      <w:pPr>
        <w:spacing w:after="0" w:line="360" w:lineRule="auto"/>
        <w:ind w:firstLine="709"/>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Ahora bien, la recurrente estima que una “Granja Avícola” si puede estar dentro de una zona clasificada como “Área Silvestre”, sin embargo, de la lectura que se haga a su definición legal por parte del Plan del Centro de Población Estratégico San Luis Potosí Soledad de Graciano Sánchez, se aprecia lo contrario, y para acreditar la aseveración anterior se transcribe la parte conducente de dicho plan sobre la Interpretación dela Clasificación de las Áreas</w:t>
      </w:r>
      <w:r>
        <w:rPr>
          <w:rStyle w:val="Refdenotaalpie"/>
          <w:rFonts w:ascii="Arial" w:eastAsia="Times New Roman" w:hAnsi="Arial" w:cs="Arial"/>
          <w:bCs/>
          <w:sz w:val="28"/>
          <w:szCs w:val="28"/>
          <w:lang w:val="es-ES" w:eastAsia="es-ES"/>
        </w:rPr>
        <w:footnoteReference w:id="28"/>
      </w:r>
      <w:r>
        <w:rPr>
          <w:rFonts w:ascii="Arial" w:eastAsia="Times New Roman" w:hAnsi="Arial" w:cs="Arial"/>
          <w:bCs/>
          <w:sz w:val="28"/>
          <w:szCs w:val="28"/>
          <w:lang w:val="es-ES" w:eastAsia="es-ES"/>
        </w:rPr>
        <w:t xml:space="preserve">, en la cual se </w:t>
      </w:r>
      <w:r>
        <w:rPr>
          <w:rFonts w:ascii="Arial" w:eastAsia="Times New Roman" w:hAnsi="Arial" w:cs="Arial"/>
          <w:bCs/>
          <w:sz w:val="28"/>
          <w:szCs w:val="28"/>
          <w:lang w:val="es-ES" w:eastAsia="es-ES"/>
        </w:rPr>
        <w:lastRenderedPageBreak/>
        <w:t xml:space="preserve">reproducen a las que se refieren a las áreas urbanizadas, de reserva urbana, de transición y no urbanizables: </w:t>
      </w:r>
    </w:p>
    <w:p w14:paraId="5078AA49" w14:textId="77777777" w:rsidR="00790E42" w:rsidRDefault="00790E42" w:rsidP="00790E42">
      <w:pPr>
        <w:spacing w:after="0" w:line="360" w:lineRule="auto"/>
        <w:ind w:firstLine="709"/>
        <w:jc w:val="both"/>
        <w:rPr>
          <w:rFonts w:ascii="Arial" w:eastAsia="Times New Roman" w:hAnsi="Arial" w:cs="Arial"/>
          <w:bCs/>
          <w:sz w:val="28"/>
          <w:szCs w:val="28"/>
          <w:lang w:val="es-ES" w:eastAsia="es-ES"/>
        </w:rPr>
      </w:pPr>
    </w:p>
    <w:p w14:paraId="42FD210F"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lang w:val="es-ES" w:eastAsia="es-ES"/>
        </w:rPr>
        <w:t>“Interpretación de la Clasificación de Áreas</w:t>
      </w:r>
    </w:p>
    <w:p w14:paraId="03EA0CB4"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xml:space="preserve">La clasificación de áreas se establece en función de las condicionantes que resultan de las características del medio físico natural y transformado, las que según su índole requieren de diverso grado de control o participación institucional, para obtener o conservar la adecuada relación ambiental, así como para normar la acción urbanística que en dichas áreas se pretenda realizar, en caso de ser factible. </w:t>
      </w:r>
    </w:p>
    <w:p w14:paraId="44F5F71C"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lang w:val="es-ES" w:eastAsia="es-ES"/>
        </w:rPr>
        <w:t>Áreas Urbanizadas:</w:t>
      </w:r>
    </w:p>
    <w:p w14:paraId="2B15BCF9"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Urbanas</w:t>
      </w:r>
      <w:r w:rsidRPr="00790E42">
        <w:rPr>
          <w:rFonts w:ascii="Arial Narrow" w:eastAsia="Times New Roman" w:hAnsi="Arial Narrow" w:cs="Arial"/>
          <w:bCs/>
          <w:i/>
          <w:sz w:val="24"/>
          <w:szCs w:val="24"/>
          <w:lang w:val="es-ES" w:eastAsia="es-ES"/>
        </w:rPr>
        <w:t>:</w:t>
      </w:r>
    </w:p>
    <w:p w14:paraId="7BFF6117"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xml:space="preserve">…(AU). </w:t>
      </w:r>
    </w:p>
    <w:p w14:paraId="0F3C97E2"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de urbanización progresiva</w:t>
      </w:r>
      <w:r w:rsidRPr="00790E42">
        <w:rPr>
          <w:rFonts w:ascii="Arial Narrow" w:eastAsia="Times New Roman" w:hAnsi="Arial Narrow" w:cs="Arial"/>
          <w:bCs/>
          <w:i/>
          <w:sz w:val="24"/>
          <w:szCs w:val="24"/>
          <w:lang w:val="es-ES" w:eastAsia="es-ES"/>
        </w:rPr>
        <w:t>:</w:t>
      </w:r>
    </w:p>
    <w:p w14:paraId="229B7B91"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(UP)</w:t>
      </w:r>
    </w:p>
    <w:p w14:paraId="41E02193"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lang w:val="es-ES" w:eastAsia="es-ES"/>
        </w:rPr>
        <w:t>Áreas de reserva urbana:</w:t>
      </w:r>
    </w:p>
    <w:p w14:paraId="4E74CB36"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xml:space="preserve">Son las áreas que corresponden a los terrenos donde se dispone el crecimiento del centro de población, se identifican con la clave RU. </w:t>
      </w:r>
      <w:r w:rsidRPr="00790E42">
        <w:rPr>
          <w:rFonts w:ascii="Arial Narrow" w:eastAsia="Times New Roman" w:hAnsi="Arial Narrow" w:cs="Arial"/>
          <w:bCs/>
          <w:i/>
          <w:sz w:val="24"/>
          <w:szCs w:val="24"/>
          <w:u w:val="single"/>
          <w:lang w:val="es-ES" w:eastAsia="es-ES"/>
        </w:rPr>
        <w:t>Áreas de reserva urbana a corto plazo</w:t>
      </w:r>
      <w:r w:rsidRPr="00790E42">
        <w:rPr>
          <w:rFonts w:ascii="Arial Narrow" w:eastAsia="Times New Roman" w:hAnsi="Arial Narrow" w:cs="Arial"/>
          <w:bCs/>
          <w:i/>
          <w:sz w:val="24"/>
          <w:szCs w:val="24"/>
          <w:lang w:val="es-ES" w:eastAsia="es-ES"/>
        </w:rPr>
        <w:t>:</w:t>
      </w:r>
    </w:p>
    <w:p w14:paraId="71A4A30B"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(CP)</w:t>
      </w:r>
    </w:p>
    <w:p w14:paraId="540FC153"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de reserva urbana a mediano plazo</w:t>
      </w:r>
      <w:r w:rsidRPr="00790E42">
        <w:rPr>
          <w:rFonts w:ascii="Arial Narrow" w:eastAsia="Times New Roman" w:hAnsi="Arial Narrow" w:cs="Arial"/>
          <w:bCs/>
          <w:i/>
          <w:sz w:val="24"/>
          <w:szCs w:val="24"/>
          <w:lang w:val="es-ES" w:eastAsia="es-ES"/>
        </w:rPr>
        <w:t>:</w:t>
      </w:r>
    </w:p>
    <w:p w14:paraId="7B786F61"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xml:space="preserve">… (MP). </w:t>
      </w:r>
    </w:p>
    <w:p w14:paraId="5655E176"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de reserva urbana a largo plazo</w:t>
      </w:r>
      <w:r w:rsidRPr="00790E42">
        <w:rPr>
          <w:rFonts w:ascii="Arial Narrow" w:eastAsia="Times New Roman" w:hAnsi="Arial Narrow" w:cs="Arial"/>
          <w:bCs/>
          <w:i/>
          <w:sz w:val="24"/>
          <w:szCs w:val="24"/>
          <w:lang w:val="es-ES" w:eastAsia="es-ES"/>
        </w:rPr>
        <w:t>:</w:t>
      </w:r>
    </w:p>
    <w:p w14:paraId="37B74435"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Son las áreas de reserva urbana potencialmente urbanizables, pero que no cuentan con obras de urbanización básica, y no es posible realizarlas inmediatamente. Sin embargo, los interesados podrán solicitar al Ayuntamiento que estudie la factibilidad de que a futuro lleguen a contar con la urbanización básica. Entre tanto, en estas zonas no se permite modalidad alguna de acción urbanística.(IP)</w:t>
      </w:r>
    </w:p>
    <w:p w14:paraId="0CC08504"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lang w:val="es-ES" w:eastAsia="es-ES"/>
        </w:rPr>
        <w:t>Áreas de Transición:</w:t>
      </w:r>
    </w:p>
    <w:p w14:paraId="50BBA32C"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Son las áreas que fungen como separadoras entre las áreas urbanas y las áreas rurales, naturales protegidas e industriales, aminorando la confrontación directa entre las condiciones físicas de cada una de ellas; estas áreas están sujetas a usos restringidos y sólo se permitirán aquellas instalaciones con baja intensidad de uso de suelo, teniendo como prioridad las actividades que demanden grandes extensiones de espacio abierto, especialmente de recreación, esparcimiento y agropecuarias. Se identifican con la clave (AT).</w:t>
      </w:r>
    </w:p>
    <w:p w14:paraId="496FBC14"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lang w:val="es-ES" w:eastAsia="es-ES"/>
        </w:rPr>
        <w:t>Áreas No Urbanizables</w:t>
      </w:r>
    </w:p>
    <w:p w14:paraId="5E8F3716"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Son las tierras, aguas, y bosques cuyo uso corresponde a las actividades del sector primario de manera permanente, por lo que son susceptibles de aprovechamiento racional agrícola, pecuario, piscícola o forestal, Se identifican con la clave AR, siendo las siguientes:</w:t>
      </w:r>
    </w:p>
    <w:p w14:paraId="37412F71"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agropecuarias</w:t>
      </w:r>
      <w:r w:rsidRPr="00790E42">
        <w:rPr>
          <w:rFonts w:ascii="Arial Narrow" w:eastAsia="Times New Roman" w:hAnsi="Arial Narrow" w:cs="Arial"/>
          <w:bCs/>
          <w:i/>
          <w:sz w:val="24"/>
          <w:szCs w:val="24"/>
          <w:lang w:val="es-ES" w:eastAsia="es-ES"/>
        </w:rPr>
        <w:t>:</w:t>
      </w:r>
    </w:p>
    <w:p w14:paraId="5AC5E3D5"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Los terrenos propios para cultivos o pastizales y demás actividades agropecuarias. Se identifican con la clave de las áreas rústicas más la sub-clave (AGR);</w:t>
      </w:r>
    </w:p>
    <w:p w14:paraId="74C23DCA"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piscícolas</w:t>
      </w:r>
      <w:r w:rsidRPr="00790E42">
        <w:rPr>
          <w:rFonts w:ascii="Arial Narrow" w:eastAsia="Times New Roman" w:hAnsi="Arial Narrow" w:cs="Arial"/>
          <w:bCs/>
          <w:i/>
          <w:sz w:val="24"/>
          <w:szCs w:val="24"/>
          <w:lang w:val="es-ES" w:eastAsia="es-ES"/>
        </w:rPr>
        <w:t>:</w:t>
      </w:r>
    </w:p>
    <w:p w14:paraId="5AC95F4C"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 xml:space="preserve">Los predios y aguas dedicados a la pesca y demás actividades acuícolas. Se identifican con la clave de las áreas rústicas más la sub-clave (PSC). </w:t>
      </w:r>
    </w:p>
    <w:p w14:paraId="7A59DC9E"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forestales</w:t>
      </w:r>
      <w:r w:rsidRPr="00790E42">
        <w:rPr>
          <w:rFonts w:ascii="Arial Narrow" w:eastAsia="Times New Roman" w:hAnsi="Arial Narrow" w:cs="Arial"/>
          <w:bCs/>
          <w:i/>
          <w:sz w:val="24"/>
          <w:szCs w:val="24"/>
          <w:lang w:val="es-ES" w:eastAsia="es-ES"/>
        </w:rPr>
        <w:t>:</w:t>
      </w:r>
    </w:p>
    <w:p w14:paraId="64719CD2"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Los terrenos y bosques dedicados a la actividad silvícola. Se identifican con la clave de las áreas rústicas más la sub-clave (FOR)</w:t>
      </w:r>
    </w:p>
    <w:p w14:paraId="759A1534"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u w:val="single"/>
          <w:lang w:val="es-ES" w:eastAsia="es-ES"/>
        </w:rPr>
        <w:t>Áreas silvestres</w:t>
      </w:r>
      <w:r w:rsidRPr="00790E42">
        <w:rPr>
          <w:rFonts w:ascii="Arial Narrow" w:eastAsia="Times New Roman" w:hAnsi="Arial Narrow" w:cs="Arial"/>
          <w:b/>
          <w:bCs/>
          <w:i/>
          <w:sz w:val="24"/>
          <w:szCs w:val="24"/>
          <w:lang w:val="es-ES" w:eastAsia="es-ES"/>
        </w:rPr>
        <w:t>:</w:t>
      </w:r>
    </w:p>
    <w:p w14:paraId="332C61D4" w14:textId="77777777" w:rsidR="003C2284" w:rsidRPr="00790E42" w:rsidRDefault="003C2284" w:rsidP="00790E42">
      <w:pPr>
        <w:spacing w:after="0" w:line="240" w:lineRule="auto"/>
        <w:ind w:left="709" w:right="476"/>
        <w:jc w:val="both"/>
        <w:rPr>
          <w:rFonts w:ascii="Arial Narrow" w:eastAsia="Times New Roman" w:hAnsi="Arial Narrow" w:cs="Arial"/>
          <w:b/>
          <w:bCs/>
          <w:i/>
          <w:sz w:val="24"/>
          <w:szCs w:val="24"/>
          <w:lang w:val="es-ES" w:eastAsia="es-ES"/>
        </w:rPr>
      </w:pPr>
      <w:r w:rsidRPr="00790E42">
        <w:rPr>
          <w:rFonts w:ascii="Arial Narrow" w:eastAsia="Times New Roman" w:hAnsi="Arial Narrow" w:cs="Arial"/>
          <w:b/>
          <w:bCs/>
          <w:i/>
          <w:sz w:val="24"/>
          <w:szCs w:val="24"/>
          <w:lang w:val="es-ES" w:eastAsia="es-ES"/>
        </w:rPr>
        <w:t>Aquellas que por sus características específicas no son susceptibles de aprovechamiento, debiendo mantenerse en su estado original. Se identifican con el dibujo y la clave de las áreas rústicas más la sub-clave (AS);</w:t>
      </w:r>
    </w:p>
    <w:p w14:paraId="48B1D842"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Actividades extractivas</w:t>
      </w:r>
      <w:r w:rsidRPr="00790E42">
        <w:rPr>
          <w:rFonts w:ascii="Arial Narrow" w:eastAsia="Times New Roman" w:hAnsi="Arial Narrow" w:cs="Arial"/>
          <w:bCs/>
          <w:i/>
          <w:sz w:val="24"/>
          <w:szCs w:val="24"/>
          <w:lang w:val="es-ES" w:eastAsia="es-ES"/>
        </w:rPr>
        <w:t>:</w:t>
      </w:r>
    </w:p>
    <w:p w14:paraId="69C23870"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lastRenderedPageBreak/>
        <w:t xml:space="preserve">Los terrenos dedicados a la explotación del subsuelo para la transformación de los materiales en insumos, siendo identificadas con la clave (AE). </w:t>
      </w:r>
    </w:p>
    <w:p w14:paraId="5AFC0012"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naturales protegidas</w:t>
      </w:r>
      <w:r w:rsidRPr="00790E42">
        <w:rPr>
          <w:rFonts w:ascii="Arial Narrow" w:eastAsia="Times New Roman" w:hAnsi="Arial Narrow" w:cs="Arial"/>
          <w:bCs/>
          <w:i/>
          <w:sz w:val="24"/>
          <w:szCs w:val="24"/>
          <w:lang w:val="es-ES" w:eastAsia="es-ES"/>
        </w:rPr>
        <w:t>:</w:t>
      </w:r>
    </w:p>
    <w:p w14:paraId="109B9526"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Las relativas a las tierras, aguas y bosques que por sus características naturales o paisajísticas deberán preservarse para mantener el equilibrio ambiental. Por lo tanto podrán ser materia de protección como reservas ecológicas, mediante las modalidades y limitaciones que determinen las autoridades competentes, para realizar en ellas sólo los usos y aprovechamiento socialmente necesarios, de acuerdo a lo estipulado en la Ley General de Equilibrio Ecológico y la Protección al Ambiente y la Ley Ambiental del Estado. Se identifican con la clave AN. Se consideran áreas naturales protegidas:</w:t>
      </w:r>
    </w:p>
    <w:p w14:paraId="3BB587C8"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Parques Urbanos y Reservas Estatales</w:t>
      </w:r>
      <w:r w:rsidRPr="00790E42">
        <w:rPr>
          <w:rFonts w:ascii="Arial Narrow" w:eastAsia="Times New Roman" w:hAnsi="Arial Narrow" w:cs="Arial"/>
          <w:bCs/>
          <w:i/>
          <w:sz w:val="24"/>
          <w:szCs w:val="24"/>
          <w:lang w:val="es-ES" w:eastAsia="es-ES"/>
        </w:rPr>
        <w:t>:</w:t>
      </w:r>
    </w:p>
    <w:p w14:paraId="3E26C73E"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w:t>
      </w:r>
    </w:p>
    <w:p w14:paraId="70B66937"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de Conservación y Preservación Ecológica</w:t>
      </w:r>
      <w:r w:rsidRPr="00790E42">
        <w:rPr>
          <w:rFonts w:ascii="Arial Narrow" w:eastAsia="Times New Roman" w:hAnsi="Arial Narrow" w:cs="Arial"/>
          <w:bCs/>
          <w:i/>
          <w:sz w:val="24"/>
          <w:szCs w:val="24"/>
          <w:lang w:val="es-ES" w:eastAsia="es-ES"/>
        </w:rPr>
        <w:t>:</w:t>
      </w:r>
    </w:p>
    <w:p w14:paraId="20EF5F10"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w:t>
      </w:r>
    </w:p>
    <w:p w14:paraId="1A1EBADD"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u w:val="single"/>
          <w:lang w:val="es-ES" w:eastAsia="es-ES"/>
        </w:rPr>
        <w:t>Áreas de protección a cauces y cuerpos de agua</w:t>
      </w:r>
      <w:r w:rsidRPr="00790E42">
        <w:rPr>
          <w:rFonts w:ascii="Arial Narrow" w:eastAsia="Times New Roman" w:hAnsi="Arial Narrow" w:cs="Arial"/>
          <w:bCs/>
          <w:i/>
          <w:sz w:val="24"/>
          <w:szCs w:val="24"/>
          <w:lang w:val="es-ES" w:eastAsia="es-ES"/>
        </w:rPr>
        <w:t>:</w:t>
      </w:r>
    </w:p>
    <w:p w14:paraId="27F35FCB" w14:textId="77777777" w:rsidR="003C2284" w:rsidRPr="00790E42" w:rsidRDefault="003C2284" w:rsidP="00790E42">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w:t>
      </w:r>
    </w:p>
    <w:p w14:paraId="3CBF06CF" w14:textId="77777777" w:rsidR="00790E42" w:rsidRDefault="00790E42" w:rsidP="003C2284">
      <w:pPr>
        <w:spacing w:after="0" w:line="360" w:lineRule="auto"/>
        <w:ind w:firstLine="708"/>
        <w:jc w:val="both"/>
        <w:rPr>
          <w:rFonts w:ascii="Arial" w:eastAsia="Times New Roman" w:hAnsi="Arial" w:cs="Arial"/>
          <w:bCs/>
          <w:sz w:val="28"/>
          <w:szCs w:val="28"/>
          <w:lang w:val="es-ES" w:eastAsia="es-ES"/>
        </w:rPr>
      </w:pPr>
    </w:p>
    <w:p w14:paraId="3EAEA85E" w14:textId="77777777" w:rsidR="003C2284" w:rsidRDefault="003C2284" w:rsidP="003C2284">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 xml:space="preserve">De una lectura armónica que se hace a las clasificaciones que contempla el Plan </w:t>
      </w:r>
      <w:r w:rsidRPr="002C7778">
        <w:rPr>
          <w:rFonts w:ascii="Arial" w:eastAsia="Times New Roman" w:hAnsi="Arial" w:cs="Arial"/>
          <w:sz w:val="28"/>
          <w:szCs w:val="28"/>
          <w:lang w:val="es-ES" w:eastAsia="es-ES"/>
        </w:rPr>
        <w:t xml:space="preserve">del Centro de Población Estratégico San Luis Potosí-Soledad de Graciano Sánchez, publicado en edición extraordinaria del Periódico Oficial del Estado de San Luis Potosí el </w:t>
      </w:r>
      <w:r>
        <w:rPr>
          <w:rFonts w:ascii="Arial" w:eastAsia="Times New Roman" w:hAnsi="Arial" w:cs="Arial"/>
          <w:sz w:val="28"/>
          <w:szCs w:val="28"/>
          <w:lang w:val="es-ES" w:eastAsia="es-ES"/>
        </w:rPr>
        <w:t xml:space="preserve">veintiuno de </w:t>
      </w:r>
      <w:r w:rsidRPr="002C7778">
        <w:rPr>
          <w:rFonts w:ascii="Arial" w:eastAsia="Times New Roman" w:hAnsi="Arial" w:cs="Arial"/>
          <w:sz w:val="28"/>
          <w:szCs w:val="28"/>
          <w:lang w:val="es-ES" w:eastAsia="es-ES"/>
        </w:rPr>
        <w:t xml:space="preserve">agosto de </w:t>
      </w:r>
      <w:r>
        <w:rPr>
          <w:rFonts w:ascii="Arial" w:eastAsia="Times New Roman" w:hAnsi="Arial" w:cs="Arial"/>
          <w:sz w:val="28"/>
          <w:szCs w:val="28"/>
          <w:lang w:val="es-ES" w:eastAsia="es-ES"/>
        </w:rPr>
        <w:t xml:space="preserve">dos mil tres, se establece con claridad que en las “Áreas Silvestres”, con subclasificación “AS”, se encuentran dentro de la Clasificación “AR” “Áreas No Urbanizables”, cuya característica principal es que </w:t>
      </w:r>
      <w:r w:rsidRPr="0043583A">
        <w:rPr>
          <w:rFonts w:ascii="Arial" w:eastAsia="Times New Roman" w:hAnsi="Arial" w:cs="Arial"/>
          <w:b/>
          <w:sz w:val="28"/>
          <w:szCs w:val="28"/>
          <w:lang w:val="es-ES" w:eastAsia="es-ES"/>
        </w:rPr>
        <w:t>no son susceptibles de aprovechamiento, debiendo mantenerse en su estado original</w:t>
      </w:r>
      <w:r>
        <w:rPr>
          <w:rFonts w:ascii="Arial" w:eastAsia="Times New Roman" w:hAnsi="Arial" w:cs="Arial"/>
          <w:b/>
          <w:sz w:val="28"/>
          <w:szCs w:val="28"/>
          <w:lang w:val="es-ES" w:eastAsia="es-ES"/>
        </w:rPr>
        <w:t xml:space="preserve">, </w:t>
      </w:r>
      <w:r>
        <w:rPr>
          <w:rFonts w:ascii="Arial" w:eastAsia="Times New Roman" w:hAnsi="Arial" w:cs="Arial"/>
          <w:bCs/>
          <w:sz w:val="28"/>
          <w:szCs w:val="28"/>
          <w:lang w:val="es-ES" w:eastAsia="es-ES"/>
        </w:rPr>
        <w:t>en otras palabras cualquier edificación está prohibida para esas áreas, lo que incluiría establecer una granja de engorda avícola, pues forzosamente implica transformar el estado original del área, lo que hace infundados los agravios que vierte en ese sentido.</w:t>
      </w:r>
    </w:p>
    <w:p w14:paraId="0774F630" w14:textId="77777777" w:rsidR="00790E42" w:rsidRDefault="00790E42" w:rsidP="003C2284">
      <w:pPr>
        <w:spacing w:after="0" w:line="360" w:lineRule="auto"/>
        <w:ind w:firstLine="708"/>
        <w:jc w:val="both"/>
        <w:rPr>
          <w:rFonts w:ascii="Arial" w:eastAsia="Times New Roman" w:hAnsi="Arial" w:cs="Arial"/>
          <w:bCs/>
          <w:sz w:val="28"/>
          <w:szCs w:val="28"/>
          <w:lang w:val="es-ES" w:eastAsia="es-ES"/>
        </w:rPr>
      </w:pPr>
    </w:p>
    <w:p w14:paraId="4D7DEBC6" w14:textId="77777777" w:rsidR="003C2284" w:rsidRDefault="003C2284" w:rsidP="003C2284">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En este orden de ideas también resulta infundado que una granja de engorda avícola pueda incluirse en la definición legal de “Área Silvestre”, pues esta última excluye cualquier tipo de edificación.</w:t>
      </w:r>
    </w:p>
    <w:p w14:paraId="2D1551C0" w14:textId="77777777" w:rsidR="00790E42" w:rsidRDefault="00790E42" w:rsidP="003C2284">
      <w:pPr>
        <w:spacing w:after="0" w:line="360" w:lineRule="auto"/>
        <w:ind w:firstLine="708"/>
        <w:jc w:val="both"/>
        <w:rPr>
          <w:rFonts w:ascii="Arial" w:eastAsia="Times New Roman" w:hAnsi="Arial" w:cs="Arial"/>
          <w:bCs/>
          <w:sz w:val="28"/>
          <w:szCs w:val="28"/>
          <w:lang w:val="es-ES" w:eastAsia="es-ES"/>
        </w:rPr>
      </w:pPr>
    </w:p>
    <w:p w14:paraId="72CAEBA9" w14:textId="77777777" w:rsidR="003C2284" w:rsidRDefault="003C2284" w:rsidP="003C2284">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Lo anterior no violenta el principio de confianza legítima ya que el Plan comentado no se aprecia obscuro, ni tampoco crea situaciones jurídicas ambiguas, que den pie a arbitrariedades por parte de la autoridad tal y como ilustra la jurisprudencia con número de Registro digital</w:t>
      </w:r>
      <w:r w:rsidRPr="000376E9">
        <w:rPr>
          <w:rFonts w:ascii="Arial" w:eastAsia="Times New Roman" w:hAnsi="Arial" w:cs="Arial"/>
          <w:bCs/>
          <w:sz w:val="28"/>
          <w:szCs w:val="28"/>
          <w:lang w:val="es-ES" w:eastAsia="es-ES"/>
        </w:rPr>
        <w:t xml:space="preserve"> 2018050</w:t>
      </w:r>
      <w:r>
        <w:rPr>
          <w:rFonts w:ascii="Arial" w:eastAsia="Times New Roman" w:hAnsi="Arial" w:cs="Arial"/>
          <w:bCs/>
          <w:sz w:val="28"/>
          <w:szCs w:val="28"/>
          <w:lang w:val="es-ES" w:eastAsia="es-ES"/>
        </w:rPr>
        <w:t xml:space="preserve">, sustentada por la </w:t>
      </w:r>
      <w:r w:rsidRPr="000376E9">
        <w:rPr>
          <w:rFonts w:ascii="Arial" w:eastAsia="Times New Roman" w:hAnsi="Arial" w:cs="Arial"/>
          <w:bCs/>
          <w:sz w:val="28"/>
          <w:szCs w:val="28"/>
          <w:lang w:val="es-ES" w:eastAsia="es-ES"/>
        </w:rPr>
        <w:t>Segunda Sala</w:t>
      </w:r>
      <w:r>
        <w:rPr>
          <w:rFonts w:ascii="Arial" w:eastAsia="Times New Roman" w:hAnsi="Arial" w:cs="Arial"/>
          <w:bCs/>
          <w:sz w:val="28"/>
          <w:szCs w:val="28"/>
          <w:lang w:val="es-ES" w:eastAsia="es-ES"/>
        </w:rPr>
        <w:t xml:space="preserve"> de la Suprema Corte de Justicia de la Nación, </w:t>
      </w:r>
      <w:r w:rsidRPr="000376E9">
        <w:rPr>
          <w:rFonts w:ascii="Arial" w:eastAsia="Times New Roman" w:hAnsi="Arial" w:cs="Arial"/>
          <w:bCs/>
          <w:sz w:val="28"/>
          <w:szCs w:val="28"/>
          <w:lang w:val="es-ES" w:eastAsia="es-ES"/>
        </w:rPr>
        <w:t>Décima Época</w:t>
      </w:r>
      <w:r>
        <w:rPr>
          <w:rFonts w:ascii="Arial" w:eastAsia="Times New Roman" w:hAnsi="Arial" w:cs="Arial"/>
          <w:bCs/>
          <w:sz w:val="28"/>
          <w:szCs w:val="28"/>
          <w:lang w:val="es-ES" w:eastAsia="es-ES"/>
        </w:rPr>
        <w:t>, m</w:t>
      </w:r>
      <w:r w:rsidRPr="000376E9">
        <w:rPr>
          <w:rFonts w:ascii="Arial" w:eastAsia="Times New Roman" w:hAnsi="Arial" w:cs="Arial"/>
          <w:bCs/>
          <w:sz w:val="28"/>
          <w:szCs w:val="28"/>
          <w:lang w:val="es-ES" w:eastAsia="es-ES"/>
        </w:rPr>
        <w:t xml:space="preserve">ateria </w:t>
      </w:r>
      <w:r>
        <w:rPr>
          <w:rFonts w:ascii="Arial" w:eastAsia="Times New Roman" w:hAnsi="Arial" w:cs="Arial"/>
          <w:bCs/>
          <w:sz w:val="28"/>
          <w:szCs w:val="28"/>
          <w:lang w:val="es-ES" w:eastAsia="es-ES"/>
        </w:rPr>
        <w:t>c</w:t>
      </w:r>
      <w:r w:rsidRPr="000376E9">
        <w:rPr>
          <w:rFonts w:ascii="Arial" w:eastAsia="Times New Roman" w:hAnsi="Arial" w:cs="Arial"/>
          <w:bCs/>
          <w:sz w:val="28"/>
          <w:szCs w:val="28"/>
          <w:lang w:val="es-ES" w:eastAsia="es-ES"/>
        </w:rPr>
        <w:t>onstitucional</w:t>
      </w:r>
      <w:r>
        <w:rPr>
          <w:rFonts w:ascii="Arial" w:eastAsia="Times New Roman" w:hAnsi="Arial" w:cs="Arial"/>
          <w:bCs/>
          <w:sz w:val="28"/>
          <w:szCs w:val="28"/>
          <w:lang w:val="es-ES" w:eastAsia="es-ES"/>
        </w:rPr>
        <w:t xml:space="preserve">, </w:t>
      </w:r>
      <w:r w:rsidRPr="000376E9">
        <w:rPr>
          <w:rFonts w:ascii="Arial" w:eastAsia="Times New Roman" w:hAnsi="Arial" w:cs="Arial"/>
          <w:bCs/>
          <w:sz w:val="28"/>
          <w:szCs w:val="28"/>
          <w:lang w:val="es-ES" w:eastAsia="es-ES"/>
        </w:rPr>
        <w:t>2a./J. 103/2018 (10a.)</w:t>
      </w:r>
      <w:r>
        <w:rPr>
          <w:rFonts w:ascii="Arial" w:eastAsia="Times New Roman" w:hAnsi="Arial" w:cs="Arial"/>
          <w:bCs/>
          <w:sz w:val="28"/>
          <w:szCs w:val="28"/>
          <w:lang w:val="es-ES" w:eastAsia="es-ES"/>
        </w:rPr>
        <w:t>, visible en la</w:t>
      </w:r>
      <w:r w:rsidRPr="000376E9">
        <w:rPr>
          <w:rFonts w:ascii="Arial" w:eastAsia="Times New Roman" w:hAnsi="Arial" w:cs="Arial"/>
          <w:bCs/>
          <w:sz w:val="28"/>
          <w:szCs w:val="28"/>
          <w:lang w:val="es-ES" w:eastAsia="es-ES"/>
        </w:rPr>
        <w:t xml:space="preserve"> Gaceta del Semanario Judicial de la Federación. Libro 59, </w:t>
      </w:r>
      <w:r>
        <w:rPr>
          <w:rFonts w:ascii="Arial" w:eastAsia="Times New Roman" w:hAnsi="Arial" w:cs="Arial"/>
          <w:bCs/>
          <w:sz w:val="28"/>
          <w:szCs w:val="28"/>
          <w:lang w:val="es-ES" w:eastAsia="es-ES"/>
        </w:rPr>
        <w:t>de o</w:t>
      </w:r>
      <w:r w:rsidRPr="000376E9">
        <w:rPr>
          <w:rFonts w:ascii="Arial" w:eastAsia="Times New Roman" w:hAnsi="Arial" w:cs="Arial"/>
          <w:bCs/>
          <w:sz w:val="28"/>
          <w:szCs w:val="28"/>
          <w:lang w:val="es-ES" w:eastAsia="es-ES"/>
        </w:rPr>
        <w:t xml:space="preserve">ctubre de </w:t>
      </w:r>
      <w:r>
        <w:rPr>
          <w:rFonts w:ascii="Arial" w:eastAsia="Times New Roman" w:hAnsi="Arial" w:cs="Arial"/>
          <w:bCs/>
          <w:sz w:val="28"/>
          <w:szCs w:val="28"/>
          <w:lang w:val="es-ES" w:eastAsia="es-ES"/>
        </w:rPr>
        <w:t>dos mil dieciocho</w:t>
      </w:r>
      <w:r w:rsidRPr="000376E9">
        <w:rPr>
          <w:rFonts w:ascii="Arial" w:eastAsia="Times New Roman" w:hAnsi="Arial" w:cs="Arial"/>
          <w:bCs/>
          <w:sz w:val="28"/>
          <w:szCs w:val="28"/>
          <w:lang w:val="es-ES" w:eastAsia="es-ES"/>
        </w:rPr>
        <w:t>, Tomo I, página 847</w:t>
      </w:r>
      <w:r>
        <w:rPr>
          <w:rFonts w:ascii="Arial" w:eastAsia="Times New Roman" w:hAnsi="Arial" w:cs="Arial"/>
          <w:bCs/>
          <w:sz w:val="28"/>
          <w:szCs w:val="28"/>
          <w:lang w:val="es-ES" w:eastAsia="es-ES"/>
        </w:rPr>
        <w:t>, de rubro y texto siguiente:</w:t>
      </w:r>
    </w:p>
    <w:p w14:paraId="25EE0313" w14:textId="77777777" w:rsidR="00790E42" w:rsidRPr="000376E9" w:rsidRDefault="00790E42" w:rsidP="003C2284">
      <w:pPr>
        <w:spacing w:after="0" w:line="360" w:lineRule="auto"/>
        <w:ind w:firstLine="708"/>
        <w:jc w:val="both"/>
        <w:rPr>
          <w:rFonts w:ascii="Arial" w:eastAsia="Times New Roman" w:hAnsi="Arial" w:cs="Arial"/>
          <w:bCs/>
          <w:sz w:val="28"/>
          <w:szCs w:val="28"/>
          <w:lang w:val="es-ES" w:eastAsia="es-ES"/>
        </w:rPr>
      </w:pPr>
    </w:p>
    <w:p w14:paraId="6DBF9F56" w14:textId="77777777" w:rsidR="003C2284" w:rsidRPr="00790E42" w:rsidRDefault="003C2284" w:rsidP="003C2284">
      <w:pPr>
        <w:spacing w:after="0" w:line="240" w:lineRule="auto"/>
        <w:ind w:left="709" w:right="476"/>
        <w:jc w:val="both"/>
        <w:rPr>
          <w:rFonts w:ascii="Arial Narrow" w:eastAsia="Times New Roman" w:hAnsi="Arial Narrow" w:cs="Arial"/>
          <w:bCs/>
          <w:i/>
          <w:sz w:val="24"/>
          <w:szCs w:val="24"/>
          <w:lang w:val="es-ES" w:eastAsia="es-ES"/>
        </w:rPr>
      </w:pPr>
      <w:r w:rsidRPr="00790E42">
        <w:rPr>
          <w:rFonts w:ascii="Arial Narrow" w:eastAsia="Times New Roman" w:hAnsi="Arial Narrow" w:cs="Arial"/>
          <w:bCs/>
          <w:i/>
          <w:sz w:val="24"/>
          <w:szCs w:val="24"/>
          <w:lang w:val="es-ES" w:eastAsia="es-ES"/>
        </w:rPr>
        <w:t>“</w:t>
      </w:r>
      <w:r w:rsidRPr="00790E42">
        <w:rPr>
          <w:rFonts w:ascii="Arial Narrow" w:eastAsia="Times New Roman" w:hAnsi="Arial Narrow" w:cs="Arial"/>
          <w:b/>
          <w:bCs/>
          <w:i/>
          <w:sz w:val="24"/>
          <w:szCs w:val="24"/>
          <w:lang w:val="es-ES" w:eastAsia="es-ES"/>
        </w:rPr>
        <w:t>CONFIANZA LEGÍTIMA. CONSTITUYE UNA MANIFESTACIÓN DEL DERECHO A LA SEGURIDAD JURÍDICA, EN SU FACETA DE INTERDICCIÓN DE LA ARBITRARIEDAD</w:t>
      </w:r>
      <w:r w:rsidRPr="00790E42">
        <w:rPr>
          <w:rFonts w:ascii="Arial Narrow" w:eastAsia="Times New Roman" w:hAnsi="Arial Narrow" w:cs="Arial"/>
          <w:bCs/>
          <w:i/>
          <w:sz w:val="24"/>
          <w:szCs w:val="24"/>
          <w:lang w:val="es-ES" w:eastAsia="es-ES"/>
        </w:rPr>
        <w:t>. El derecho a la seguridad jurídica, reconocido en los artículos 14 y 16 de la Constitución Política de los Estados Unidos Mexicanos, tutela la prerrogativa del gobernado a no encontrarse jamás en una situación de incertidumbre jurídica y, en consecuencia, en un estado de indefensión; su esencia versa sobre la premisa consistente en "saber a qué atenerse" respecto del contenido de las leyes y de la propia actuación de la autoridad. Sin embargo, no debe entenderse en el sentido de que el orden jurídico ha de señalar de manera especial y precisa un procedimiento para regular cada una de las relaciones que se entablen entre las autoridades y los particulares, sino que debe contener los elementos mínimos para hacer valer el correlativo derecho del gobernado y para que, sobre este aspecto, la autoridad no incurra en arbitrariedades. De lo anterior, puede considerarse la confianza legítima como una manifestación del derecho a la seguridad jurídica, en su faceta de interdicción o prohibición de la arbitrariedad o del exceso, en virtud de la cual, en el caso de que la actuación de los poderes públicos haya creado en una persona interesada confianza en la estabilidad de sus actos, éstos no pueden modificarse de forma imprevisible e intempestiva, salvo el supuesto en que así lo exija el interés público. Al respecto, cabe precisar que, atendiendo a las características de todo Estado democrático, la confianza legítima adquiere diversos matices dependiendo de si se pretende invocar frente a actos administrativos o actos legislativos.”</w:t>
      </w:r>
    </w:p>
    <w:p w14:paraId="775791D8" w14:textId="77777777" w:rsidR="00DD3965" w:rsidRDefault="00DD3965" w:rsidP="003C2284">
      <w:pPr>
        <w:spacing w:after="0" w:line="360" w:lineRule="auto"/>
        <w:ind w:firstLine="708"/>
        <w:jc w:val="both"/>
        <w:rPr>
          <w:rFonts w:ascii="Arial" w:eastAsia="Times New Roman" w:hAnsi="Arial" w:cs="Arial"/>
          <w:bCs/>
          <w:sz w:val="28"/>
          <w:szCs w:val="28"/>
          <w:lang w:val="es-ES" w:eastAsia="es-ES"/>
        </w:rPr>
      </w:pPr>
    </w:p>
    <w:p w14:paraId="6B50AAA3" w14:textId="77777777" w:rsidR="003C2284" w:rsidRDefault="003C2284" w:rsidP="004E15C9">
      <w:pPr>
        <w:spacing w:after="0" w:line="360" w:lineRule="auto"/>
        <w:ind w:firstLine="851"/>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Tampoco escapa a la consideración de esta Sala el argumento consistente en que la actividad de “granja avícola” la ha estado realizando desde mil novecientos noventa y cuatro y que se le había asignado un uso suelo agrícola, por lo que tiene derechos adquiridos.</w:t>
      </w:r>
    </w:p>
    <w:p w14:paraId="5F42A8CC" w14:textId="77777777" w:rsidR="00790E42" w:rsidRDefault="00790E42" w:rsidP="004E15C9">
      <w:pPr>
        <w:spacing w:after="0" w:line="360" w:lineRule="auto"/>
        <w:ind w:firstLine="851"/>
        <w:jc w:val="both"/>
        <w:rPr>
          <w:rFonts w:ascii="Arial" w:eastAsia="Times New Roman" w:hAnsi="Arial" w:cs="Arial"/>
          <w:bCs/>
          <w:sz w:val="28"/>
          <w:szCs w:val="28"/>
          <w:lang w:val="es-ES" w:eastAsia="es-ES"/>
        </w:rPr>
      </w:pPr>
    </w:p>
    <w:p w14:paraId="10AF2DEC" w14:textId="77777777" w:rsidR="003C2284" w:rsidRDefault="003C2284" w:rsidP="004E15C9">
      <w:pPr>
        <w:spacing w:after="0" w:line="360" w:lineRule="auto"/>
        <w:ind w:firstLine="851"/>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 xml:space="preserve">No obstante para poder analizar el asunto bajo ese tamiz, es forzosamente indispensable que se demuestre su </w:t>
      </w:r>
      <w:r>
        <w:rPr>
          <w:rFonts w:ascii="Arial" w:eastAsia="Times New Roman" w:hAnsi="Arial" w:cs="Arial"/>
          <w:bCs/>
          <w:sz w:val="28"/>
          <w:szCs w:val="28"/>
          <w:lang w:val="es-ES" w:eastAsia="es-ES"/>
        </w:rPr>
        <w:lastRenderedPageBreak/>
        <w:t>aseveración, no con base en inferencias, como son las ocho pruebas que relaciona que pueden ser adminiculadas para tener por entendido que existía una licencia de funcionamiento con base en un uso de suelo de tipo “Área Silvestre”, esto es, el interés jurídico sobre adquisición de derechos debe probarse de manera fehaciente; sin embargo no adjuntó al caudal probatorio del presente juicio la licencia de funcionamiento con dichas características.</w:t>
      </w:r>
    </w:p>
    <w:p w14:paraId="1B527F31" w14:textId="77777777" w:rsidR="00790E42" w:rsidRDefault="00790E42" w:rsidP="004E15C9">
      <w:pPr>
        <w:spacing w:after="0" w:line="360" w:lineRule="auto"/>
        <w:ind w:firstLine="851"/>
        <w:jc w:val="both"/>
        <w:rPr>
          <w:rFonts w:ascii="Arial" w:eastAsia="Times New Roman" w:hAnsi="Arial" w:cs="Arial"/>
          <w:bCs/>
          <w:sz w:val="28"/>
          <w:szCs w:val="28"/>
          <w:lang w:val="es-ES" w:eastAsia="es-ES"/>
        </w:rPr>
      </w:pPr>
    </w:p>
    <w:p w14:paraId="2B817035" w14:textId="77777777" w:rsidR="003C2284" w:rsidRDefault="003C2284" w:rsidP="004E15C9">
      <w:pPr>
        <w:spacing w:after="0" w:line="360" w:lineRule="auto"/>
        <w:ind w:firstLine="851"/>
        <w:jc w:val="both"/>
        <w:rPr>
          <w:rFonts w:ascii="Arial" w:hAnsi="Arial" w:cs="Arial"/>
          <w:sz w:val="28"/>
          <w:szCs w:val="28"/>
        </w:rPr>
      </w:pPr>
      <w:r w:rsidRPr="004A3329">
        <w:rPr>
          <w:rFonts w:ascii="Arial" w:hAnsi="Arial" w:cs="Arial"/>
          <w:sz w:val="28"/>
          <w:szCs w:val="28"/>
        </w:rPr>
        <w:t>De conformidad con las teorías de los derechos adquiridos y de los componentes de la norma, jurisprudencialmente válidas para determinar las violaciones al principio de retroactividad de una norma</w:t>
      </w:r>
      <w:r>
        <w:rPr>
          <w:rFonts w:ascii="Arial" w:hAnsi="Arial" w:cs="Arial"/>
          <w:sz w:val="28"/>
          <w:szCs w:val="28"/>
        </w:rPr>
        <w:t>,</w:t>
      </w:r>
      <w:r w:rsidRPr="004A3329">
        <w:rPr>
          <w:rFonts w:ascii="Arial" w:hAnsi="Arial" w:cs="Arial"/>
          <w:sz w:val="28"/>
          <w:szCs w:val="28"/>
        </w:rPr>
        <w:t xml:space="preserve"> debe observarse </w:t>
      </w:r>
      <w:r>
        <w:rPr>
          <w:rFonts w:ascii="Arial" w:hAnsi="Arial" w:cs="Arial"/>
          <w:sz w:val="28"/>
          <w:szCs w:val="28"/>
        </w:rPr>
        <w:t>partir de</w:t>
      </w:r>
      <w:r w:rsidRPr="004A3329">
        <w:rPr>
          <w:rFonts w:ascii="Arial" w:hAnsi="Arial" w:cs="Arial"/>
          <w:sz w:val="28"/>
          <w:szCs w:val="28"/>
        </w:rPr>
        <w:t xml:space="preserve">l menoscabo de situaciones jurídicas concretas o constituidas en favor de los gobernados, a efecto de que se respete el hecho adquisitivo del derecho constituido durante la vigencia de una norma anterior. </w:t>
      </w:r>
    </w:p>
    <w:p w14:paraId="46E62F8D" w14:textId="77777777" w:rsidR="00790E42" w:rsidRDefault="00790E42" w:rsidP="004E15C9">
      <w:pPr>
        <w:spacing w:after="0" w:line="360" w:lineRule="auto"/>
        <w:ind w:firstLine="851"/>
        <w:jc w:val="both"/>
        <w:rPr>
          <w:rFonts w:ascii="Arial" w:hAnsi="Arial" w:cs="Arial"/>
          <w:sz w:val="28"/>
          <w:szCs w:val="28"/>
        </w:rPr>
      </w:pPr>
    </w:p>
    <w:p w14:paraId="1FBA60F2" w14:textId="41B4F493" w:rsidR="003C2284" w:rsidRDefault="003C2284" w:rsidP="00496570">
      <w:pPr>
        <w:spacing w:after="0" w:line="360" w:lineRule="auto"/>
        <w:ind w:firstLine="851"/>
        <w:jc w:val="both"/>
        <w:rPr>
          <w:rFonts w:ascii="Arial" w:hAnsi="Arial" w:cs="Arial"/>
          <w:sz w:val="28"/>
          <w:szCs w:val="28"/>
        </w:rPr>
      </w:pPr>
      <w:r w:rsidRPr="004A3329">
        <w:rPr>
          <w:rFonts w:ascii="Arial" w:hAnsi="Arial" w:cs="Arial"/>
          <w:sz w:val="28"/>
          <w:szCs w:val="28"/>
        </w:rPr>
        <w:t xml:space="preserve">Por tanto, si </w:t>
      </w:r>
      <w:r>
        <w:rPr>
          <w:rFonts w:ascii="Arial" w:hAnsi="Arial" w:cs="Arial"/>
          <w:sz w:val="28"/>
          <w:szCs w:val="28"/>
        </w:rPr>
        <w:t xml:space="preserve">no adjuntó medio de convicción alguno que hiciera patente la existencia de una licencia con la cual se acreditara que con anterioridad a la impugnación del acto controvertido se le otorgó el uso de granja avícola de engorda en un área silvestre, </w:t>
      </w:r>
      <w:r w:rsidRPr="004A3329">
        <w:rPr>
          <w:rFonts w:ascii="Arial" w:hAnsi="Arial" w:cs="Arial"/>
          <w:sz w:val="28"/>
          <w:szCs w:val="28"/>
        </w:rPr>
        <w:t>con la expedición de un certificado d</w:t>
      </w:r>
      <w:r>
        <w:rPr>
          <w:rFonts w:ascii="Arial" w:hAnsi="Arial" w:cs="Arial"/>
          <w:sz w:val="28"/>
          <w:szCs w:val="28"/>
        </w:rPr>
        <w:t>e zonificación de uso del suelo emitido por autoridad competente, entonces, no es posible analizar el argumento de derechos adquiridos.</w:t>
      </w:r>
    </w:p>
    <w:p w14:paraId="07BB0945" w14:textId="77777777" w:rsidR="00790E42" w:rsidRDefault="00790E42" w:rsidP="003C2284">
      <w:pPr>
        <w:spacing w:after="0" w:line="360" w:lineRule="auto"/>
        <w:ind w:firstLine="360"/>
        <w:jc w:val="both"/>
        <w:rPr>
          <w:rFonts w:ascii="Arial" w:hAnsi="Arial" w:cs="Arial"/>
          <w:sz w:val="28"/>
          <w:szCs w:val="28"/>
        </w:rPr>
      </w:pPr>
    </w:p>
    <w:p w14:paraId="4C25E686" w14:textId="77777777" w:rsidR="003C2284" w:rsidRDefault="003C2284" w:rsidP="004E15C9">
      <w:pPr>
        <w:spacing w:after="0" w:line="360" w:lineRule="auto"/>
        <w:ind w:firstLine="851"/>
        <w:jc w:val="both"/>
        <w:rPr>
          <w:rFonts w:ascii="Arial" w:hAnsi="Arial" w:cs="Arial"/>
          <w:sz w:val="28"/>
          <w:szCs w:val="28"/>
        </w:rPr>
      </w:pPr>
      <w:r>
        <w:rPr>
          <w:rFonts w:ascii="Arial" w:hAnsi="Arial" w:cs="Arial"/>
          <w:sz w:val="28"/>
          <w:szCs w:val="28"/>
        </w:rPr>
        <w:t xml:space="preserve">Lo anteriormente razonado conlleva a que los motivos de disenso que vierte la apelante sean infundados, puesto que no explica, ni aun supliéndole la deficiencia de los mismos, por qué </w:t>
      </w:r>
      <w:r>
        <w:rPr>
          <w:rFonts w:ascii="Arial" w:hAnsi="Arial" w:cs="Arial"/>
          <w:sz w:val="28"/>
          <w:szCs w:val="28"/>
        </w:rPr>
        <w:lastRenderedPageBreak/>
        <w:t>a su razón deben prevalecer sus argumentos por encima de los  expuestos por la Sala A quo y que aquí han sido materia de análisis.</w:t>
      </w:r>
    </w:p>
    <w:p w14:paraId="2D5F55C3" w14:textId="77777777" w:rsidR="00790E42" w:rsidRDefault="00790E42" w:rsidP="003C2284">
      <w:pPr>
        <w:spacing w:after="0" w:line="360" w:lineRule="auto"/>
        <w:ind w:firstLine="360"/>
        <w:jc w:val="both"/>
        <w:rPr>
          <w:rFonts w:ascii="Arial" w:hAnsi="Arial" w:cs="Arial"/>
          <w:sz w:val="28"/>
          <w:szCs w:val="28"/>
        </w:rPr>
      </w:pPr>
    </w:p>
    <w:p w14:paraId="65098EE0" w14:textId="77777777" w:rsidR="003C2284" w:rsidRDefault="003C2284" w:rsidP="004E15C9">
      <w:pPr>
        <w:spacing w:after="0" w:line="360" w:lineRule="auto"/>
        <w:ind w:firstLine="851"/>
        <w:jc w:val="both"/>
        <w:rPr>
          <w:rFonts w:ascii="Arial" w:hAnsi="Arial" w:cs="Arial"/>
          <w:sz w:val="28"/>
          <w:szCs w:val="28"/>
        </w:rPr>
      </w:pPr>
      <w:r>
        <w:rPr>
          <w:rFonts w:ascii="Arial" w:hAnsi="Arial" w:cs="Arial"/>
          <w:sz w:val="28"/>
          <w:szCs w:val="28"/>
        </w:rPr>
        <w:t xml:space="preserve">Al respecto resulta ilustrativo el criterio con registro digital </w:t>
      </w:r>
      <w:r w:rsidRPr="004A3329">
        <w:rPr>
          <w:rFonts w:ascii="Arial" w:hAnsi="Arial" w:cs="Arial"/>
          <w:sz w:val="28"/>
          <w:szCs w:val="28"/>
        </w:rPr>
        <w:t xml:space="preserve"> 2017333</w:t>
      </w:r>
      <w:r>
        <w:rPr>
          <w:rFonts w:ascii="Arial" w:hAnsi="Arial" w:cs="Arial"/>
          <w:sz w:val="28"/>
          <w:szCs w:val="28"/>
        </w:rPr>
        <w:t xml:space="preserve">, de la </w:t>
      </w:r>
      <w:r w:rsidRPr="004A3329">
        <w:rPr>
          <w:rFonts w:ascii="Arial" w:hAnsi="Arial" w:cs="Arial"/>
          <w:sz w:val="28"/>
          <w:szCs w:val="28"/>
        </w:rPr>
        <w:t>Décima Época</w:t>
      </w:r>
      <w:r>
        <w:rPr>
          <w:rFonts w:ascii="Arial" w:hAnsi="Arial" w:cs="Arial"/>
          <w:sz w:val="28"/>
          <w:szCs w:val="28"/>
        </w:rPr>
        <w:t xml:space="preserve">, visible en la </w:t>
      </w:r>
      <w:r w:rsidRPr="004A3329">
        <w:rPr>
          <w:rFonts w:ascii="Arial" w:hAnsi="Arial" w:cs="Arial"/>
          <w:sz w:val="28"/>
          <w:szCs w:val="28"/>
        </w:rPr>
        <w:t>Gaceta del Semanario Judicial de la Federación</w:t>
      </w:r>
      <w:r>
        <w:rPr>
          <w:rFonts w:ascii="Arial" w:hAnsi="Arial" w:cs="Arial"/>
          <w:sz w:val="28"/>
          <w:szCs w:val="28"/>
        </w:rPr>
        <w:t>, l</w:t>
      </w:r>
      <w:r w:rsidRPr="004A3329">
        <w:rPr>
          <w:rFonts w:ascii="Arial" w:hAnsi="Arial" w:cs="Arial"/>
          <w:sz w:val="28"/>
          <w:szCs w:val="28"/>
        </w:rPr>
        <w:t xml:space="preserve">ibro 56, </w:t>
      </w:r>
      <w:r>
        <w:rPr>
          <w:rFonts w:ascii="Arial" w:hAnsi="Arial" w:cs="Arial"/>
          <w:sz w:val="28"/>
          <w:szCs w:val="28"/>
        </w:rPr>
        <w:t>de j</w:t>
      </w:r>
      <w:r w:rsidRPr="004A3329">
        <w:rPr>
          <w:rFonts w:ascii="Arial" w:hAnsi="Arial" w:cs="Arial"/>
          <w:sz w:val="28"/>
          <w:szCs w:val="28"/>
        </w:rPr>
        <w:t xml:space="preserve">ulio de </w:t>
      </w:r>
      <w:r>
        <w:rPr>
          <w:rFonts w:ascii="Arial" w:hAnsi="Arial" w:cs="Arial"/>
          <w:sz w:val="28"/>
          <w:szCs w:val="28"/>
        </w:rPr>
        <w:t>dos mil dieciocho</w:t>
      </w:r>
      <w:r w:rsidRPr="004A3329">
        <w:rPr>
          <w:rFonts w:ascii="Arial" w:hAnsi="Arial" w:cs="Arial"/>
          <w:sz w:val="28"/>
          <w:szCs w:val="28"/>
        </w:rPr>
        <w:t>, Tomo II, página 1474</w:t>
      </w:r>
      <w:r>
        <w:rPr>
          <w:rFonts w:ascii="Arial" w:hAnsi="Arial" w:cs="Arial"/>
          <w:sz w:val="28"/>
          <w:szCs w:val="28"/>
        </w:rPr>
        <w:t>, de rubro y texto siguiente:</w:t>
      </w:r>
    </w:p>
    <w:p w14:paraId="3D69EE6F" w14:textId="77777777" w:rsidR="00790E42" w:rsidRPr="004A3329" w:rsidRDefault="00790E42" w:rsidP="003C2284">
      <w:pPr>
        <w:spacing w:after="0" w:line="360" w:lineRule="auto"/>
        <w:ind w:firstLine="360"/>
        <w:jc w:val="both"/>
        <w:rPr>
          <w:rFonts w:ascii="Arial" w:hAnsi="Arial" w:cs="Arial"/>
          <w:sz w:val="28"/>
          <w:szCs w:val="28"/>
        </w:rPr>
      </w:pPr>
    </w:p>
    <w:p w14:paraId="3ABB0C4E" w14:textId="77777777" w:rsidR="003C2284" w:rsidRPr="00790E42" w:rsidRDefault="003C2284" w:rsidP="00790E42">
      <w:pPr>
        <w:spacing w:after="0" w:line="240" w:lineRule="auto"/>
        <w:ind w:left="709" w:right="476"/>
        <w:jc w:val="both"/>
        <w:rPr>
          <w:rFonts w:ascii="Arial Narrow" w:hAnsi="Arial Narrow" w:cs="Arial"/>
          <w:i/>
          <w:sz w:val="24"/>
          <w:szCs w:val="24"/>
        </w:rPr>
      </w:pPr>
      <w:r w:rsidRPr="00790E42">
        <w:rPr>
          <w:rFonts w:ascii="Arial Narrow" w:hAnsi="Arial Narrow" w:cs="Arial"/>
          <w:b/>
          <w:i/>
          <w:sz w:val="24"/>
          <w:szCs w:val="24"/>
        </w:rPr>
        <w:t>“CONSTANCIA DE USO DE SUELO POR DERECHOS ADQUIRIDOS. SU PERMANENCIA ESTÁ SUJETA A QUE PERSISTAN CIERTAS CONDICIONES PRESENTES CUANDO SE OTORGA, MISMAS QUE, DE MODIFICARSE O INTERRUMPIRSE, CONLLEVAN LA PÉRDIDA DE EFICACIA JURÍDICA E IMPIDEN QUE SIRVAN DE BASE PARA LA AUTORIZACIÓN DE CONSTRUCCIONES O APROVECHAMIENTOS.</w:t>
      </w:r>
      <w:r w:rsidRPr="00790E42">
        <w:rPr>
          <w:rFonts w:ascii="Arial Narrow" w:hAnsi="Arial Narrow" w:cs="Arial"/>
          <w:i/>
          <w:sz w:val="24"/>
          <w:szCs w:val="24"/>
        </w:rPr>
        <w:t xml:space="preserve"> La constancia o certificado de uso de suelo por derechos adquiridos hace patente el reconocimiento de que un predio ha tenido un cierto uso, el cual, pese a nuevas disposiciones urbanísticas, puede persistir como uso autorizado, precisamente en atención a que se trata de derechos adquiridos. No obstante, para que dichas constancias preserven su eficacia jurídica, deben permanecer las condiciones de hecho específicas y concretas que les dieron sustento, tanto en lo concerniente a las condiciones y características del predio al momento de su expedición, como en lo que atañe a la continuidad del uso autorizado, pues ambas cuestiones son parte misma (objeto) y supuesto de hecho sobre el cual se dicta ese acto administrativo y, en esa medida, condición necesaria para su subsistencia. En este sentido, la referencia que se hace en el artículo 125 del Reglamento de la Ley de Desarrollo Urbano del Distrito Federal (actualmente Ciudad de México), de que la vigencia de estos certificados será "permanente", no puede entenderse literal ni aisladamente, como si el uso de suelo por derechos adquiridos fuera de vigencia absoluta o ilimitada, pues ello sería contrario al objeto mismo y naturaleza de este tipo de certificaciones, que justifican, precisamente en función de derechos adquiridos por una específica situación, que un particular se exceptúe de la aplicación de la nueva normativa urbanística, y desconocería lo que la propia Ley de Desarrollo Urbano local establece en su artículo 45, cuando sujeta el respeto a los derechos adquiridos a que los usos de suelo se aprovechen de manera continua y legítima y establece su prescripción al término de un año en que se deje de ejercer el uso de que se trate. En esta tesitura, si el predio objeto de una constancia de este tipo es modificado o si se presenta la interrupción del uso autorizado, en los términos que marca la legislación indicada, la constancia por derechos adquiridos pierde eficacia jurídica, agota su vigencia, de modo que el uso de suelo que amparó no puede seguir oponiéndose como excepción para la aplicabilidad de una nueva legislación urbanística, por lo cual, ahora prevalece el interés público que ahí se recoge, y ya no el interés particular que en un determinado momento se protegió. Con base en lo anterior, las constancias de uso de suelo por derechos adquiridos no pueden fungir como base jurídica para expedir autorizaciones de construcción y/o aprovechamiento de un predio que ha sido modificado o que ha dejado de ser utilizado, en los términos que en determinado momento fueron amparados por uno de esos documentos, dada su pérdida de eficacia; de ahí que, en todo caso, para la expedición de esas autorizaciones deba obtenerse una nueva constancia de uso de suelo, conforme a las disposiciones urbanísticas vigentes en ese momento.</w:t>
      </w:r>
    </w:p>
    <w:p w14:paraId="3876B5C7" w14:textId="77777777" w:rsidR="00A56564" w:rsidRPr="00790E42" w:rsidRDefault="00A56564" w:rsidP="00790E42">
      <w:pPr>
        <w:spacing w:after="0" w:line="360" w:lineRule="auto"/>
        <w:ind w:firstLine="851"/>
        <w:jc w:val="both"/>
        <w:rPr>
          <w:rFonts w:ascii="Arial" w:hAnsi="Arial" w:cs="Arial"/>
          <w:sz w:val="28"/>
          <w:szCs w:val="28"/>
        </w:rPr>
      </w:pPr>
    </w:p>
    <w:p w14:paraId="3811BBDC" w14:textId="294D8663" w:rsidR="001D6536" w:rsidRPr="00790E42" w:rsidRDefault="001D6536" w:rsidP="00790E42">
      <w:pPr>
        <w:spacing w:after="0" w:line="360" w:lineRule="auto"/>
        <w:ind w:firstLine="708"/>
        <w:jc w:val="both"/>
        <w:rPr>
          <w:rFonts w:ascii="Arial" w:hAnsi="Arial" w:cs="Arial"/>
          <w:sz w:val="28"/>
          <w:szCs w:val="28"/>
        </w:rPr>
      </w:pPr>
      <w:r w:rsidRPr="00790E42">
        <w:rPr>
          <w:rFonts w:ascii="Arial" w:hAnsi="Arial" w:cs="Arial"/>
          <w:sz w:val="28"/>
          <w:szCs w:val="28"/>
        </w:rPr>
        <w:t xml:space="preserve">Toda vez que este Tribunal de Alzada consideró declarar infundados los agravios hechos valer por la </w:t>
      </w:r>
      <w:r w:rsidRPr="00790E42">
        <w:rPr>
          <w:rFonts w:ascii="Arial" w:hAnsi="Arial" w:cs="Arial"/>
          <w:color w:val="000000"/>
          <w:sz w:val="28"/>
          <w:szCs w:val="28"/>
          <w:lang w:val="es-ES" w:eastAsia="es-ES" w:bidi="es-ES"/>
        </w:rPr>
        <w:t>persona moral “</w:t>
      </w:r>
      <w:r w:rsidR="0050127A">
        <w:rPr>
          <w:rFonts w:ascii="Arial" w:hAnsi="Arial" w:cs="Arial"/>
          <w:b/>
          <w:color w:val="FF0000"/>
          <w:sz w:val="28"/>
          <w:szCs w:val="28"/>
        </w:rPr>
        <w:t>**********</w:t>
      </w:r>
      <w:r w:rsidRPr="00790E42">
        <w:rPr>
          <w:rFonts w:ascii="Arial" w:hAnsi="Arial" w:cs="Arial"/>
          <w:b/>
          <w:sz w:val="28"/>
          <w:szCs w:val="28"/>
        </w:rPr>
        <w:t>,</w:t>
      </w:r>
      <w:r w:rsidRPr="00790E42">
        <w:rPr>
          <w:rFonts w:ascii="Arial" w:hAnsi="Arial" w:cs="Arial"/>
          <w:sz w:val="28"/>
          <w:szCs w:val="28"/>
        </w:rPr>
        <w:t xml:space="preserve"> por conducto de su autorizado</w:t>
      </w:r>
      <w:r w:rsidRPr="00790E42">
        <w:rPr>
          <w:rFonts w:ascii="Arial" w:hAnsi="Arial" w:cs="Arial"/>
          <w:b/>
          <w:sz w:val="28"/>
          <w:szCs w:val="28"/>
        </w:rPr>
        <w:t xml:space="preserve"> </w:t>
      </w:r>
      <w:r w:rsidR="0050127A">
        <w:rPr>
          <w:rFonts w:ascii="Arial" w:hAnsi="Arial" w:cs="Arial"/>
          <w:b/>
          <w:color w:val="FF0000"/>
          <w:sz w:val="28"/>
          <w:szCs w:val="28"/>
        </w:rPr>
        <w:t>**********</w:t>
      </w:r>
      <w:r w:rsidRPr="00790E42">
        <w:rPr>
          <w:rFonts w:ascii="Arial" w:hAnsi="Arial" w:cs="Arial"/>
          <w:sz w:val="28"/>
          <w:szCs w:val="28"/>
        </w:rPr>
        <w:t>, lo procedente es confirmar la resolución apelada bajo los términos de la presente resolución.</w:t>
      </w:r>
    </w:p>
    <w:p w14:paraId="05E583B0" w14:textId="77777777" w:rsidR="001D6536" w:rsidRPr="00790E42" w:rsidRDefault="001D6536" w:rsidP="00790E42">
      <w:pPr>
        <w:spacing w:after="0" w:line="360" w:lineRule="auto"/>
        <w:ind w:firstLine="851"/>
        <w:jc w:val="both"/>
        <w:rPr>
          <w:rFonts w:ascii="Arial" w:hAnsi="Arial" w:cs="Arial"/>
          <w:sz w:val="28"/>
          <w:szCs w:val="28"/>
        </w:rPr>
      </w:pPr>
    </w:p>
    <w:p w14:paraId="3F720140" w14:textId="30742260" w:rsidR="001D495E" w:rsidRPr="005C1913" w:rsidRDefault="001D495E" w:rsidP="001D495E">
      <w:pPr>
        <w:spacing w:after="0" w:line="360" w:lineRule="auto"/>
        <w:ind w:firstLine="851"/>
        <w:jc w:val="both"/>
        <w:rPr>
          <w:rFonts w:ascii="Arial" w:hAnsi="Arial" w:cs="Arial"/>
          <w:sz w:val="28"/>
          <w:szCs w:val="28"/>
        </w:rPr>
      </w:pPr>
      <w:r w:rsidRPr="005C1913">
        <w:rPr>
          <w:rFonts w:ascii="Arial" w:hAnsi="Arial" w:cs="Arial"/>
          <w:sz w:val="28"/>
          <w:szCs w:val="28"/>
        </w:rPr>
        <w:t>Por último,</w:t>
      </w:r>
      <w:r>
        <w:rPr>
          <w:rFonts w:ascii="Arial" w:hAnsi="Arial" w:cs="Arial"/>
          <w:sz w:val="28"/>
          <w:szCs w:val="28"/>
        </w:rPr>
        <w:t xml:space="preserve"> </w:t>
      </w:r>
      <w:r w:rsidRPr="00BD3599">
        <w:rPr>
          <w:rFonts w:ascii="Arial" w:hAnsi="Arial" w:cs="Arial"/>
          <w:sz w:val="28"/>
          <w:szCs w:val="28"/>
        </w:rPr>
        <w:t>con apoyo en lo dispuesto por el artículo 22 Bis</w:t>
      </w:r>
      <w:r w:rsidRPr="00BD3599">
        <w:rPr>
          <w:rStyle w:val="Refdenotaalpie"/>
          <w:rFonts w:ascii="Arial" w:hAnsi="Arial" w:cs="Arial"/>
          <w:sz w:val="28"/>
          <w:szCs w:val="28"/>
        </w:rPr>
        <w:footnoteReference w:id="29"/>
      </w:r>
      <w:r w:rsidRPr="00BD3599">
        <w:rPr>
          <w:rFonts w:ascii="Arial" w:hAnsi="Arial" w:cs="Arial"/>
          <w:sz w:val="28"/>
          <w:szCs w:val="28"/>
        </w:rPr>
        <w:t xml:space="preserve"> del Reglamento Interior de este Tribunal, se habilita al licenciado </w:t>
      </w:r>
      <w:r w:rsidR="0050127A">
        <w:rPr>
          <w:rFonts w:ascii="Arial" w:hAnsi="Arial" w:cs="Arial"/>
          <w:color w:val="FF0000"/>
          <w:sz w:val="28"/>
          <w:szCs w:val="28"/>
        </w:rPr>
        <w:t>**********</w:t>
      </w:r>
      <w:r w:rsidRPr="00494C44">
        <w:rPr>
          <w:rFonts w:ascii="Arial" w:hAnsi="Arial" w:cs="Arial"/>
          <w:sz w:val="28"/>
          <w:szCs w:val="28"/>
        </w:rPr>
        <w:t xml:space="preserve">, </w:t>
      </w:r>
      <w:r w:rsidRPr="00983F9E">
        <w:rPr>
          <w:rFonts w:ascii="Arial" w:hAnsi="Arial" w:cs="Arial"/>
          <w:sz w:val="28"/>
          <w:szCs w:val="28"/>
        </w:rPr>
        <w:t>para q</w:t>
      </w:r>
      <w:r>
        <w:rPr>
          <w:rFonts w:ascii="Arial" w:hAnsi="Arial" w:cs="Arial"/>
          <w:sz w:val="28"/>
          <w:szCs w:val="28"/>
        </w:rPr>
        <w:t>ue lleve a cabo la notificación</w:t>
      </w:r>
      <w:r w:rsidRPr="005C1913">
        <w:rPr>
          <w:rFonts w:ascii="Arial" w:hAnsi="Arial" w:cs="Arial"/>
          <w:sz w:val="28"/>
          <w:szCs w:val="28"/>
        </w:rPr>
        <w:t xml:space="preserve"> de la presente resolución.</w:t>
      </w:r>
    </w:p>
    <w:p w14:paraId="088F8B74" w14:textId="77777777" w:rsidR="001D6536" w:rsidRPr="00790E42" w:rsidRDefault="001D6536" w:rsidP="004E15C9">
      <w:pPr>
        <w:spacing w:after="0" w:line="360" w:lineRule="auto"/>
        <w:ind w:firstLine="851"/>
        <w:jc w:val="both"/>
        <w:rPr>
          <w:rFonts w:ascii="Arial" w:hAnsi="Arial" w:cs="Arial"/>
          <w:sz w:val="28"/>
          <w:szCs w:val="28"/>
        </w:rPr>
      </w:pPr>
    </w:p>
    <w:p w14:paraId="02536525" w14:textId="77777777" w:rsidR="000A3130" w:rsidRDefault="000A3130" w:rsidP="004E15C9">
      <w:pPr>
        <w:spacing w:after="0" w:line="360" w:lineRule="auto"/>
        <w:ind w:firstLine="851"/>
        <w:jc w:val="both"/>
        <w:rPr>
          <w:rFonts w:ascii="Arial" w:hAnsi="Arial" w:cs="Arial"/>
          <w:sz w:val="28"/>
          <w:szCs w:val="28"/>
        </w:rPr>
      </w:pPr>
      <w:r w:rsidRPr="00790E42">
        <w:rPr>
          <w:rFonts w:ascii="Arial" w:hAnsi="Arial" w:cs="Arial"/>
          <w:sz w:val="28"/>
          <w:szCs w:val="28"/>
        </w:rPr>
        <w:t>Por lo anteriormente expuesto, fundado y con apoyo además en el artículo 156 del Código Procesal Administrativo para el Estado de San Luis Potosí, y en cumplimiento a lo determinado en la ejecutoria de amparo de conformidad con el párrafo primero del artículo 192 de la Ley de Amparo, es de resolverse y se:</w:t>
      </w:r>
    </w:p>
    <w:p w14:paraId="1D3F540F" w14:textId="77777777" w:rsidR="004E15C9" w:rsidRPr="00790E42" w:rsidRDefault="004E15C9" w:rsidP="004E15C9">
      <w:pPr>
        <w:spacing w:after="0" w:line="360" w:lineRule="auto"/>
        <w:ind w:firstLine="851"/>
        <w:jc w:val="both"/>
        <w:rPr>
          <w:rFonts w:ascii="Arial" w:hAnsi="Arial" w:cs="Arial"/>
          <w:sz w:val="28"/>
          <w:szCs w:val="28"/>
        </w:rPr>
      </w:pPr>
    </w:p>
    <w:p w14:paraId="663DD9F9" w14:textId="77777777" w:rsidR="000A3130" w:rsidRDefault="000A3130" w:rsidP="004E15C9">
      <w:pPr>
        <w:spacing w:after="0" w:line="360" w:lineRule="auto"/>
        <w:jc w:val="center"/>
        <w:rPr>
          <w:rFonts w:ascii="Arial" w:hAnsi="Arial" w:cs="Arial"/>
          <w:b/>
          <w:spacing w:val="40"/>
          <w:sz w:val="28"/>
          <w:szCs w:val="28"/>
        </w:rPr>
      </w:pPr>
      <w:r>
        <w:rPr>
          <w:rFonts w:ascii="Arial" w:hAnsi="Arial" w:cs="Arial"/>
          <w:b/>
          <w:spacing w:val="40"/>
          <w:sz w:val="28"/>
          <w:szCs w:val="28"/>
        </w:rPr>
        <w:t>RESUELVE:</w:t>
      </w:r>
    </w:p>
    <w:p w14:paraId="21888E61" w14:textId="77777777" w:rsidR="004E15C9" w:rsidRPr="0070037F" w:rsidRDefault="004E15C9" w:rsidP="004E15C9">
      <w:pPr>
        <w:spacing w:after="0" w:line="360" w:lineRule="auto"/>
        <w:jc w:val="center"/>
        <w:rPr>
          <w:rFonts w:ascii="Arial" w:hAnsi="Arial" w:cs="Arial"/>
          <w:b/>
          <w:spacing w:val="40"/>
          <w:sz w:val="28"/>
          <w:szCs w:val="28"/>
        </w:rPr>
      </w:pPr>
    </w:p>
    <w:p w14:paraId="324EE230" w14:textId="5C547E47" w:rsidR="000A3130" w:rsidRDefault="000A3130" w:rsidP="004E15C9">
      <w:pPr>
        <w:spacing w:after="0" w:line="360" w:lineRule="auto"/>
        <w:ind w:firstLine="851"/>
        <w:jc w:val="both"/>
        <w:rPr>
          <w:rFonts w:ascii="Arial" w:hAnsi="Arial" w:cs="Arial"/>
          <w:sz w:val="28"/>
          <w:szCs w:val="28"/>
          <w:lang w:val="es-ES_tradnl"/>
        </w:rPr>
      </w:pPr>
      <w:r>
        <w:rPr>
          <w:rFonts w:ascii="Arial" w:hAnsi="Arial" w:cs="Arial"/>
          <w:b/>
          <w:sz w:val="28"/>
          <w:szCs w:val="28"/>
          <w:lang w:val="es-ES_tradnl"/>
        </w:rPr>
        <w:t>UNICO</w:t>
      </w:r>
      <w:r w:rsidRPr="003979F9">
        <w:rPr>
          <w:rFonts w:ascii="Arial" w:hAnsi="Arial" w:cs="Arial"/>
          <w:b/>
          <w:sz w:val="28"/>
          <w:szCs w:val="28"/>
          <w:lang w:val="es-ES_tradnl"/>
        </w:rPr>
        <w:t>.</w:t>
      </w:r>
      <w:r>
        <w:rPr>
          <w:rFonts w:ascii="Arial" w:hAnsi="Arial" w:cs="Arial"/>
          <w:sz w:val="28"/>
          <w:szCs w:val="28"/>
          <w:lang w:val="es-ES_tradnl"/>
        </w:rPr>
        <w:t xml:space="preserve"> En estricto acatamiento a la ejecutoria de amparo de </w:t>
      </w:r>
      <w:r w:rsidRPr="004E15C9">
        <w:rPr>
          <w:rFonts w:ascii="Arial" w:hAnsi="Arial" w:cs="Arial"/>
          <w:color w:val="0000FF"/>
          <w:sz w:val="28"/>
          <w:szCs w:val="28"/>
          <w:lang w:val="es-ES_tradnl"/>
        </w:rPr>
        <w:t>once de abril de dos mil veinticuatro</w:t>
      </w:r>
      <w:r>
        <w:rPr>
          <w:rFonts w:ascii="Arial" w:hAnsi="Arial" w:cs="Arial"/>
          <w:sz w:val="28"/>
          <w:szCs w:val="28"/>
          <w:lang w:val="es-ES_tradnl"/>
        </w:rPr>
        <w:t xml:space="preserve">, dictada por el Segundo Tribunal Colegiado en Materias Civil y Administrativa del Noveno Circuito en el amparo directo </w:t>
      </w:r>
      <w:r w:rsidR="0050127A">
        <w:rPr>
          <w:rFonts w:ascii="Arial" w:hAnsi="Arial" w:cs="Arial"/>
          <w:color w:val="FF0000"/>
          <w:sz w:val="28"/>
          <w:szCs w:val="28"/>
          <w:lang w:val="es-ES_tradnl"/>
        </w:rPr>
        <w:t>**********</w:t>
      </w:r>
      <w:r>
        <w:rPr>
          <w:rFonts w:ascii="Arial" w:hAnsi="Arial" w:cs="Arial"/>
          <w:sz w:val="28"/>
          <w:szCs w:val="28"/>
          <w:lang w:val="es-ES_tradnl"/>
        </w:rPr>
        <w:t xml:space="preserve">2022; se </w:t>
      </w:r>
      <w:r>
        <w:rPr>
          <w:rFonts w:ascii="Arial" w:hAnsi="Arial" w:cs="Arial"/>
          <w:b/>
          <w:sz w:val="28"/>
          <w:szCs w:val="28"/>
          <w:lang w:val="es-ES_tradnl"/>
        </w:rPr>
        <w:t>CONFIRMA</w:t>
      </w:r>
      <w:r>
        <w:rPr>
          <w:rFonts w:ascii="Arial" w:hAnsi="Arial" w:cs="Arial"/>
          <w:sz w:val="28"/>
          <w:szCs w:val="28"/>
          <w:lang w:val="es-ES_tradnl"/>
        </w:rPr>
        <w:t xml:space="preserve"> la sentencia de </w:t>
      </w:r>
      <w:r w:rsidRPr="00CA3366">
        <w:rPr>
          <w:rFonts w:ascii="Arial" w:hAnsi="Arial" w:cs="Arial"/>
          <w:color w:val="0000FF"/>
          <w:sz w:val="28"/>
          <w:szCs w:val="28"/>
          <w:lang w:val="es-ES" w:eastAsia="es-ES" w:bidi="es-ES"/>
        </w:rPr>
        <w:t>treinta de septiembre de dos mil veintiuno</w:t>
      </w:r>
      <w:r w:rsidRPr="003979F9">
        <w:rPr>
          <w:rFonts w:ascii="Arial" w:hAnsi="Arial" w:cs="Arial"/>
          <w:color w:val="000000"/>
          <w:sz w:val="28"/>
          <w:szCs w:val="28"/>
          <w:lang w:val="es-ES" w:eastAsia="es-ES" w:bidi="es-ES"/>
        </w:rPr>
        <w:t xml:space="preserve">, pronunciada por la </w:t>
      </w:r>
      <w:r>
        <w:rPr>
          <w:rFonts w:ascii="Arial" w:hAnsi="Arial" w:cs="Arial"/>
          <w:color w:val="000000"/>
          <w:sz w:val="28"/>
          <w:szCs w:val="28"/>
          <w:lang w:val="es-ES" w:eastAsia="es-ES" w:bidi="es-ES"/>
        </w:rPr>
        <w:t>Primera</w:t>
      </w:r>
      <w:r w:rsidRPr="003979F9">
        <w:rPr>
          <w:rFonts w:ascii="Arial" w:hAnsi="Arial" w:cs="Arial"/>
          <w:color w:val="000000"/>
          <w:sz w:val="28"/>
          <w:szCs w:val="28"/>
          <w:lang w:val="es-ES" w:eastAsia="es-ES" w:bidi="es-ES"/>
        </w:rPr>
        <w:t xml:space="preserve"> Sala Unitaria</w:t>
      </w:r>
      <w:r>
        <w:rPr>
          <w:rFonts w:ascii="Arial" w:hAnsi="Arial" w:cs="Arial"/>
          <w:color w:val="000000"/>
          <w:sz w:val="28"/>
          <w:szCs w:val="28"/>
          <w:lang w:val="es-ES" w:eastAsia="es-ES" w:bidi="es-ES"/>
        </w:rPr>
        <w:t xml:space="preserve"> del Tribunal </w:t>
      </w:r>
      <w:r>
        <w:rPr>
          <w:rFonts w:ascii="Arial" w:hAnsi="Arial" w:cs="Arial"/>
          <w:color w:val="000000"/>
          <w:sz w:val="28"/>
          <w:szCs w:val="28"/>
          <w:lang w:val="es-ES" w:eastAsia="es-ES" w:bidi="es-ES"/>
        </w:rPr>
        <w:lastRenderedPageBreak/>
        <w:t>Estatal de Justicia Administrativa</w:t>
      </w:r>
      <w:r w:rsidRPr="003979F9">
        <w:rPr>
          <w:rFonts w:ascii="Arial" w:hAnsi="Arial" w:cs="Arial"/>
          <w:color w:val="000000"/>
          <w:sz w:val="28"/>
          <w:szCs w:val="28"/>
          <w:lang w:val="es-ES" w:eastAsia="es-ES" w:bidi="es-ES"/>
        </w:rPr>
        <w:t xml:space="preserve"> al resolver el juicio contencioso administrativo número </w:t>
      </w:r>
      <w:r w:rsidR="0050127A">
        <w:rPr>
          <w:rFonts w:ascii="Arial" w:hAnsi="Arial" w:cs="Arial"/>
          <w:color w:val="FF0000"/>
          <w:sz w:val="28"/>
          <w:szCs w:val="28"/>
          <w:lang w:val="es-ES" w:eastAsia="es-ES" w:bidi="es-ES"/>
        </w:rPr>
        <w:t>**********</w:t>
      </w:r>
      <w:r>
        <w:rPr>
          <w:rFonts w:ascii="Arial" w:hAnsi="Arial" w:cs="Arial"/>
          <w:color w:val="000000"/>
          <w:sz w:val="28"/>
          <w:szCs w:val="28"/>
          <w:lang w:val="es-ES" w:eastAsia="es-ES" w:bidi="es-ES"/>
        </w:rPr>
        <w:t>/2020-1</w:t>
      </w:r>
      <w:r>
        <w:rPr>
          <w:rFonts w:ascii="Arial" w:hAnsi="Arial" w:cs="Arial"/>
          <w:sz w:val="28"/>
          <w:szCs w:val="28"/>
          <w:lang w:val="es-ES_tradnl"/>
        </w:rPr>
        <w:t>, de acuerdo a las consideraciones y fundamentos precisados en el último considerando de esta sentencia.</w:t>
      </w:r>
    </w:p>
    <w:p w14:paraId="4465C5B2" w14:textId="77777777" w:rsidR="004E15C9" w:rsidRDefault="004E15C9" w:rsidP="004E15C9">
      <w:pPr>
        <w:spacing w:after="0" w:line="360" w:lineRule="auto"/>
        <w:ind w:firstLine="851"/>
        <w:jc w:val="both"/>
        <w:rPr>
          <w:rFonts w:ascii="Arial" w:hAnsi="Arial" w:cs="Arial"/>
          <w:sz w:val="28"/>
          <w:szCs w:val="28"/>
          <w:lang w:val="es-ES_tradnl"/>
        </w:rPr>
      </w:pPr>
    </w:p>
    <w:p w14:paraId="16114F83" w14:textId="54EDFD9A" w:rsidR="000A3130" w:rsidRDefault="000A3130" w:rsidP="004E15C9">
      <w:pPr>
        <w:spacing w:after="0" w:line="360" w:lineRule="auto"/>
        <w:ind w:firstLine="851"/>
        <w:jc w:val="both"/>
        <w:rPr>
          <w:rFonts w:ascii="Arial" w:hAnsi="Arial" w:cs="Arial"/>
          <w:sz w:val="28"/>
          <w:szCs w:val="28"/>
        </w:rPr>
      </w:pPr>
      <w:r w:rsidRPr="00062F4F">
        <w:rPr>
          <w:rFonts w:ascii="Arial" w:hAnsi="Arial" w:cs="Arial"/>
          <w:b/>
          <w:sz w:val="28"/>
          <w:szCs w:val="28"/>
        </w:rPr>
        <w:t>Notifíquese</w:t>
      </w:r>
      <w:r>
        <w:rPr>
          <w:rFonts w:ascii="Arial" w:hAnsi="Arial" w:cs="Arial"/>
          <w:bCs/>
          <w:sz w:val="28"/>
          <w:szCs w:val="28"/>
          <w:lang w:val="es-ES_tradnl"/>
        </w:rPr>
        <w:t xml:space="preserve"> con testimonio de la presente resolución al </w:t>
      </w:r>
      <w:r>
        <w:rPr>
          <w:rFonts w:ascii="Arial" w:hAnsi="Arial" w:cs="Arial"/>
          <w:sz w:val="28"/>
          <w:szCs w:val="28"/>
          <w:lang w:val="es-ES_tradnl"/>
        </w:rPr>
        <w:t xml:space="preserve">Segundo Tribunal Colegiado en Materias Civil y Administrativa del Noveno Circuito, sobre el cumplimiento de la ejecutoria de Amparo Directo Administrativo número </w:t>
      </w:r>
      <w:r w:rsidR="0050127A">
        <w:rPr>
          <w:rFonts w:ascii="Arial" w:hAnsi="Arial" w:cs="Arial"/>
          <w:color w:val="FF0000"/>
          <w:sz w:val="28"/>
          <w:szCs w:val="28"/>
          <w:lang w:val="es-ES_tradnl"/>
        </w:rPr>
        <w:t>**********</w:t>
      </w:r>
      <w:r w:rsidR="004E15C9">
        <w:rPr>
          <w:rFonts w:ascii="Arial" w:hAnsi="Arial" w:cs="Arial"/>
          <w:sz w:val="28"/>
          <w:szCs w:val="28"/>
          <w:lang w:val="es-ES_tradnl"/>
        </w:rPr>
        <w:t>/2022</w:t>
      </w:r>
      <w:r>
        <w:rPr>
          <w:rFonts w:ascii="Arial" w:hAnsi="Arial" w:cs="Arial"/>
          <w:sz w:val="28"/>
          <w:szCs w:val="28"/>
          <w:lang w:val="es-ES_tradnl"/>
        </w:rPr>
        <w:t xml:space="preserve"> para los efectos prescritos en el artículo 192 de la Ley de Amparo; igualmente </w:t>
      </w:r>
      <w:r>
        <w:rPr>
          <w:rFonts w:ascii="Arial" w:hAnsi="Arial" w:cs="Arial"/>
          <w:sz w:val="28"/>
          <w:szCs w:val="28"/>
        </w:rPr>
        <w:t xml:space="preserve">con testimonio de esta resolución de manera personal al actor y </w:t>
      </w:r>
      <w:r w:rsidRPr="00D40E12">
        <w:rPr>
          <w:rFonts w:ascii="Arial" w:hAnsi="Arial" w:cs="Arial"/>
          <w:sz w:val="28"/>
          <w:szCs w:val="28"/>
        </w:rPr>
        <w:t xml:space="preserve">por oficio </w:t>
      </w:r>
      <w:r>
        <w:rPr>
          <w:rFonts w:ascii="Arial" w:hAnsi="Arial" w:cs="Arial"/>
          <w:sz w:val="28"/>
          <w:szCs w:val="28"/>
        </w:rPr>
        <w:t xml:space="preserve">a la autoridad demandada; </w:t>
      </w:r>
      <w:r w:rsidRPr="00037D27">
        <w:rPr>
          <w:rFonts w:ascii="Arial" w:hAnsi="Arial" w:cs="Arial"/>
          <w:sz w:val="28"/>
          <w:szCs w:val="28"/>
        </w:rPr>
        <w:t>remítanse los autos a la Sala de su origen;</w:t>
      </w:r>
      <w:r>
        <w:rPr>
          <w:rFonts w:ascii="Arial" w:hAnsi="Arial" w:cs="Arial"/>
          <w:sz w:val="28"/>
          <w:szCs w:val="28"/>
        </w:rPr>
        <w:t xml:space="preserve"> procédase a realizar las anotaciones respectivas en el Libro de Gobierno y la captura de datos en el Sistema de Control Electrónico de Expedientes Jurisdiccionales (SICEEJURIS); </w:t>
      </w:r>
      <w:r w:rsidRPr="008E7D14">
        <w:rPr>
          <w:rFonts w:ascii="Arial" w:hAnsi="Arial" w:cs="Arial"/>
          <w:sz w:val="28"/>
          <w:szCs w:val="28"/>
        </w:rPr>
        <w:t xml:space="preserve">y en su oportunidad archívese el </w:t>
      </w:r>
      <w:r>
        <w:rPr>
          <w:rFonts w:ascii="Arial" w:hAnsi="Arial" w:cs="Arial"/>
          <w:sz w:val="28"/>
          <w:szCs w:val="28"/>
        </w:rPr>
        <w:t>Toca como asunto concluido</w:t>
      </w:r>
      <w:r w:rsidRPr="008E7D14">
        <w:rPr>
          <w:rFonts w:ascii="Arial" w:hAnsi="Arial" w:cs="Arial"/>
          <w:sz w:val="28"/>
          <w:szCs w:val="28"/>
        </w:rPr>
        <w:t>.</w:t>
      </w:r>
    </w:p>
    <w:p w14:paraId="687F7EC7" w14:textId="77777777" w:rsidR="004E15C9" w:rsidRPr="003B0184" w:rsidRDefault="004E15C9" w:rsidP="004E15C9">
      <w:pPr>
        <w:spacing w:after="0" w:line="360" w:lineRule="auto"/>
        <w:ind w:firstLine="851"/>
        <w:jc w:val="both"/>
        <w:rPr>
          <w:rFonts w:ascii="Arial" w:hAnsi="Arial" w:cs="Arial"/>
          <w:sz w:val="28"/>
          <w:szCs w:val="28"/>
          <w:lang w:val="es-ES_tradnl"/>
        </w:rPr>
      </w:pPr>
    </w:p>
    <w:p w14:paraId="4EA7583E" w14:textId="77777777" w:rsidR="0050127A" w:rsidRDefault="009E1455" w:rsidP="0050127A">
      <w:pPr>
        <w:spacing w:after="0" w:line="360" w:lineRule="auto"/>
        <w:ind w:firstLine="851"/>
        <w:jc w:val="both"/>
        <w:rPr>
          <w:rFonts w:ascii="Arial" w:hAnsi="Arial" w:cs="Arial"/>
          <w:sz w:val="24"/>
          <w:szCs w:val="24"/>
        </w:rPr>
      </w:pPr>
      <w:r>
        <w:rPr>
          <w:rFonts w:ascii="Arial" w:hAnsi="Arial" w:cs="Arial"/>
          <w:color w:val="000000" w:themeColor="text1"/>
          <w:sz w:val="28"/>
          <w:szCs w:val="28"/>
        </w:rPr>
        <w:t xml:space="preserve">Así lo resolvió y firma el Magistrado de la Sala Superior del Tribunal Estatal de Justicia Administrativa licenciado </w:t>
      </w:r>
      <w:r>
        <w:rPr>
          <w:rFonts w:ascii="Arial" w:hAnsi="Arial" w:cs="Arial"/>
          <w:b/>
          <w:color w:val="000000" w:themeColor="text1"/>
          <w:sz w:val="28"/>
          <w:szCs w:val="28"/>
        </w:rPr>
        <w:t>Claudio Alberto Alvarado Barragán</w:t>
      </w:r>
      <w:r>
        <w:rPr>
          <w:rFonts w:ascii="Arial" w:hAnsi="Arial" w:cs="Arial"/>
          <w:color w:val="000000" w:themeColor="text1"/>
          <w:sz w:val="28"/>
          <w:szCs w:val="28"/>
        </w:rPr>
        <w:t xml:space="preserve">, </w:t>
      </w:r>
      <w:r w:rsidR="004E15C9">
        <w:rPr>
          <w:rFonts w:ascii="Arial" w:hAnsi="Arial" w:cs="Arial"/>
          <w:sz w:val="28"/>
          <w:szCs w:val="28"/>
        </w:rPr>
        <w:t xml:space="preserve">quien actúa de forma legal asistido de la Licenciada </w:t>
      </w:r>
      <w:r w:rsidR="004E15C9" w:rsidRPr="004E15C9">
        <w:rPr>
          <w:rFonts w:ascii="Arial" w:hAnsi="Arial" w:cs="Arial"/>
          <w:b/>
          <w:sz w:val="28"/>
          <w:szCs w:val="28"/>
        </w:rPr>
        <w:t>Teresa de Jesús Molina Aguiñaga</w:t>
      </w:r>
      <w:r w:rsidR="004E15C9">
        <w:rPr>
          <w:rFonts w:ascii="Arial" w:hAnsi="Arial" w:cs="Arial"/>
          <w:sz w:val="28"/>
          <w:szCs w:val="28"/>
        </w:rPr>
        <w:t xml:space="preserve">, Secretaria Jurisdiccional </w:t>
      </w:r>
      <w:r>
        <w:rPr>
          <w:rFonts w:ascii="Arial" w:hAnsi="Arial" w:cs="Arial"/>
          <w:color w:val="000000" w:themeColor="text1"/>
          <w:sz w:val="28"/>
          <w:szCs w:val="28"/>
        </w:rPr>
        <w:t>conforme a lo dispuesto por los artículos 18, fracción I</w:t>
      </w:r>
      <w:r>
        <w:rPr>
          <w:rStyle w:val="Refdenotaalpie"/>
          <w:rFonts w:ascii="Arial" w:hAnsi="Arial" w:cs="Arial"/>
          <w:color w:val="000000" w:themeColor="text1"/>
          <w:sz w:val="28"/>
          <w:szCs w:val="28"/>
        </w:rPr>
        <w:footnoteReference w:id="30"/>
      </w:r>
      <w:r>
        <w:rPr>
          <w:rFonts w:ascii="Arial" w:hAnsi="Arial" w:cs="Arial"/>
          <w:color w:val="000000" w:themeColor="text1"/>
          <w:sz w:val="28"/>
          <w:szCs w:val="28"/>
        </w:rPr>
        <w:t xml:space="preserve"> en relación con el 20, fracción X</w:t>
      </w:r>
      <w:r>
        <w:rPr>
          <w:rStyle w:val="Refdenotaalpie"/>
          <w:rFonts w:ascii="Arial" w:hAnsi="Arial" w:cs="Arial"/>
          <w:color w:val="000000" w:themeColor="text1"/>
          <w:sz w:val="28"/>
          <w:szCs w:val="28"/>
        </w:rPr>
        <w:footnoteReference w:id="31"/>
      </w:r>
      <w:r>
        <w:rPr>
          <w:rFonts w:ascii="Arial" w:hAnsi="Arial" w:cs="Arial"/>
          <w:color w:val="000000" w:themeColor="text1"/>
          <w:sz w:val="28"/>
          <w:szCs w:val="28"/>
        </w:rPr>
        <w:t xml:space="preserve"> ambos del Reglamento Interior del Tribunal Estatal de Justicia Administrativa, que autoriza y da fe. </w:t>
      </w:r>
      <w:r w:rsidR="0050127A">
        <w:rPr>
          <w:rFonts w:ascii="Arial" w:hAnsi="Arial" w:cs="Arial"/>
          <w:b/>
          <w:sz w:val="24"/>
          <w:szCs w:val="24"/>
        </w:rPr>
        <w:t>Rúbricas.</w:t>
      </w:r>
    </w:p>
    <w:p w14:paraId="04F11BD8" w14:textId="77777777" w:rsidR="0050127A" w:rsidRPr="007A5122" w:rsidRDefault="0050127A" w:rsidP="0050127A">
      <w:pPr>
        <w:spacing w:after="0" w:line="360" w:lineRule="auto"/>
        <w:jc w:val="both"/>
        <w:rPr>
          <w:rFonts w:ascii="Arial" w:hAnsi="Arial" w:cs="Arial"/>
          <w:sz w:val="18"/>
          <w:szCs w:val="28"/>
        </w:rPr>
      </w:pPr>
    </w:p>
    <w:p w14:paraId="30C5CE5D" w14:textId="77777777" w:rsidR="0050127A" w:rsidRDefault="0050127A" w:rsidP="0050127A">
      <w:pPr>
        <w:pStyle w:val="Piedepgina"/>
        <w:spacing w:after="0" w:line="240" w:lineRule="auto"/>
        <w:jc w:val="both"/>
        <w:rPr>
          <w:rFonts w:ascii="Arial" w:hAnsi="Arial" w:cs="Arial"/>
          <w:sz w:val="20"/>
        </w:rPr>
      </w:pPr>
      <w:r w:rsidRPr="00F97719">
        <w:rPr>
          <w:rFonts w:ascii="Arial" w:hAnsi="Arial" w:cs="Arial"/>
          <w:sz w:val="20"/>
        </w:rPr>
        <w:t>“En términos de los previsto en los artículos 3º fracción XI, XVII, XXVIII y XXXVII, 23, 82 84 fracción XLIII, 87 fracción III y 138 de la Ley de Transparencia y Acceso a la Información Pública del Estado de San Luis Potosí, en esta versión publica se suprime la información considerada legalmente como reservada o confidencial que encuadra en esos supuestos normativos”.</w:t>
      </w:r>
    </w:p>
    <w:p w14:paraId="2F8A95A9" w14:textId="77777777" w:rsidR="0050127A" w:rsidRDefault="0050127A" w:rsidP="0050127A">
      <w:pPr>
        <w:spacing w:line="360" w:lineRule="auto"/>
        <w:jc w:val="both"/>
        <w:rPr>
          <w:rFonts w:ascii="Arial" w:hAnsi="Arial" w:cs="Arial"/>
          <w:b/>
          <w:szCs w:val="24"/>
        </w:rPr>
      </w:pPr>
    </w:p>
    <w:p w14:paraId="729C3FFF" w14:textId="77777777" w:rsidR="0050127A" w:rsidRPr="009B442D" w:rsidRDefault="0050127A" w:rsidP="0050127A">
      <w:pPr>
        <w:spacing w:line="360" w:lineRule="auto"/>
        <w:jc w:val="both"/>
        <w:rPr>
          <w:rFonts w:ascii="Arial" w:hAnsi="Arial" w:cs="Arial"/>
          <w:sz w:val="16"/>
        </w:rPr>
      </w:pPr>
      <w:r>
        <w:rPr>
          <w:rFonts w:ascii="Arial" w:hAnsi="Arial" w:cs="Arial"/>
          <w:b/>
          <w:szCs w:val="24"/>
        </w:rPr>
        <w:lastRenderedPageBreak/>
        <w:t>Se</w:t>
      </w:r>
      <w:r>
        <w:rPr>
          <w:rFonts w:ascii="Arial" w:hAnsi="Arial" w:cs="Arial"/>
          <w:b/>
          <w:color w:val="000000"/>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de la Ley de Transparencia y Acceso a la Información Pública del Estado de San Luis Potosí y 3 fracción VIII y IX, 4 y 29 de la Ley de Protección de Datos Personales en Posesión de los Sujetos Obligados del Estado de San Luis Potosí.</w:t>
      </w:r>
      <w:r>
        <w:rPr>
          <w:rFonts w:ascii="Arial" w:eastAsia="Arial Unicode MS" w:hAnsi="Arial" w:cs="Arial"/>
          <w:szCs w:val="24"/>
          <w:lang w:val="es-ES"/>
        </w:rPr>
        <w:t xml:space="preserve"> </w:t>
      </w:r>
    </w:p>
    <w:p w14:paraId="6F4FFE0A" w14:textId="77777777" w:rsidR="0050127A" w:rsidRPr="009B442D" w:rsidRDefault="0050127A" w:rsidP="0050127A">
      <w:pPr>
        <w:spacing w:after="120" w:line="360" w:lineRule="auto"/>
        <w:ind w:firstLine="709"/>
        <w:jc w:val="both"/>
        <w:rPr>
          <w:rFonts w:ascii="Arial" w:hAnsi="Arial" w:cs="Arial"/>
          <w:sz w:val="16"/>
        </w:rPr>
      </w:pPr>
    </w:p>
    <w:p w14:paraId="6A9B89D8" w14:textId="4236E2CB" w:rsidR="00384281" w:rsidRPr="00384281" w:rsidRDefault="00384281" w:rsidP="0050127A">
      <w:pPr>
        <w:spacing w:after="0" w:line="360" w:lineRule="auto"/>
        <w:ind w:firstLine="851"/>
        <w:jc w:val="both"/>
        <w:rPr>
          <w:rFonts w:ascii="Arial" w:hAnsi="Arial" w:cs="Arial"/>
          <w:sz w:val="18"/>
          <w:szCs w:val="20"/>
        </w:rPr>
      </w:pPr>
      <w:bookmarkStart w:id="0" w:name="_GoBack"/>
      <w:bookmarkEnd w:id="0"/>
    </w:p>
    <w:sectPr w:rsidR="00384281" w:rsidRPr="00384281" w:rsidSect="00C116EA">
      <w:headerReference w:type="default" r:id="rId13"/>
      <w:footerReference w:type="even" r:id="rId14"/>
      <w:footerReference w:type="default" r:id="rId15"/>
      <w:headerReference w:type="first" r:id="rId16"/>
      <w:footerReference w:type="first" r:id="rId17"/>
      <w:pgSz w:w="12242" w:h="19295" w:code="305"/>
      <w:pgMar w:top="1134" w:right="1134" w:bottom="1134" w:left="3119" w:header="720" w:footer="720"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7D4F21" w14:textId="77777777" w:rsidR="00775AFE" w:rsidRDefault="00775AFE" w:rsidP="00283888">
      <w:pPr>
        <w:spacing w:after="0" w:line="240" w:lineRule="auto"/>
      </w:pPr>
      <w:r>
        <w:separator/>
      </w:r>
    </w:p>
  </w:endnote>
  <w:endnote w:type="continuationSeparator" w:id="0">
    <w:p w14:paraId="2C2257B3" w14:textId="77777777" w:rsidR="00775AFE" w:rsidRDefault="00775AFE"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MT">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Calligraphy">
    <w:panose1 w:val="03010101010101010101"/>
    <w:charset w:val="00"/>
    <w:family w:val="script"/>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02E91" w14:textId="77777777" w:rsidR="0007398E" w:rsidRDefault="0007398E" w:rsidP="00277E3C">
    <w:pPr>
      <w:pStyle w:val="Piedepgina"/>
      <w:spacing w:after="120" w:line="360" w:lineRule="auto"/>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0127A">
      <w:rPr>
        <w:b/>
        <w:bCs/>
        <w:noProof/>
      </w:rPr>
      <w:t>110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0127A">
      <w:rPr>
        <w:b/>
        <w:bCs/>
        <w:noProof/>
      </w:rPr>
      <w:t>111</w:t>
    </w:r>
    <w:r>
      <w:rPr>
        <w:b/>
        <w:bCs/>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DB94E" w14:textId="75DD926D" w:rsidR="0007398E" w:rsidRDefault="0007398E" w:rsidP="00AE46D3">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0127A">
      <w:rPr>
        <w:b/>
        <w:bCs/>
        <w:noProof/>
      </w:rPr>
      <w:t>111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0127A">
      <w:rPr>
        <w:b/>
        <w:bCs/>
        <w:noProof/>
      </w:rPr>
      <w:t>111</w:t>
    </w:r>
    <w:r>
      <w:rPr>
        <w:b/>
        <w:bCs/>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6846813"/>
      <w:docPartObj>
        <w:docPartGallery w:val="Page Numbers (Bottom of Page)"/>
        <w:docPartUnique/>
      </w:docPartObj>
    </w:sdtPr>
    <w:sdtContent>
      <w:sdt>
        <w:sdtPr>
          <w:id w:val="860082579"/>
          <w:docPartObj>
            <w:docPartGallery w:val="Page Numbers (Top of Page)"/>
            <w:docPartUnique/>
          </w:docPartObj>
        </w:sdtPr>
        <w:sdtContent>
          <w:p w14:paraId="1E974C91" w14:textId="7EE08B0F" w:rsidR="0007398E" w:rsidRDefault="0007398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0127A">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0127A">
              <w:rPr>
                <w:b/>
                <w:bCs/>
                <w:noProof/>
              </w:rPr>
              <w:t>111</w:t>
            </w:r>
            <w:r>
              <w:rPr>
                <w:b/>
                <w:bCs/>
                <w:sz w:val="24"/>
                <w:szCs w:val="24"/>
              </w:rPr>
              <w:fldChar w:fldCharType="end"/>
            </w:r>
          </w:p>
        </w:sdtContent>
      </w:sdt>
    </w:sdtContent>
  </w:sdt>
  <w:p w14:paraId="7A404F5D" w14:textId="77777777" w:rsidR="0007398E" w:rsidRDefault="0007398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93E279" w14:textId="77777777" w:rsidR="00775AFE" w:rsidRDefault="00775AFE" w:rsidP="00283888">
      <w:pPr>
        <w:spacing w:after="0" w:line="240" w:lineRule="auto"/>
      </w:pPr>
      <w:r>
        <w:separator/>
      </w:r>
    </w:p>
  </w:footnote>
  <w:footnote w:type="continuationSeparator" w:id="0">
    <w:p w14:paraId="3FAA41FE" w14:textId="77777777" w:rsidR="00775AFE" w:rsidRDefault="00775AFE" w:rsidP="00283888">
      <w:pPr>
        <w:spacing w:after="0" w:line="240" w:lineRule="auto"/>
      </w:pPr>
      <w:r>
        <w:continuationSeparator/>
      </w:r>
    </w:p>
  </w:footnote>
  <w:footnote w:id="1">
    <w:p w14:paraId="684FB57D" w14:textId="0BA93FAE" w:rsidR="0007398E" w:rsidRDefault="0007398E" w:rsidP="00E61EBB">
      <w:pPr>
        <w:pStyle w:val="Textonotapie"/>
        <w:jc w:val="both"/>
        <w:rPr>
          <w:rFonts w:asciiTheme="minorHAnsi" w:hAnsiTheme="minorHAnsi" w:cstheme="minorHAnsi"/>
          <w:i/>
        </w:rPr>
      </w:pPr>
      <w:r w:rsidRPr="00E61EBB">
        <w:rPr>
          <w:rStyle w:val="Refdenotaalpie"/>
        </w:rPr>
        <w:footnoteRef/>
      </w:r>
      <w:r w:rsidRPr="00E61EBB">
        <w:t xml:space="preserve"> </w:t>
      </w:r>
      <w:r w:rsidRPr="00E61EBB">
        <w:rPr>
          <w:rFonts w:asciiTheme="minorHAnsi" w:hAnsiTheme="minorHAnsi" w:cstheme="minorHAnsi"/>
          <w:i/>
        </w:rPr>
        <w:t>Foja 434 del expediente de origen</w:t>
      </w:r>
      <w:r>
        <w:rPr>
          <w:rFonts w:asciiTheme="minorHAnsi" w:hAnsiTheme="minorHAnsi" w:cstheme="minorHAnsi"/>
          <w:i/>
        </w:rPr>
        <w:t>.</w:t>
      </w:r>
    </w:p>
    <w:p w14:paraId="76FC9FCB" w14:textId="77777777" w:rsidR="0007398E" w:rsidRPr="00E61EBB" w:rsidRDefault="0007398E" w:rsidP="00E61EBB">
      <w:pPr>
        <w:pStyle w:val="Textonotapie"/>
        <w:jc w:val="both"/>
        <w:rPr>
          <w:rFonts w:asciiTheme="minorHAnsi" w:hAnsiTheme="minorHAnsi" w:cstheme="minorHAnsi"/>
          <w:i/>
        </w:rPr>
      </w:pPr>
    </w:p>
  </w:footnote>
  <w:footnote w:id="2">
    <w:p w14:paraId="3709D547" w14:textId="77777777" w:rsidR="0007398E" w:rsidRPr="00E61EBB" w:rsidRDefault="0007398E" w:rsidP="00E61EBB">
      <w:pPr>
        <w:pStyle w:val="Textonotapie"/>
        <w:jc w:val="both"/>
        <w:rPr>
          <w:rFonts w:asciiTheme="minorHAnsi" w:hAnsiTheme="minorHAnsi" w:cstheme="minorHAnsi"/>
          <w:bCs/>
          <w:i/>
        </w:rPr>
      </w:pPr>
      <w:r w:rsidRPr="00E61EBB">
        <w:rPr>
          <w:rStyle w:val="Refdenotaalpie"/>
          <w:rFonts w:asciiTheme="minorHAnsi" w:hAnsiTheme="minorHAnsi" w:cstheme="minorHAnsi"/>
          <w:i/>
        </w:rPr>
        <w:footnoteRef/>
      </w:r>
      <w:r w:rsidRPr="00E61EBB">
        <w:rPr>
          <w:rFonts w:asciiTheme="minorHAnsi" w:hAnsiTheme="minorHAnsi" w:cstheme="minorHAnsi"/>
          <w:i/>
        </w:rPr>
        <w:t xml:space="preserve"> </w:t>
      </w:r>
      <w:r w:rsidRPr="00E61EBB">
        <w:rPr>
          <w:rFonts w:asciiTheme="minorHAnsi" w:hAnsiTheme="minorHAnsi" w:cstheme="minorHAnsi"/>
          <w:b/>
          <w:i/>
        </w:rPr>
        <w:t>“</w:t>
      </w:r>
      <w:r w:rsidRPr="00E61EBB">
        <w:rPr>
          <w:rFonts w:asciiTheme="minorHAnsi" w:hAnsiTheme="minorHAnsi" w:cstheme="minorHAnsi"/>
          <w:b/>
          <w:bCs/>
          <w:i/>
        </w:rPr>
        <w:t>Artículo 152</w:t>
      </w:r>
    </w:p>
    <w:p w14:paraId="54F25B7E" w14:textId="3F246F6A" w:rsidR="0007398E" w:rsidRPr="00E61EBB" w:rsidRDefault="0007398E" w:rsidP="00E61EBB">
      <w:pPr>
        <w:pStyle w:val="Textonotapie"/>
        <w:jc w:val="both"/>
        <w:rPr>
          <w:rFonts w:asciiTheme="minorHAnsi" w:hAnsiTheme="minorHAnsi" w:cstheme="minorHAnsi"/>
          <w:i/>
        </w:rPr>
      </w:pPr>
      <w:r w:rsidRPr="00E61EBB">
        <w:rPr>
          <w:rFonts w:asciiTheme="minorHAnsi" w:hAnsiTheme="minorHAnsi" w:cstheme="minorHAnsi"/>
          <w:bCs/>
          <w:i/>
        </w:rPr>
        <w:t>[…]</w:t>
      </w:r>
    </w:p>
    <w:p w14:paraId="70ACDDDE" w14:textId="77777777" w:rsidR="0007398E" w:rsidRDefault="0007398E" w:rsidP="00255501">
      <w:pPr>
        <w:pStyle w:val="Textonotapie"/>
        <w:jc w:val="both"/>
        <w:rPr>
          <w:rFonts w:asciiTheme="minorHAnsi" w:hAnsiTheme="minorHAnsi" w:cstheme="minorHAnsi"/>
          <w:i/>
        </w:rPr>
      </w:pPr>
      <w:r w:rsidRPr="00E61EBB">
        <w:rPr>
          <w:rFonts w:asciiTheme="minorHAnsi" w:hAnsiTheme="minorHAnsi" w:cstheme="minorHAnsi"/>
          <w:i/>
        </w:rPr>
        <w:t xml:space="preserve">El recurso de apelación deberá promoverse ante la Sala que haya emitido la resolución, que se turnará conjuntamente con el expediente del juicio dentro de los tres días hábiles siguientes a su </w:t>
      </w:r>
      <w:r w:rsidRPr="00255501">
        <w:rPr>
          <w:rFonts w:asciiTheme="minorHAnsi" w:hAnsiTheme="minorHAnsi" w:cstheme="minorHAnsi"/>
          <w:i/>
        </w:rPr>
        <w:t>recepción a la Sala Superior del Tribunal, la que lo substanciará y resolverá de conformidad con lo dispuesto en la presente Sección.”</w:t>
      </w:r>
    </w:p>
    <w:p w14:paraId="07B6C91D" w14:textId="77777777" w:rsidR="0007398E" w:rsidRPr="00255501" w:rsidRDefault="0007398E" w:rsidP="00255501">
      <w:pPr>
        <w:pStyle w:val="Textonotapie"/>
        <w:jc w:val="both"/>
        <w:rPr>
          <w:rFonts w:asciiTheme="minorHAnsi" w:hAnsiTheme="minorHAnsi" w:cstheme="minorHAnsi"/>
          <w:i/>
        </w:rPr>
      </w:pPr>
    </w:p>
  </w:footnote>
  <w:footnote w:id="3">
    <w:p w14:paraId="4FE8D91E" w14:textId="7029251C" w:rsidR="0007398E" w:rsidRDefault="0007398E" w:rsidP="00255501">
      <w:pPr>
        <w:pStyle w:val="Textonotapie"/>
        <w:jc w:val="both"/>
        <w:rPr>
          <w:rFonts w:asciiTheme="minorHAnsi" w:hAnsiTheme="minorHAnsi" w:cstheme="minorHAnsi"/>
          <w:i/>
        </w:rPr>
      </w:pPr>
      <w:r w:rsidRPr="00255501">
        <w:rPr>
          <w:rStyle w:val="Refdenotaalpie"/>
          <w:rFonts w:asciiTheme="minorHAnsi" w:hAnsiTheme="minorHAnsi" w:cstheme="minorHAnsi"/>
          <w:i/>
        </w:rPr>
        <w:footnoteRef/>
      </w:r>
      <w:r w:rsidRPr="00255501">
        <w:rPr>
          <w:rFonts w:asciiTheme="minorHAnsi" w:hAnsiTheme="minorHAnsi" w:cstheme="minorHAnsi"/>
          <w:i/>
        </w:rPr>
        <w:t xml:space="preserve"> Fojas 47-48 del Toca</w:t>
      </w:r>
    </w:p>
    <w:p w14:paraId="72CC70C8" w14:textId="77777777" w:rsidR="0007398E" w:rsidRPr="00255501" w:rsidRDefault="0007398E" w:rsidP="00255501">
      <w:pPr>
        <w:pStyle w:val="Textonotapie"/>
        <w:jc w:val="both"/>
        <w:rPr>
          <w:rFonts w:asciiTheme="minorHAnsi" w:hAnsiTheme="minorHAnsi" w:cstheme="minorHAnsi"/>
          <w:i/>
        </w:rPr>
      </w:pPr>
    </w:p>
  </w:footnote>
  <w:footnote w:id="4">
    <w:p w14:paraId="12C98399" w14:textId="67EC13F4" w:rsidR="0007398E" w:rsidRDefault="0007398E" w:rsidP="00255501">
      <w:pPr>
        <w:pStyle w:val="Textonotapie"/>
        <w:jc w:val="both"/>
        <w:rPr>
          <w:rFonts w:asciiTheme="minorHAnsi" w:hAnsiTheme="minorHAnsi" w:cstheme="minorHAnsi"/>
          <w:i/>
        </w:rPr>
      </w:pPr>
      <w:r w:rsidRPr="00255501">
        <w:rPr>
          <w:rStyle w:val="Refdenotaalpie"/>
          <w:rFonts w:asciiTheme="minorHAnsi" w:hAnsiTheme="minorHAnsi" w:cstheme="minorHAnsi"/>
          <w:i/>
        </w:rPr>
        <w:footnoteRef/>
      </w:r>
      <w:r w:rsidRPr="00255501">
        <w:rPr>
          <w:rFonts w:asciiTheme="minorHAnsi" w:hAnsiTheme="minorHAnsi" w:cstheme="minorHAnsi"/>
          <w:i/>
        </w:rPr>
        <w:t xml:space="preserve"> Foja 55 del Toca</w:t>
      </w:r>
    </w:p>
    <w:p w14:paraId="0A4E241F" w14:textId="77777777" w:rsidR="0007398E" w:rsidRPr="00255501" w:rsidRDefault="0007398E" w:rsidP="00255501">
      <w:pPr>
        <w:pStyle w:val="Textonotapie"/>
        <w:jc w:val="both"/>
        <w:rPr>
          <w:rFonts w:asciiTheme="minorHAnsi" w:hAnsiTheme="minorHAnsi" w:cstheme="minorHAnsi"/>
          <w:i/>
        </w:rPr>
      </w:pPr>
    </w:p>
  </w:footnote>
  <w:footnote w:id="5">
    <w:p w14:paraId="57CA4F82" w14:textId="6AC273CD" w:rsidR="0007398E" w:rsidRPr="00255501" w:rsidRDefault="0007398E" w:rsidP="00255501">
      <w:pPr>
        <w:pStyle w:val="Textonotapie"/>
        <w:jc w:val="both"/>
        <w:rPr>
          <w:rFonts w:asciiTheme="minorHAnsi" w:hAnsiTheme="minorHAnsi" w:cstheme="minorHAnsi"/>
          <w:i/>
        </w:rPr>
      </w:pPr>
      <w:r w:rsidRPr="00255501">
        <w:rPr>
          <w:rStyle w:val="Refdenotaalpie"/>
          <w:rFonts w:asciiTheme="minorHAnsi" w:hAnsiTheme="minorHAnsi" w:cstheme="minorHAnsi"/>
          <w:i/>
        </w:rPr>
        <w:footnoteRef/>
      </w:r>
      <w:r w:rsidRPr="00255501">
        <w:rPr>
          <w:rFonts w:asciiTheme="minorHAnsi" w:hAnsiTheme="minorHAnsi" w:cstheme="minorHAnsi"/>
          <w:b/>
          <w:i/>
        </w:rPr>
        <w:t>“Artículo 154.</w:t>
      </w:r>
      <w:r w:rsidRPr="00255501">
        <w:rPr>
          <w:rFonts w:asciiTheme="minorHAnsi" w:hAnsiTheme="minorHAnsi" w:cstheme="minorHAnsi"/>
          <w:i/>
        </w:rPr>
        <w:t xml:space="preserve"> […]</w:t>
      </w:r>
    </w:p>
    <w:p w14:paraId="075920A5" w14:textId="77777777" w:rsidR="0007398E" w:rsidRPr="00255501" w:rsidRDefault="0007398E" w:rsidP="00255501">
      <w:pPr>
        <w:pStyle w:val="Textonotapie"/>
        <w:jc w:val="both"/>
        <w:rPr>
          <w:rFonts w:asciiTheme="minorHAnsi" w:hAnsiTheme="minorHAnsi" w:cstheme="minorHAnsi"/>
          <w:i/>
        </w:rPr>
      </w:pPr>
      <w:r w:rsidRPr="00255501">
        <w:rPr>
          <w:rFonts w:asciiTheme="minorHAnsi" w:hAnsiTheme="minorHAnsi" w:cstheme="minorHAnsi"/>
          <w:i/>
        </w:rPr>
        <w:t>La Sala Superior del Tribunal, dará vista a las partes para que en el término de tres días hábiles, manifiesten lo que a su derecho convenga; vencido este término se procederá a resolver con los elementos que obren en autos.”</w:t>
      </w:r>
    </w:p>
  </w:footnote>
  <w:footnote w:id="6">
    <w:p w14:paraId="00E7FD28" w14:textId="2B1990D9" w:rsidR="0007398E" w:rsidRDefault="0007398E">
      <w:pPr>
        <w:pStyle w:val="Textonotapie"/>
      </w:pPr>
      <w:r w:rsidRPr="00232F73">
        <w:rPr>
          <w:rStyle w:val="Refdenotaalpie"/>
          <w:i/>
          <w:sz w:val="16"/>
          <w:szCs w:val="16"/>
        </w:rPr>
        <w:footnoteRef/>
      </w:r>
      <w:r w:rsidRPr="00232F73">
        <w:rPr>
          <w:i/>
          <w:sz w:val="16"/>
          <w:szCs w:val="16"/>
        </w:rPr>
        <w:t xml:space="preserve"> Foja 61-90 del Toca</w:t>
      </w:r>
    </w:p>
  </w:footnote>
  <w:footnote w:id="7">
    <w:p w14:paraId="6ACA6FA1" w14:textId="77777777" w:rsidR="0007398E" w:rsidRPr="00277E3C" w:rsidRDefault="0007398E" w:rsidP="00A07673">
      <w:pPr>
        <w:pStyle w:val="Textonotapie"/>
        <w:jc w:val="both"/>
        <w:rPr>
          <w:rFonts w:asciiTheme="minorHAnsi" w:hAnsiTheme="minorHAnsi" w:cstheme="minorHAnsi"/>
          <w:i/>
          <w:sz w:val="16"/>
          <w:szCs w:val="16"/>
        </w:rPr>
      </w:pPr>
      <w:r w:rsidRPr="00277E3C">
        <w:rPr>
          <w:rStyle w:val="Refdenotaalpie"/>
          <w:rFonts w:asciiTheme="minorHAnsi" w:hAnsiTheme="minorHAnsi" w:cstheme="minorHAnsi"/>
          <w:i/>
          <w:sz w:val="16"/>
          <w:szCs w:val="16"/>
        </w:rPr>
        <w:footnoteRef/>
      </w:r>
      <w:r w:rsidRPr="00277E3C">
        <w:rPr>
          <w:rFonts w:asciiTheme="minorHAnsi" w:hAnsiTheme="minorHAnsi" w:cstheme="minorHAnsi"/>
          <w:i/>
          <w:sz w:val="16"/>
          <w:szCs w:val="16"/>
        </w:rPr>
        <w:t xml:space="preserve"> Por Acuerdo de Pleno de este Tribunal de veinticinco de enero de dos mil veintiuno, por única ocasión se cambió el descanso del primero de mayo para el veintinueve de octubre de dos mil veintiuno.</w:t>
      </w:r>
    </w:p>
  </w:footnote>
  <w:footnote w:id="8">
    <w:p w14:paraId="73295DBC" w14:textId="54D49745" w:rsidR="0007398E" w:rsidRPr="00277E3C" w:rsidRDefault="0007398E" w:rsidP="00A07673">
      <w:pPr>
        <w:pStyle w:val="Textonotapie"/>
        <w:jc w:val="both"/>
        <w:rPr>
          <w:rFonts w:asciiTheme="minorHAnsi" w:hAnsiTheme="minorHAnsi" w:cstheme="minorHAnsi"/>
          <w:i/>
          <w:sz w:val="16"/>
          <w:szCs w:val="16"/>
        </w:rPr>
      </w:pPr>
      <w:r w:rsidRPr="00277E3C">
        <w:rPr>
          <w:rStyle w:val="Refdenotaalpie"/>
          <w:rFonts w:asciiTheme="minorHAnsi" w:hAnsiTheme="minorHAnsi" w:cstheme="minorHAnsi"/>
          <w:i/>
          <w:sz w:val="16"/>
          <w:szCs w:val="16"/>
        </w:rPr>
        <w:footnoteRef/>
      </w:r>
      <w:r w:rsidRPr="00277E3C">
        <w:rPr>
          <w:rFonts w:asciiTheme="minorHAnsi" w:hAnsiTheme="minorHAnsi" w:cstheme="minorHAnsi"/>
          <w:i/>
          <w:sz w:val="16"/>
          <w:szCs w:val="16"/>
        </w:rPr>
        <w:t xml:space="preserve"> Por Acuerdo de Pleno de este Tribunal de veinticinco de enero de dos mil veintiuno, se declaró la suspensión de labores los días uno y dos de noviembre de ese año en celebración del “día de muertos”</w:t>
      </w:r>
    </w:p>
  </w:footnote>
  <w:footnote w:id="9">
    <w:p w14:paraId="14FDE505" w14:textId="77777777" w:rsidR="0007398E" w:rsidRPr="00277E3C" w:rsidRDefault="0007398E" w:rsidP="00A07673">
      <w:pPr>
        <w:pStyle w:val="Textonotapie"/>
        <w:jc w:val="both"/>
        <w:rPr>
          <w:rFonts w:asciiTheme="minorHAnsi" w:hAnsiTheme="minorHAnsi" w:cstheme="minorHAnsi"/>
          <w:i/>
          <w:sz w:val="16"/>
          <w:szCs w:val="16"/>
        </w:rPr>
      </w:pPr>
      <w:r w:rsidRPr="00277E3C">
        <w:rPr>
          <w:rStyle w:val="Refdenotaalpie"/>
          <w:rFonts w:asciiTheme="minorHAnsi" w:hAnsiTheme="minorHAnsi" w:cstheme="minorHAnsi"/>
          <w:i/>
          <w:sz w:val="16"/>
          <w:szCs w:val="16"/>
        </w:rPr>
        <w:footnoteRef/>
      </w:r>
      <w:r w:rsidRPr="00277E3C">
        <w:rPr>
          <w:rFonts w:asciiTheme="minorHAnsi" w:hAnsiTheme="minorHAnsi" w:cstheme="minorHAnsi"/>
          <w:i/>
          <w:sz w:val="16"/>
          <w:szCs w:val="16"/>
        </w:rPr>
        <w:t xml:space="preserve"> Cantidad que aparece como total en la página tres de la demanda contenciosa.</w:t>
      </w:r>
    </w:p>
  </w:footnote>
  <w:footnote w:id="10">
    <w:p w14:paraId="6B479DB2" w14:textId="77777777" w:rsidR="0007398E" w:rsidRPr="00277E3C" w:rsidRDefault="0007398E" w:rsidP="00A07673">
      <w:pPr>
        <w:pStyle w:val="Textonotapie"/>
        <w:jc w:val="both"/>
        <w:rPr>
          <w:rFonts w:asciiTheme="minorHAnsi" w:hAnsiTheme="minorHAnsi" w:cstheme="minorHAnsi"/>
          <w:i/>
          <w:sz w:val="16"/>
          <w:szCs w:val="16"/>
        </w:rPr>
      </w:pPr>
      <w:r w:rsidRPr="00277E3C">
        <w:rPr>
          <w:rStyle w:val="Refdenotaalpie"/>
          <w:rFonts w:asciiTheme="minorHAnsi" w:hAnsiTheme="minorHAnsi" w:cstheme="minorHAnsi"/>
          <w:i/>
          <w:sz w:val="16"/>
          <w:szCs w:val="16"/>
        </w:rPr>
        <w:footnoteRef/>
      </w:r>
      <w:r w:rsidRPr="00277E3C">
        <w:rPr>
          <w:rFonts w:asciiTheme="minorHAnsi" w:hAnsiTheme="minorHAnsi" w:cstheme="minorHAnsi"/>
          <w:i/>
          <w:sz w:val="16"/>
          <w:szCs w:val="16"/>
        </w:rPr>
        <w:t xml:space="preserve"> Unidad de Medida de Actualización.</w:t>
      </w:r>
    </w:p>
  </w:footnote>
  <w:footnote w:id="11">
    <w:p w14:paraId="40E873C0" w14:textId="77777777" w:rsidR="0007398E" w:rsidRPr="00336CDA" w:rsidRDefault="0007398E" w:rsidP="00AA7F6D">
      <w:pPr>
        <w:pStyle w:val="Textonotapie"/>
        <w:jc w:val="both"/>
        <w:rPr>
          <w:rFonts w:cs="Calibri"/>
          <w:i/>
          <w:sz w:val="16"/>
          <w:szCs w:val="16"/>
        </w:rPr>
      </w:pPr>
      <w:r w:rsidRPr="00336CDA">
        <w:rPr>
          <w:rStyle w:val="Refdenotaalpie"/>
          <w:rFonts w:cs="Calibri"/>
          <w:i/>
          <w:sz w:val="16"/>
          <w:szCs w:val="16"/>
        </w:rPr>
        <w:footnoteRef/>
      </w:r>
      <w:r w:rsidRPr="00F25451">
        <w:rPr>
          <w:rFonts w:cs="Calibri"/>
          <w:i/>
          <w:sz w:val="16"/>
          <w:szCs w:val="16"/>
        </w:rPr>
        <w:t>“Artículo 192. Las ejecutorias de amparo deben ser puntualmente cumplidas. Al efecto, cuando cause ejecutoria la sentencia en que se haya concedido el amparo, o se reciba testimonio de la dictada en revisión, la jueza o el juez de distrito o el tribunal colegiado de apelación, si se trata de amparo indirecto, o el tribunal colegiado de circuito, tratándose de amparo directo, la notificarán sin demora a las partes. …”</w:t>
      </w:r>
    </w:p>
  </w:footnote>
  <w:footnote w:id="12">
    <w:p w14:paraId="36E5E3F8" w14:textId="77777777" w:rsidR="0007398E" w:rsidRDefault="0007398E" w:rsidP="00AD1B12">
      <w:pPr>
        <w:pStyle w:val="Textonotapie"/>
      </w:pPr>
      <w:r>
        <w:rPr>
          <w:rStyle w:val="Refdenotaalpie"/>
        </w:rPr>
        <w:footnoteRef/>
      </w:r>
      <w:r>
        <w:t xml:space="preserve"> Relatado como hecho “1” y ”2” de la demanda contenciosa.</w:t>
      </w:r>
    </w:p>
  </w:footnote>
  <w:footnote w:id="13">
    <w:p w14:paraId="2C67655B" w14:textId="77777777" w:rsidR="0007398E" w:rsidRDefault="0007398E" w:rsidP="00AD1B12">
      <w:pPr>
        <w:pStyle w:val="Textonotapie"/>
        <w:jc w:val="both"/>
      </w:pPr>
      <w:r>
        <w:rPr>
          <w:rStyle w:val="Refdenotaalpie"/>
        </w:rPr>
        <w:footnoteRef/>
      </w:r>
      <w:r>
        <w:t xml:space="preserve"> Las fojas precisadas en este considerando de antecedentes se refieren </w:t>
      </w:r>
      <w:r w:rsidRPr="002534C8">
        <w:rPr>
          <w:rFonts w:asciiTheme="minorHAnsi" w:hAnsiTheme="minorHAnsi" w:cstheme="minorHAnsi"/>
        </w:rPr>
        <w:t xml:space="preserve">al </w:t>
      </w:r>
      <w:r w:rsidRPr="002534C8">
        <w:rPr>
          <w:rFonts w:asciiTheme="minorHAnsi" w:hAnsiTheme="minorHAnsi" w:cstheme="minorHAnsi"/>
          <w:bCs/>
          <w:iCs/>
        </w:rPr>
        <w:t>expediente de origen</w:t>
      </w:r>
      <w:r>
        <w:rPr>
          <w:rFonts w:asciiTheme="minorHAnsi" w:hAnsiTheme="minorHAnsi" w:cstheme="minorHAnsi"/>
          <w:bCs/>
          <w:iCs/>
        </w:rPr>
        <w:t xml:space="preserve"> 541/2020/1 con excepción de que se haga una precisión diferente.</w:t>
      </w:r>
    </w:p>
  </w:footnote>
  <w:footnote w:id="14">
    <w:p w14:paraId="15A819BF" w14:textId="77777777" w:rsidR="0007398E" w:rsidRDefault="0007398E" w:rsidP="00AD1B12">
      <w:pPr>
        <w:pStyle w:val="Textonotapie"/>
        <w:jc w:val="both"/>
      </w:pPr>
      <w:r>
        <w:rPr>
          <w:rStyle w:val="Refdenotaalpie"/>
        </w:rPr>
        <w:footnoteRef/>
      </w:r>
      <w:r>
        <w:t xml:space="preserve"> </w:t>
      </w:r>
      <w:r w:rsidRPr="00E93AF9">
        <w:t>Lo anterior, sin que a esa fecha la Dirección de Comercio del Municipio de Soledad de Graciano Sánchez, de San Luis Potosí, hubiese dado respuesta a lo que fuera solicitado el diecinueve de febrero de dos mil veinte, esto es, realizar un ajuste a la cotización por la emisión de la Licencia de Funcionamiento, indicando los fundamentos y motivos que sirvan de base para el cálculo del derecho a pagar</w:t>
      </w:r>
      <w:r>
        <w:t>.</w:t>
      </w:r>
    </w:p>
  </w:footnote>
  <w:footnote w:id="15">
    <w:p w14:paraId="62D64F99" w14:textId="77777777" w:rsidR="0007398E" w:rsidRDefault="0007398E" w:rsidP="00177FB2">
      <w:pPr>
        <w:pStyle w:val="Textonotapie"/>
        <w:jc w:val="both"/>
        <w:rPr>
          <w:i/>
        </w:rPr>
      </w:pPr>
      <w:r>
        <w:rPr>
          <w:rStyle w:val="Refdenotaalpie"/>
        </w:rPr>
        <w:footnoteRef/>
      </w:r>
      <w:r>
        <w:t xml:space="preserve"> Registro digital: 2011406 Instancia: Tribunales Colegiados de Circuito Décima Época Materias(s): Común Tesis: (IV Región)2o. J/5 (10a.) Fuente: Gaceta del Semanario Judicial de la Federación. Libro 29, Abril de 2016, Tomo III, página 2018 Tipo: Jurisprudencia </w:t>
      </w:r>
      <w:r>
        <w:rPr>
          <w:b/>
          <w:i/>
        </w:rPr>
        <w:t>“CONCEPTOS DE VIOLACIÓN O AGRAVIOS. PROCEDE SU ANÁLISIS DE MANERA INDIVIDUAL, CONJUNTA O POR GRUPOS Y EN EL ORDEN PROPUESTO O EN UNO DIVERSO.</w:t>
      </w:r>
      <w:r>
        <w:rPr>
          <w:i/>
        </w:rPr>
        <w:t xml:space="preserve"> 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 </w:t>
      </w:r>
    </w:p>
    <w:p w14:paraId="52B89B3D" w14:textId="77777777" w:rsidR="0007398E" w:rsidRDefault="0007398E" w:rsidP="00177FB2">
      <w:pPr>
        <w:pStyle w:val="Textonotapie"/>
        <w:jc w:val="both"/>
        <w:rPr>
          <w:i/>
        </w:rPr>
      </w:pPr>
    </w:p>
  </w:footnote>
  <w:footnote w:id="16">
    <w:p w14:paraId="0F285A44" w14:textId="77777777" w:rsidR="0007398E" w:rsidRDefault="0007398E" w:rsidP="00177FB2">
      <w:pPr>
        <w:pStyle w:val="Textonotapie"/>
        <w:jc w:val="both"/>
      </w:pPr>
      <w:r>
        <w:rPr>
          <w:rStyle w:val="Refdenotaalpie"/>
        </w:rPr>
        <w:footnoteRef/>
      </w:r>
      <w:r>
        <w:t xml:space="preserve"> </w:t>
      </w:r>
      <w:r w:rsidRPr="006C0A2D">
        <w:t>Registro digital: 196442 Instancia: Segunda Sala Novena Época Materias(s): Común Tesis: 2a. XLVIII/98 Fuente: Semanario Judicial de la Federación y su Gaceta. Tomo VII, Abril de 1998, página 241 Tipo: Aislada</w:t>
      </w:r>
    </w:p>
    <w:p w14:paraId="1A1B93C9" w14:textId="77777777" w:rsidR="0007398E" w:rsidRDefault="0007398E" w:rsidP="00177FB2">
      <w:pPr>
        <w:pStyle w:val="Textonotapie"/>
        <w:jc w:val="both"/>
      </w:pPr>
    </w:p>
  </w:footnote>
  <w:footnote w:id="17">
    <w:p w14:paraId="2F013886" w14:textId="77777777" w:rsidR="0007398E" w:rsidRDefault="0007398E" w:rsidP="00177FB2">
      <w:pPr>
        <w:pStyle w:val="Textonotapie"/>
      </w:pPr>
      <w:r>
        <w:rPr>
          <w:rStyle w:val="Refdenotaalpie"/>
        </w:rPr>
        <w:footnoteRef/>
      </w:r>
      <w:r>
        <w:t xml:space="preserve"> </w:t>
      </w:r>
      <w:r w:rsidRPr="006C0A2D">
        <w:t>Registro digital: 176051 Instancia: Tribunales Colegiados de Circuito Novena Época Materias(s): Común Tesis: III.2o.C. J/22 Fuente: Semanario Judicial de la Federación y su Gaceta. Tomo XXIII, Febrero de 2006, página 1579 Tipo: Jurisprudencia</w:t>
      </w:r>
      <w:r>
        <w:t>.</w:t>
      </w:r>
    </w:p>
    <w:p w14:paraId="5CE2307D" w14:textId="77777777" w:rsidR="0007398E" w:rsidRDefault="0007398E" w:rsidP="00177FB2">
      <w:pPr>
        <w:pStyle w:val="Textonotapie"/>
      </w:pPr>
    </w:p>
  </w:footnote>
  <w:footnote w:id="18">
    <w:p w14:paraId="6C6B1402" w14:textId="77777777" w:rsidR="0007398E" w:rsidRDefault="0007398E" w:rsidP="00177FB2">
      <w:pPr>
        <w:pStyle w:val="Textonotapie"/>
        <w:jc w:val="both"/>
      </w:pPr>
      <w:r>
        <w:rPr>
          <w:rStyle w:val="Refdenotaalpie"/>
        </w:rPr>
        <w:footnoteRef/>
      </w:r>
      <w:r>
        <w:t xml:space="preserve"> </w:t>
      </w:r>
      <w:r w:rsidRPr="00AA395E">
        <w:t>Registro digital: 345235 Instancia: Tercera Sala Quinta Época Materias(s): Común Fuente: Semanario Judicial de la Federación. Tomo XCIX, página 2443 Tipo: Aislada</w:t>
      </w:r>
      <w:r>
        <w:t>.</w:t>
      </w:r>
    </w:p>
  </w:footnote>
  <w:footnote w:id="19">
    <w:p w14:paraId="62EB8071" w14:textId="77777777" w:rsidR="0007398E" w:rsidRDefault="0007398E" w:rsidP="00177FB2">
      <w:pPr>
        <w:pStyle w:val="Textonotapie"/>
        <w:jc w:val="both"/>
      </w:pPr>
      <w:r>
        <w:rPr>
          <w:rStyle w:val="Refdenotaalpie"/>
        </w:rPr>
        <w:footnoteRef/>
      </w:r>
      <w:r>
        <w:t xml:space="preserve"> </w:t>
      </w:r>
      <w:r w:rsidRPr="00AA395E">
        <w:t>Registro digital: 321701 Instancia: Segunda Sala Quinta Época Materias(s): Común Fuente: Semanario Judicial de la Federación. Tomo LXXXIX, página 731 Tipo: Aislada</w:t>
      </w:r>
      <w:r>
        <w:t>.</w:t>
      </w:r>
    </w:p>
  </w:footnote>
  <w:footnote w:id="20">
    <w:p w14:paraId="7FAB68A8" w14:textId="77777777" w:rsidR="0007398E" w:rsidRDefault="0007398E" w:rsidP="00177FB2">
      <w:pPr>
        <w:pStyle w:val="Textonotapie"/>
        <w:jc w:val="both"/>
      </w:pPr>
      <w:r>
        <w:rPr>
          <w:rStyle w:val="Refdenotaalpie"/>
        </w:rPr>
        <w:footnoteRef/>
      </w:r>
      <w:r>
        <w:t xml:space="preserve"> </w:t>
      </w:r>
      <w:r w:rsidRPr="00DE5D27">
        <w:rPr>
          <w:b/>
        </w:rPr>
        <w:t xml:space="preserve">ARTÍCULO 252. </w:t>
      </w:r>
      <w:r w:rsidRPr="003000A8">
        <w:t xml:space="preserve">De ser favorable la sentencia </w:t>
      </w:r>
      <w:r>
        <w:t>al actor, ésta dejará sin efec</w:t>
      </w:r>
      <w:r w:rsidRPr="003000A8">
        <w:t>to el acto imp</w:t>
      </w:r>
      <w:r>
        <w:t>ugnado y las au</w:t>
      </w:r>
      <w:r w:rsidRPr="003000A8">
        <w:t>toridades responsables quedarán obligadas a otorgar o restituir al actor en el goce de los derechos que le hubieren sido indebidamente afectados o desconocidos, en los términos que se establezca.</w:t>
      </w:r>
    </w:p>
  </w:footnote>
  <w:footnote w:id="21">
    <w:p w14:paraId="6DDAEDAA" w14:textId="77777777" w:rsidR="0007398E" w:rsidRDefault="0007398E" w:rsidP="00177FB2">
      <w:pPr>
        <w:pStyle w:val="Textonotapie"/>
      </w:pPr>
      <w:r>
        <w:rPr>
          <w:rStyle w:val="Refdenotaalpie"/>
        </w:rPr>
        <w:footnoteRef/>
      </w:r>
      <w:r w:rsidRPr="003220B0">
        <w:t>foja 46 del expediente de origen:</w:t>
      </w:r>
    </w:p>
  </w:footnote>
  <w:footnote w:id="22">
    <w:p w14:paraId="02DC7DAF" w14:textId="77777777" w:rsidR="0007398E" w:rsidRDefault="0007398E" w:rsidP="00177FB2">
      <w:pPr>
        <w:pStyle w:val="Textonotapie"/>
      </w:pPr>
      <w:r>
        <w:rPr>
          <w:rStyle w:val="Refdenotaalpie"/>
        </w:rPr>
        <w:footnoteRef/>
      </w:r>
      <w:r>
        <w:t xml:space="preserve"> Foja 48-50 del expediente de origen.</w:t>
      </w:r>
    </w:p>
  </w:footnote>
  <w:footnote w:id="23">
    <w:p w14:paraId="5FCE5DD7" w14:textId="77777777" w:rsidR="0007398E" w:rsidRDefault="0007398E" w:rsidP="00177FB2">
      <w:pPr>
        <w:pStyle w:val="Textonotapie"/>
        <w:jc w:val="both"/>
      </w:pPr>
      <w:r>
        <w:rPr>
          <w:rStyle w:val="Refdenotaalpie"/>
        </w:rPr>
        <w:footnoteRef/>
      </w:r>
      <w:r>
        <w:t xml:space="preserve"> Registro digital: 191311 Instancia: Segunda Sala Novena Época Materias(s): Constitucional Tesis: 2a./J. 71/2000 Fuente: Semanario Judicial de la Federación y su Gaceta. Tomo XII, Agosto de 2000, página 235 Tipo: Jurisprudencia</w:t>
      </w:r>
    </w:p>
  </w:footnote>
  <w:footnote w:id="24">
    <w:p w14:paraId="0AF2F4F3" w14:textId="77777777" w:rsidR="0007398E" w:rsidRDefault="0007398E" w:rsidP="00177FB2">
      <w:pPr>
        <w:pStyle w:val="Textonotapie"/>
      </w:pPr>
      <w:r>
        <w:rPr>
          <w:rStyle w:val="Refdenotaalpie"/>
        </w:rPr>
        <w:footnoteRef/>
      </w:r>
      <w:r>
        <w:t xml:space="preserve"> Registro digital: 177265 Instancia: Segunda Sala Novena Época Materias(s): Común Tesis: 2a./J. 95/2005 Fuente: Semanario Judicial de la Federación y su Gaceta. Tomo XXII, Septiembre de 2005, página 328 Tipo: Jurisprudencia</w:t>
      </w:r>
    </w:p>
    <w:p w14:paraId="25ABD1B7" w14:textId="77777777" w:rsidR="0007398E" w:rsidRDefault="0007398E" w:rsidP="00177FB2">
      <w:pPr>
        <w:pStyle w:val="Textonotapie"/>
      </w:pPr>
    </w:p>
  </w:footnote>
  <w:footnote w:id="25">
    <w:p w14:paraId="4B991F3D" w14:textId="77777777" w:rsidR="0007398E" w:rsidRDefault="0007398E" w:rsidP="00177FB2">
      <w:pPr>
        <w:pStyle w:val="Textonotapie"/>
        <w:jc w:val="both"/>
      </w:pPr>
      <w:r>
        <w:rPr>
          <w:rStyle w:val="Refdenotaalpie"/>
        </w:rPr>
        <w:footnoteRef/>
      </w:r>
      <w:r>
        <w:t xml:space="preserve"> Registro digital: 164460 Instancia: Tribunales Colegiados de Circuito Novena Época Materias(s): Administrativa Tesis: VI.1o.A.291 A Fuente: Semanario Judicial de la Federación y su Gaceta. Tomo XXXI, Junio de 2010, página 935 Tipo: Aislada</w:t>
      </w:r>
    </w:p>
  </w:footnote>
  <w:footnote w:id="26">
    <w:p w14:paraId="4C50451F" w14:textId="77777777" w:rsidR="0007398E" w:rsidRDefault="0007398E" w:rsidP="00177FB2">
      <w:pPr>
        <w:pStyle w:val="Textonotapie"/>
        <w:jc w:val="both"/>
      </w:pPr>
      <w:r>
        <w:rPr>
          <w:rStyle w:val="Refdenotaalpie"/>
        </w:rPr>
        <w:footnoteRef/>
      </w:r>
      <w:r>
        <w:t xml:space="preserve">  </w:t>
      </w:r>
      <w:r w:rsidRPr="00FD6CA4">
        <w:t>Suprema Corte de Justicia de la Nación Registro digital: 179123 Instancia: Primera Sala Novena Época Materias(s): Común Tesis: 1a. XVI/2005 Fuente: Semanario Judicial de la Federación y su Gaceta. Tomo XXI, Marzo de 2005, página 212 Tipo: Aislada</w:t>
      </w:r>
      <w:r>
        <w:t>.</w:t>
      </w:r>
    </w:p>
    <w:p w14:paraId="3E78878F" w14:textId="77777777" w:rsidR="0007398E" w:rsidRDefault="0007398E" w:rsidP="00177FB2">
      <w:pPr>
        <w:pStyle w:val="Textonotapie"/>
        <w:jc w:val="both"/>
      </w:pPr>
    </w:p>
  </w:footnote>
  <w:footnote w:id="27">
    <w:p w14:paraId="30F555DD" w14:textId="77777777" w:rsidR="0007398E" w:rsidRPr="00FD6CA4" w:rsidRDefault="0007398E" w:rsidP="00177FB2">
      <w:pPr>
        <w:jc w:val="both"/>
        <w:rPr>
          <w:sz w:val="20"/>
          <w:szCs w:val="20"/>
        </w:rPr>
      </w:pPr>
      <w:r>
        <w:rPr>
          <w:rStyle w:val="Refdenotaalpie"/>
        </w:rPr>
        <w:footnoteRef/>
      </w:r>
      <w:r>
        <w:t xml:space="preserve"> </w:t>
      </w:r>
      <w:r w:rsidRPr="00FD6CA4">
        <w:rPr>
          <w:sz w:val="20"/>
          <w:szCs w:val="20"/>
        </w:rPr>
        <w:t>Suprema Corte de Justicia de la Nación Registro digital: 200789 Instancia: Segunda Sala Novena Época Materias(s): Constitucional, Común Tesis: 2a. XLII/95 Fuente: Semanario Judicial de la Federación y su Gaceta. Tomo I, Junio de 1995, página 223 Tipo: Aislada</w:t>
      </w:r>
    </w:p>
    <w:p w14:paraId="4EEBBBC0" w14:textId="77777777" w:rsidR="0007398E" w:rsidRDefault="0007398E" w:rsidP="00177FB2">
      <w:pPr>
        <w:pStyle w:val="Textonotapie"/>
      </w:pPr>
    </w:p>
  </w:footnote>
  <w:footnote w:id="28">
    <w:p w14:paraId="5180CA18" w14:textId="16708C78" w:rsidR="0007398E" w:rsidRDefault="0007398E" w:rsidP="00790E42">
      <w:pPr>
        <w:pStyle w:val="Textonotapie"/>
        <w:jc w:val="both"/>
      </w:pPr>
      <w:r>
        <w:rPr>
          <w:rStyle w:val="Refdenotaalpie"/>
        </w:rPr>
        <w:footnoteRef/>
      </w:r>
      <w:r w:rsidRPr="00C60EE6">
        <w:t>https://sanluisimplan.gob.mx/plan-del-centro-de-poblacion-estrategico-san-luis-potosi-soledad-de-graciano-sanchez-agosto-2003/</w:t>
      </w:r>
      <w:r w:rsidRPr="0085692B">
        <w:t xml:space="preserve"> </w:t>
      </w:r>
    </w:p>
    <w:p w14:paraId="28D5744E" w14:textId="0370B8DC" w:rsidR="0007398E" w:rsidRDefault="0007398E" w:rsidP="00790E42">
      <w:pPr>
        <w:pStyle w:val="Textonotapie"/>
        <w:jc w:val="both"/>
      </w:pPr>
      <w:r>
        <w:t xml:space="preserve">Este link se cita de conformidad con criterio con número de registro digital 2004949, Décima Época Materias(s): Civil, Común, número I.3o.C.35 K (10a.), consultable en el Semanario Judicial de la Federación y su Gaceta. Libro XXVI, de noviembre de dos mi trece, Tomo 2, página 1373, de rubro: </w:t>
      </w:r>
      <w:r w:rsidRPr="0085692B">
        <w:rPr>
          <w:b/>
          <w:i/>
        </w:rPr>
        <w:t>“PÁGINAS WEB O ELECTRÓNICAS. SU CONTENIDO ES UN HECHO NOTORIO Y SUSCEPTIBLE DE SER VALORADO EN UNA DECISIÓN JUDICIAL.”</w:t>
      </w:r>
    </w:p>
    <w:p w14:paraId="1FDBA842" w14:textId="77777777" w:rsidR="0007398E" w:rsidRDefault="0007398E" w:rsidP="003C2284">
      <w:pPr>
        <w:pStyle w:val="Textonotapie"/>
      </w:pPr>
      <w:r>
        <w:t xml:space="preserve">                                                                                                                                                                                                                                                                                                                                                                                                                                                                                                                    </w:t>
      </w:r>
    </w:p>
  </w:footnote>
  <w:footnote w:id="29">
    <w:p w14:paraId="13A6D00A" w14:textId="77777777" w:rsidR="0007398E" w:rsidRPr="001A184E" w:rsidRDefault="0007398E" w:rsidP="001D495E">
      <w:pPr>
        <w:pStyle w:val="Textonotapie"/>
        <w:jc w:val="both"/>
        <w:rPr>
          <w:rFonts w:cs="Calibri"/>
          <w:i/>
          <w:sz w:val="14"/>
          <w:szCs w:val="16"/>
        </w:rPr>
      </w:pPr>
      <w:r w:rsidRPr="00E44176">
        <w:rPr>
          <w:rStyle w:val="Refdenotaalpie"/>
          <w:rFonts w:cs="Calibri"/>
          <w:i/>
        </w:rPr>
        <w:footnoteRef/>
      </w:r>
      <w:r w:rsidRPr="00E44176">
        <w:rPr>
          <w:rFonts w:cs="Calibri"/>
          <w:b/>
          <w:i/>
        </w:rPr>
        <w:t xml:space="preserve">“Artículo 22 Bis. </w:t>
      </w:r>
      <w:r w:rsidRPr="00E44176">
        <w:rPr>
          <w:rFonts w:cs="Calibri"/>
          <w:i/>
        </w:rPr>
        <w:t>Las Salas del Tribunal podrán contar con personal denominado “auxiliares jurisdiccionales, cuyas funciones serán apoyar las actuaciones y diligencias de todo el proceso, particularmente las que desempeñan los oficiales jurisdiccionales y aquellas que les encomienden los titulares de las Salas. Tendrán fe pública para la práctica de notificaciones, inspecciones, compulsas, audiencias, desahogo de pruebas y las demás, cuya naturaleza así lo requiera”.</w:t>
      </w:r>
    </w:p>
  </w:footnote>
  <w:footnote w:id="30">
    <w:p w14:paraId="669EBED7" w14:textId="77777777" w:rsidR="0007398E" w:rsidRPr="004E15C9" w:rsidRDefault="0007398E" w:rsidP="004E15C9">
      <w:pPr>
        <w:pStyle w:val="Textonotapie"/>
        <w:jc w:val="both"/>
        <w:rPr>
          <w:rFonts w:asciiTheme="minorHAnsi" w:hAnsiTheme="minorHAnsi" w:cstheme="minorHAnsi"/>
          <w:i/>
          <w:iCs/>
        </w:rPr>
      </w:pPr>
      <w:r w:rsidRPr="004E15C9">
        <w:rPr>
          <w:rStyle w:val="Refdenotaalpie"/>
          <w:rFonts w:asciiTheme="minorHAnsi" w:hAnsiTheme="minorHAnsi" w:cstheme="minorHAnsi"/>
          <w:i/>
        </w:rPr>
        <w:footnoteRef/>
      </w:r>
      <w:r w:rsidRPr="004E15C9">
        <w:rPr>
          <w:rFonts w:asciiTheme="minorHAnsi" w:hAnsiTheme="minorHAnsi" w:cstheme="minorHAnsi"/>
          <w:i/>
        </w:rPr>
        <w:t xml:space="preserve"> </w:t>
      </w:r>
      <w:r w:rsidRPr="004E15C9">
        <w:rPr>
          <w:rFonts w:asciiTheme="minorHAnsi" w:hAnsiTheme="minorHAnsi" w:cstheme="minorHAnsi"/>
          <w:b/>
          <w:bCs/>
          <w:i/>
          <w:iCs/>
        </w:rPr>
        <w:t>“Artículo 18.</w:t>
      </w:r>
      <w:r w:rsidRPr="004E15C9">
        <w:rPr>
          <w:rFonts w:asciiTheme="minorHAnsi" w:hAnsiTheme="minorHAnsi" w:cstheme="minorHAnsi"/>
          <w:i/>
          <w:iCs/>
        </w:rPr>
        <w:t xml:space="preserve"> Además de las funciones establecidas en el artículo 52 de la Ley, los secretarios de acuerdos tendrán las siguientes:</w:t>
      </w:r>
    </w:p>
    <w:p w14:paraId="730C2E6C" w14:textId="77777777" w:rsidR="0007398E" w:rsidRPr="004E15C9" w:rsidRDefault="0007398E" w:rsidP="004E15C9">
      <w:pPr>
        <w:pStyle w:val="Textonotapie"/>
        <w:jc w:val="both"/>
        <w:rPr>
          <w:rFonts w:asciiTheme="minorHAnsi" w:hAnsiTheme="minorHAnsi" w:cstheme="minorHAnsi"/>
          <w:i/>
          <w:iCs/>
        </w:rPr>
      </w:pPr>
      <w:r w:rsidRPr="004E15C9">
        <w:rPr>
          <w:rFonts w:asciiTheme="minorHAnsi" w:hAnsiTheme="minorHAnsi" w:cstheme="minorHAnsi"/>
          <w:b/>
          <w:bCs/>
          <w:i/>
          <w:iCs/>
        </w:rPr>
        <w:t>I.</w:t>
      </w:r>
      <w:r w:rsidRPr="004E15C9">
        <w:rPr>
          <w:rFonts w:asciiTheme="minorHAnsi" w:hAnsiTheme="minorHAnsi" w:cstheme="minorHAnsi"/>
          <w:i/>
          <w:iCs/>
        </w:rPr>
        <w:t xml:space="preserve"> Dar fe y certificar los actos que realiza el titular y autenticar todos los hechos jurídicos de importancia para los juicios de que conoce la Sala; …”</w:t>
      </w:r>
    </w:p>
  </w:footnote>
  <w:footnote w:id="31">
    <w:p w14:paraId="76625C9B" w14:textId="77777777" w:rsidR="0007398E" w:rsidRDefault="0007398E" w:rsidP="004E15C9">
      <w:pPr>
        <w:pStyle w:val="Textonotapie"/>
        <w:jc w:val="both"/>
        <w:rPr>
          <w:rFonts w:asciiTheme="minorHAnsi" w:hAnsiTheme="minorHAnsi" w:cstheme="minorHAnsi"/>
          <w:i/>
          <w:iCs/>
        </w:rPr>
      </w:pPr>
    </w:p>
    <w:p w14:paraId="355DC9CA" w14:textId="77777777" w:rsidR="0007398E" w:rsidRPr="004E15C9" w:rsidRDefault="0007398E" w:rsidP="004E15C9">
      <w:pPr>
        <w:pStyle w:val="Textonotapie"/>
        <w:jc w:val="both"/>
        <w:rPr>
          <w:rFonts w:asciiTheme="minorHAnsi" w:hAnsiTheme="minorHAnsi" w:cstheme="minorHAnsi"/>
          <w:i/>
          <w:iCs/>
        </w:rPr>
      </w:pPr>
      <w:r w:rsidRPr="004E15C9">
        <w:rPr>
          <w:rStyle w:val="Refdenotaalpie"/>
          <w:rFonts w:asciiTheme="minorHAnsi" w:hAnsiTheme="minorHAnsi" w:cstheme="minorHAnsi"/>
          <w:i/>
        </w:rPr>
        <w:footnoteRef/>
      </w:r>
      <w:r w:rsidRPr="004E15C9">
        <w:rPr>
          <w:rFonts w:asciiTheme="minorHAnsi" w:hAnsiTheme="minorHAnsi" w:cstheme="minorHAnsi"/>
          <w:i/>
          <w:iCs/>
        </w:rPr>
        <w:t xml:space="preserve"> </w:t>
      </w:r>
      <w:r w:rsidRPr="004E15C9">
        <w:rPr>
          <w:rFonts w:asciiTheme="minorHAnsi" w:hAnsiTheme="minorHAnsi" w:cstheme="minorHAnsi"/>
          <w:b/>
          <w:bCs/>
          <w:i/>
          <w:iCs/>
        </w:rPr>
        <w:t>“Artículo 20.</w:t>
      </w:r>
      <w:r w:rsidRPr="004E15C9">
        <w:rPr>
          <w:rFonts w:asciiTheme="minorHAnsi" w:hAnsiTheme="minorHAnsi" w:cstheme="minorHAnsi"/>
          <w:i/>
          <w:iCs/>
        </w:rPr>
        <w:t xml:space="preserve"> Las funciones inherentes a los secretarios jurisdiccionales son: </w:t>
      </w:r>
    </w:p>
    <w:p w14:paraId="6A131B3A" w14:textId="77777777" w:rsidR="0007398E" w:rsidRPr="004E15C9" w:rsidRDefault="0007398E" w:rsidP="004E15C9">
      <w:pPr>
        <w:pStyle w:val="Textonotapie"/>
        <w:jc w:val="both"/>
        <w:rPr>
          <w:rFonts w:asciiTheme="minorHAnsi" w:hAnsiTheme="minorHAnsi" w:cstheme="minorHAnsi"/>
          <w:i/>
          <w:iCs/>
        </w:rPr>
      </w:pPr>
      <w:r w:rsidRPr="004E15C9">
        <w:rPr>
          <w:rFonts w:asciiTheme="minorHAnsi" w:hAnsiTheme="minorHAnsi" w:cstheme="minorHAnsi"/>
          <w:i/>
          <w:iCs/>
        </w:rPr>
        <w:t>…</w:t>
      </w:r>
    </w:p>
    <w:p w14:paraId="7A087FE5" w14:textId="77777777" w:rsidR="0007398E" w:rsidRPr="00277E3C" w:rsidRDefault="0007398E" w:rsidP="004E15C9">
      <w:pPr>
        <w:pStyle w:val="Textonotapie"/>
        <w:jc w:val="both"/>
        <w:rPr>
          <w:rFonts w:asciiTheme="minorHAnsi" w:hAnsiTheme="minorHAnsi" w:cstheme="minorHAnsi"/>
          <w:i/>
          <w:sz w:val="16"/>
          <w:szCs w:val="16"/>
        </w:rPr>
      </w:pPr>
      <w:r w:rsidRPr="004E15C9">
        <w:rPr>
          <w:rFonts w:asciiTheme="minorHAnsi" w:hAnsiTheme="minorHAnsi" w:cstheme="minorHAnsi"/>
          <w:b/>
          <w:bCs/>
          <w:i/>
          <w:iCs/>
        </w:rPr>
        <w:t>X.</w:t>
      </w:r>
      <w:r w:rsidRPr="004E15C9">
        <w:rPr>
          <w:rFonts w:asciiTheme="minorHAnsi" w:hAnsiTheme="minorHAnsi" w:cstheme="minorHAnsi"/>
          <w:i/>
          <w:iCs/>
        </w:rPr>
        <w:t xml:space="preserve"> Suplir en sus facultades a los Secretarios de Acuerdos cuando el Magistrado respectivo lo disponga;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78C0F2" w14:textId="77777777" w:rsidR="0007398E" w:rsidRDefault="0007398E" w:rsidP="00255501">
    <w:pPr>
      <w:pStyle w:val="Encabezado"/>
      <w:ind w:left="-851"/>
      <w:jc w:val="center"/>
      <w:rPr>
        <w:rFonts w:cs="Calibri"/>
        <w:sz w:val="24"/>
        <w:szCs w:val="24"/>
        <w:shd w:val="clear" w:color="auto" w:fill="FFFFFF"/>
      </w:rPr>
    </w:pPr>
    <w:bookmarkStart w:id="1" w:name="PAGI_NA"/>
  </w:p>
  <w:p w14:paraId="358EF6B5" w14:textId="5281EEB3" w:rsidR="0007398E" w:rsidRPr="006C0427" w:rsidRDefault="0007398E" w:rsidP="00255501">
    <w:pPr>
      <w:pStyle w:val="Encabezado"/>
      <w:jc w:val="center"/>
      <w:rPr>
        <w:rStyle w:val="Nmerodepgina"/>
        <w:color w:val="FFFFFF"/>
      </w:rPr>
    </w:pPr>
    <w:r w:rsidRPr="00086090">
      <w:rPr>
        <w:rFonts w:cs="Calibri"/>
        <w:sz w:val="24"/>
        <w:szCs w:val="24"/>
        <w:shd w:val="clear" w:color="auto" w:fill="FFFFFF"/>
      </w:rPr>
      <w:t>"</w:t>
    </w:r>
    <w:r w:rsidRPr="0019495A">
      <w:rPr>
        <w:rFonts w:ascii="Lucida Calligraphy" w:hAnsi="Lucida Calligraphy" w:cs="Calibri"/>
        <w:i/>
        <w:sz w:val="18"/>
        <w:szCs w:val="18"/>
      </w:rPr>
      <w:t>2024 Bicentenario del Congreso Constituyente del Estado de San Luis Potosí.”</w:t>
    </w:r>
    <w:r>
      <w:rPr>
        <w:rFonts w:ascii="Arial Narrow" w:hAnsi="Arial Narrow"/>
        <w:noProof/>
        <w:lang w:eastAsia="es-MX"/>
      </w:rPr>
      <mc:AlternateContent>
        <mc:Choice Requires="wps">
          <w:drawing>
            <wp:anchor distT="0" distB="0" distL="114300" distR="114300" simplePos="0" relativeHeight="251663360" behindDoc="0" locked="0" layoutInCell="1" allowOverlap="1" wp14:anchorId="4664872C" wp14:editId="55AE1A4B">
              <wp:simplePos x="0" y="0"/>
              <wp:positionH relativeFrom="column">
                <wp:posOffset>-1208405</wp:posOffset>
              </wp:positionH>
              <wp:positionV relativeFrom="paragraph">
                <wp:posOffset>-36195</wp:posOffset>
              </wp:positionV>
              <wp:extent cx="1125855" cy="1712595"/>
              <wp:effectExtent l="0" t="0" r="0" b="1905"/>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BDCF44" w14:textId="4FEEFD7B" w:rsidR="0007398E" w:rsidRDefault="0007398E" w:rsidP="00255501">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9A28465" wp14:editId="41FADCA2">
                                <wp:extent cx="938530" cy="93853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14:paraId="2EC51C80" w14:textId="77777777" w:rsidR="0007398E" w:rsidRPr="00B23B9D" w:rsidRDefault="0007398E"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5AE32833" w14:textId="77777777" w:rsidR="0007398E" w:rsidRPr="00B23B9D" w:rsidRDefault="0007398E"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578A143A" w14:textId="77777777" w:rsidR="0007398E" w:rsidRPr="00B23B9D" w:rsidRDefault="0007398E"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6736DDE5" w14:textId="77777777" w:rsidR="0007398E" w:rsidRPr="00B23B9D" w:rsidRDefault="0007398E" w:rsidP="00255501">
                          <w:pPr>
                            <w:pStyle w:val="Sinespaciado"/>
                            <w:jc w:val="center"/>
                            <w:rPr>
                              <w:rFonts w:ascii="Microsoft Sans Serif" w:eastAsia="SimHei" w:hAnsi="Microsoft Sans Serif" w:cs="Microsoft Sans Serif"/>
                              <w:b/>
                              <w:sz w:val="14"/>
                              <w:szCs w:val="14"/>
                            </w:rPr>
                          </w:pPr>
                        </w:p>
                        <w:p w14:paraId="3EEB7874" w14:textId="77777777" w:rsidR="0007398E" w:rsidRPr="00B23B9D" w:rsidRDefault="0007398E" w:rsidP="00255501">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2" o:spid="_x0000_s1026" type="#_x0000_t202" style="position:absolute;left:0;text-align:left;margin-left:-95.15pt;margin-top:-2.85pt;width:88.65pt;height:134.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rNzmrIcCAAAZBQAADgAAAAAAAAAAAAAAAAAuAgAAZHJzL2Uyb0RvYy54bWxQSwECLQAUAAYA&#10;CAAAACEANCilA+AAAAALAQAADwAAAAAAAAAAAAAAAADhBAAAZHJzL2Rvd25yZXYueG1sUEsFBgAA&#10;AAAEAAQA8wAAAO4FAAAAAA==&#10;" stroked="f">
              <v:textbox>
                <w:txbxContent>
                  <w:p w14:paraId="0ABDCF44" w14:textId="4FEEFD7B" w:rsidR="0007398E" w:rsidRDefault="0007398E" w:rsidP="00255501">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9A28465" wp14:editId="41FADCA2">
                          <wp:extent cx="938530" cy="93853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14:paraId="2EC51C80" w14:textId="77777777" w:rsidR="0007398E" w:rsidRPr="00B23B9D" w:rsidRDefault="0007398E"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5AE32833" w14:textId="77777777" w:rsidR="0007398E" w:rsidRPr="00B23B9D" w:rsidRDefault="0007398E"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578A143A" w14:textId="77777777" w:rsidR="0007398E" w:rsidRPr="00B23B9D" w:rsidRDefault="0007398E"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6736DDE5" w14:textId="77777777" w:rsidR="0007398E" w:rsidRPr="00B23B9D" w:rsidRDefault="0007398E" w:rsidP="00255501">
                    <w:pPr>
                      <w:pStyle w:val="Sinespaciado"/>
                      <w:jc w:val="center"/>
                      <w:rPr>
                        <w:rFonts w:ascii="Microsoft Sans Serif" w:eastAsia="SimHei" w:hAnsi="Microsoft Sans Serif" w:cs="Microsoft Sans Serif"/>
                        <w:b/>
                        <w:sz w:val="14"/>
                        <w:szCs w:val="14"/>
                      </w:rPr>
                    </w:pPr>
                  </w:p>
                  <w:p w14:paraId="3EEB7874" w14:textId="77777777" w:rsidR="0007398E" w:rsidRPr="00B23B9D" w:rsidRDefault="0007398E" w:rsidP="00255501">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14:paraId="489B3BB8" w14:textId="0F906067" w:rsidR="0007398E" w:rsidRDefault="0007398E" w:rsidP="00255501">
    <w:pPr>
      <w:pStyle w:val="Encabezado"/>
      <w:spacing w:after="0" w:line="240" w:lineRule="auto"/>
      <w:jc w:val="right"/>
      <w:rPr>
        <w:rFonts w:ascii="Arial Narrow" w:hAnsi="Arial Narrow"/>
        <w:sz w:val="28"/>
        <w:szCs w:val="28"/>
      </w:rPr>
    </w:pPr>
    <w:r w:rsidRPr="00E47A61">
      <w:rPr>
        <w:rFonts w:ascii="Arial Narrow" w:hAnsi="Arial Narrow"/>
        <w:sz w:val="28"/>
        <w:szCs w:val="28"/>
      </w:rPr>
      <w:t xml:space="preserve"> </w:t>
    </w:r>
    <w:r>
      <w:rPr>
        <w:rFonts w:ascii="Arial Narrow" w:hAnsi="Arial Narrow"/>
        <w:sz w:val="28"/>
        <w:szCs w:val="28"/>
      </w:rPr>
      <w:t>TOCA 81/2021</w:t>
    </w:r>
  </w:p>
  <w:p w14:paraId="064EE401" w14:textId="6D384AE6" w:rsidR="0007398E" w:rsidRDefault="0007398E" w:rsidP="00255501">
    <w:pPr>
      <w:pStyle w:val="Encabezado"/>
      <w:spacing w:after="0" w:line="240" w:lineRule="auto"/>
      <w:jc w:val="right"/>
      <w:rPr>
        <w:rFonts w:ascii="Arial Narrow" w:hAnsi="Arial Narrow"/>
        <w:sz w:val="28"/>
        <w:szCs w:val="28"/>
      </w:rPr>
    </w:pPr>
    <w:r>
      <w:rPr>
        <w:rFonts w:ascii="Arial Narrow" w:hAnsi="Arial Narrow"/>
        <w:sz w:val="28"/>
        <w:szCs w:val="28"/>
      </w:rPr>
      <w:t>EXP. 541/2020-1</w:t>
    </w:r>
    <w:r w:rsidRPr="00E47A61">
      <w:rPr>
        <w:rFonts w:ascii="Arial Narrow" w:hAnsi="Arial Narrow"/>
        <w:sz w:val="28"/>
        <w:szCs w:val="28"/>
      </w:rPr>
      <w:t xml:space="preserve"> </w:t>
    </w:r>
  </w:p>
  <w:p w14:paraId="1B8DABE5" w14:textId="24397E65" w:rsidR="0007398E" w:rsidRDefault="0007398E" w:rsidP="00255501">
    <w:pPr>
      <w:pStyle w:val="Encabezado"/>
      <w:spacing w:after="0" w:line="240" w:lineRule="auto"/>
      <w:jc w:val="right"/>
      <w:rPr>
        <w:rFonts w:ascii="Arial Narrow" w:hAnsi="Arial Narrow"/>
        <w:sz w:val="28"/>
        <w:szCs w:val="28"/>
      </w:rPr>
    </w:pPr>
    <w:r>
      <w:rPr>
        <w:rFonts w:ascii="Arial Narrow" w:hAnsi="Arial Narrow"/>
        <w:sz w:val="28"/>
        <w:szCs w:val="28"/>
      </w:rPr>
      <w:t>CUMPLIMIENTO ADA 252/2022</w:t>
    </w:r>
  </w:p>
  <w:p w14:paraId="3E2600D5" w14:textId="6AA7E762" w:rsidR="0007398E" w:rsidRPr="00255501" w:rsidRDefault="0007398E" w:rsidP="0025550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BE4EDE" w14:textId="287ABAE5" w:rsidR="0007398E" w:rsidRPr="005F6585" w:rsidRDefault="0007398E" w:rsidP="005F6585">
    <w:pPr>
      <w:pStyle w:val="Encabezado"/>
      <w:pBdr>
        <w:bottom w:val="thickThinSmallGap" w:sz="24" w:space="1" w:color="622423"/>
      </w:pBdr>
      <w:jc w:val="center"/>
      <w:rPr>
        <w:rFonts w:ascii="Arial" w:eastAsia="Times New Roman" w:hAnsi="Arial" w:cs="Arial"/>
        <w:sz w:val="28"/>
        <w:szCs w:val="32"/>
      </w:rPr>
    </w:pPr>
    <w:r w:rsidRPr="00FC2D16">
      <w:rPr>
        <w:rFonts w:cs="Calibri"/>
        <w:sz w:val="20"/>
        <w:szCs w:val="18"/>
      </w:rPr>
      <w:t>“</w:t>
    </w:r>
    <w:r w:rsidRPr="00FC2D16">
      <w:rPr>
        <w:rFonts w:cs="Calibri"/>
        <w:i/>
        <w:sz w:val="20"/>
        <w:szCs w:val="18"/>
      </w:rPr>
      <w:t>2024, Año del Bicentenario del Congreso Constituyente del Estado de San Luis Potosí</w:t>
    </w:r>
  </w:p>
  <w:p w14:paraId="0F6CB00D" w14:textId="0760AE59" w:rsidR="0007398E" w:rsidRPr="005F6585" w:rsidRDefault="0007398E" w:rsidP="005F6585">
    <w:pPr>
      <w:pBdr>
        <w:bottom w:val="thickThinSmallGap" w:sz="24" w:space="1" w:color="622423"/>
      </w:pBdr>
      <w:tabs>
        <w:tab w:val="center" w:pos="4419"/>
        <w:tab w:val="right" w:pos="8838"/>
      </w:tabs>
      <w:jc w:val="center"/>
      <w:rPr>
        <w:rFonts w:ascii="Cambria" w:eastAsia="Times New Roman" w:hAnsi="Cambria"/>
        <w:sz w:val="32"/>
        <w:szCs w:val="32"/>
      </w:rPr>
    </w:pPr>
    <w:r>
      <w:rPr>
        <w:noProof/>
        <w:lang w:eastAsia="es-MX"/>
      </w:rPr>
      <mc:AlternateContent>
        <mc:Choice Requires="wps">
          <w:drawing>
            <wp:anchor distT="0" distB="0" distL="114300" distR="114300" simplePos="0" relativeHeight="251661312" behindDoc="0" locked="0" layoutInCell="1" allowOverlap="1" wp14:anchorId="251B5FC5" wp14:editId="7E652AE4">
              <wp:simplePos x="0" y="0"/>
              <wp:positionH relativeFrom="column">
                <wp:posOffset>-1308735</wp:posOffset>
              </wp:positionH>
              <wp:positionV relativeFrom="paragraph">
                <wp:posOffset>185090</wp:posOffset>
              </wp:positionV>
              <wp:extent cx="1125855" cy="1712595"/>
              <wp:effectExtent l="0" t="0" r="0" b="1905"/>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8F0936" w14:textId="009DB60C" w:rsidR="0007398E" w:rsidRDefault="0007398E" w:rsidP="005F658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35DDE9" wp14:editId="325EF9B0">
                                <wp:extent cx="943610" cy="943610"/>
                                <wp:effectExtent l="0" t="0" r="8890" b="889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39614717" w14:textId="77777777" w:rsidR="0007398E" w:rsidRPr="00B23B9D" w:rsidRDefault="0007398E"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63F11B8A" w14:textId="77777777" w:rsidR="0007398E" w:rsidRPr="00B23B9D" w:rsidRDefault="0007398E"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33BA6356" w14:textId="77777777" w:rsidR="0007398E" w:rsidRPr="00B23B9D" w:rsidRDefault="0007398E"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1081AACB" w14:textId="77777777" w:rsidR="0007398E" w:rsidRPr="00B23B9D" w:rsidRDefault="0007398E" w:rsidP="005F6585">
                          <w:pPr>
                            <w:pStyle w:val="Sinespaciado"/>
                            <w:jc w:val="center"/>
                            <w:rPr>
                              <w:rFonts w:ascii="Microsoft Sans Serif" w:eastAsia="SimHei" w:hAnsi="Microsoft Sans Serif" w:cs="Microsoft Sans Serif"/>
                              <w:b/>
                              <w:sz w:val="14"/>
                              <w:szCs w:val="14"/>
                            </w:rPr>
                          </w:pPr>
                        </w:p>
                        <w:p w14:paraId="5981EB56" w14:textId="77777777" w:rsidR="0007398E" w:rsidRPr="00B23B9D" w:rsidRDefault="0007398E" w:rsidP="005F658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7" type="#_x0000_t202" style="position:absolute;left:0;text-align:left;margin-left:-103.05pt;margin-top:14.55pt;width:88.65pt;height:13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" stroked="f">
              <v:textbox>
                <w:txbxContent>
                  <w:p w14:paraId="7B8F0936" w14:textId="009DB60C" w:rsidR="0007398E" w:rsidRDefault="0007398E" w:rsidP="005F658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35DDE9" wp14:editId="325EF9B0">
                          <wp:extent cx="943610" cy="943610"/>
                          <wp:effectExtent l="0" t="0" r="8890" b="889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39614717" w14:textId="77777777" w:rsidR="0007398E" w:rsidRPr="00B23B9D" w:rsidRDefault="0007398E"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63F11B8A" w14:textId="77777777" w:rsidR="0007398E" w:rsidRPr="00B23B9D" w:rsidRDefault="0007398E"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33BA6356" w14:textId="77777777" w:rsidR="0007398E" w:rsidRPr="00B23B9D" w:rsidRDefault="0007398E"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1081AACB" w14:textId="77777777" w:rsidR="0007398E" w:rsidRPr="00B23B9D" w:rsidRDefault="0007398E" w:rsidP="005F6585">
                    <w:pPr>
                      <w:pStyle w:val="Sinespaciado"/>
                      <w:jc w:val="center"/>
                      <w:rPr>
                        <w:rFonts w:ascii="Microsoft Sans Serif" w:eastAsia="SimHei" w:hAnsi="Microsoft Sans Serif" w:cs="Microsoft Sans Serif"/>
                        <w:b/>
                        <w:sz w:val="14"/>
                        <w:szCs w:val="14"/>
                      </w:rPr>
                    </w:pPr>
                  </w:p>
                  <w:p w14:paraId="5981EB56" w14:textId="77777777" w:rsidR="0007398E" w:rsidRPr="00B23B9D" w:rsidRDefault="0007398E" w:rsidP="005F658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5F6585">
      <w:rPr>
        <w:rFonts w:ascii="Arial" w:eastAsia="Times New Roman" w:hAnsi="Arial" w:cs="Arial"/>
        <w:sz w:val="28"/>
        <w:szCs w:val="32"/>
      </w:rPr>
      <w:t>SALA SUPERIOR DEL TRIBUNAL ESTATAL DE JUSTICIA ADMINISTRATIVA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D07F2"/>
    <w:multiLevelType w:val="hybridMultilevel"/>
    <w:tmpl w:val="37FE674C"/>
    <w:lvl w:ilvl="0" w:tplc="265CFD70">
      <w:start w:val="1"/>
      <w:numFmt w:val="lowerLetter"/>
      <w:lvlText w:val="%1)"/>
      <w:lvlJc w:val="right"/>
      <w:pPr>
        <w:ind w:left="1428" w:hanging="360"/>
      </w:pPr>
      <w:rPr>
        <w:rFonts w:ascii="Century Gothic" w:eastAsia="Times New Roman" w:hAnsi="Century Gothic" w:cs="Arial"/>
        <w:b/>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
    <w:nsid w:val="0EF57E43"/>
    <w:multiLevelType w:val="hybridMultilevel"/>
    <w:tmpl w:val="655876C4"/>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1BE379C1"/>
    <w:multiLevelType w:val="hybridMultilevel"/>
    <w:tmpl w:val="9BA827C6"/>
    <w:lvl w:ilvl="0" w:tplc="246C86B2">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nsid w:val="2B4D72A9"/>
    <w:multiLevelType w:val="hybridMultilevel"/>
    <w:tmpl w:val="14AA2A5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551CAA"/>
    <w:multiLevelType w:val="hybridMultilevel"/>
    <w:tmpl w:val="CFA47156"/>
    <w:lvl w:ilvl="0" w:tplc="080A0009">
      <w:start w:val="1"/>
      <w:numFmt w:val="bullet"/>
      <w:lvlText w:val=""/>
      <w:lvlJc w:val="left"/>
      <w:pPr>
        <w:ind w:left="1503" w:hanging="360"/>
      </w:pPr>
      <w:rPr>
        <w:rFonts w:ascii="Wingdings" w:hAnsi="Wingdings" w:hint="default"/>
      </w:rPr>
    </w:lvl>
    <w:lvl w:ilvl="1" w:tplc="080A0003" w:tentative="1">
      <w:start w:val="1"/>
      <w:numFmt w:val="bullet"/>
      <w:lvlText w:val="o"/>
      <w:lvlJc w:val="left"/>
      <w:pPr>
        <w:ind w:left="2223" w:hanging="360"/>
      </w:pPr>
      <w:rPr>
        <w:rFonts w:ascii="Courier New" w:hAnsi="Courier New" w:cs="Courier New"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5">
    <w:nsid w:val="428B1B39"/>
    <w:multiLevelType w:val="hybridMultilevel"/>
    <w:tmpl w:val="21A87C52"/>
    <w:lvl w:ilvl="0" w:tplc="080A0009">
      <w:start w:val="1"/>
      <w:numFmt w:val="bullet"/>
      <w:lvlText w:val=""/>
      <w:lvlJc w:val="left"/>
      <w:pPr>
        <w:ind w:left="1503" w:hanging="360"/>
      </w:pPr>
      <w:rPr>
        <w:rFonts w:ascii="Wingdings" w:hAnsi="Wingdings" w:hint="default"/>
      </w:rPr>
    </w:lvl>
    <w:lvl w:ilvl="1" w:tplc="080A0003" w:tentative="1">
      <w:start w:val="1"/>
      <w:numFmt w:val="bullet"/>
      <w:lvlText w:val="o"/>
      <w:lvlJc w:val="left"/>
      <w:pPr>
        <w:ind w:left="2223" w:hanging="360"/>
      </w:pPr>
      <w:rPr>
        <w:rFonts w:ascii="Courier New" w:hAnsi="Courier New" w:cs="Courier New"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6">
    <w:nsid w:val="555B3C50"/>
    <w:multiLevelType w:val="hybridMultilevel"/>
    <w:tmpl w:val="276EF47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AAC4F6F"/>
    <w:multiLevelType w:val="hybridMultilevel"/>
    <w:tmpl w:val="4A56311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0"/>
  </w:num>
  <w:num w:numId="2">
    <w:abstractNumId w:val="4"/>
  </w:num>
  <w:num w:numId="3">
    <w:abstractNumId w:val="5"/>
  </w:num>
  <w:num w:numId="4">
    <w:abstractNumId w:val="6"/>
  </w:num>
  <w:num w:numId="5">
    <w:abstractNumId w:val="3"/>
  </w:num>
  <w:num w:numId="6">
    <w:abstractNumId w:val="1"/>
  </w:num>
  <w:num w:numId="7">
    <w:abstractNumId w:val="7"/>
  </w:num>
  <w:num w:numId="8">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2192"/>
    <w:rsid w:val="00003549"/>
    <w:rsid w:val="00004CC2"/>
    <w:rsid w:val="0000574D"/>
    <w:rsid w:val="000076F0"/>
    <w:rsid w:val="0001075D"/>
    <w:rsid w:val="00012124"/>
    <w:rsid w:val="00012744"/>
    <w:rsid w:val="0001277E"/>
    <w:rsid w:val="00015A30"/>
    <w:rsid w:val="00015D37"/>
    <w:rsid w:val="00017551"/>
    <w:rsid w:val="00017902"/>
    <w:rsid w:val="0002022E"/>
    <w:rsid w:val="000203D1"/>
    <w:rsid w:val="00020FD1"/>
    <w:rsid w:val="000223E9"/>
    <w:rsid w:val="0002331F"/>
    <w:rsid w:val="0002346D"/>
    <w:rsid w:val="000236D2"/>
    <w:rsid w:val="00030582"/>
    <w:rsid w:val="000343AB"/>
    <w:rsid w:val="00035F4E"/>
    <w:rsid w:val="0003696D"/>
    <w:rsid w:val="000376E9"/>
    <w:rsid w:val="000377CC"/>
    <w:rsid w:val="000406AF"/>
    <w:rsid w:val="000420CA"/>
    <w:rsid w:val="000427E4"/>
    <w:rsid w:val="00045529"/>
    <w:rsid w:val="00047C05"/>
    <w:rsid w:val="00047CBE"/>
    <w:rsid w:val="0005055F"/>
    <w:rsid w:val="000532A3"/>
    <w:rsid w:val="00053ED3"/>
    <w:rsid w:val="00055DD0"/>
    <w:rsid w:val="000562C5"/>
    <w:rsid w:val="00060238"/>
    <w:rsid w:val="00061E3B"/>
    <w:rsid w:val="000621F7"/>
    <w:rsid w:val="000631B6"/>
    <w:rsid w:val="00064057"/>
    <w:rsid w:val="00064E60"/>
    <w:rsid w:val="00065C98"/>
    <w:rsid w:val="000725F4"/>
    <w:rsid w:val="0007398E"/>
    <w:rsid w:val="00074B8A"/>
    <w:rsid w:val="00075002"/>
    <w:rsid w:val="000769F8"/>
    <w:rsid w:val="00076FFD"/>
    <w:rsid w:val="00080588"/>
    <w:rsid w:val="000814ED"/>
    <w:rsid w:val="00081F4A"/>
    <w:rsid w:val="00082D46"/>
    <w:rsid w:val="00084649"/>
    <w:rsid w:val="0008720B"/>
    <w:rsid w:val="00087506"/>
    <w:rsid w:val="0008758C"/>
    <w:rsid w:val="00090D03"/>
    <w:rsid w:val="00091D7B"/>
    <w:rsid w:val="00092524"/>
    <w:rsid w:val="00093EF0"/>
    <w:rsid w:val="000949E5"/>
    <w:rsid w:val="00095342"/>
    <w:rsid w:val="00097341"/>
    <w:rsid w:val="00097F70"/>
    <w:rsid w:val="000A027F"/>
    <w:rsid w:val="000A0751"/>
    <w:rsid w:val="000A0EB2"/>
    <w:rsid w:val="000A1FD1"/>
    <w:rsid w:val="000A3130"/>
    <w:rsid w:val="000A4DE0"/>
    <w:rsid w:val="000A6F55"/>
    <w:rsid w:val="000A77E2"/>
    <w:rsid w:val="000B120D"/>
    <w:rsid w:val="000B39AB"/>
    <w:rsid w:val="000B41D8"/>
    <w:rsid w:val="000B5574"/>
    <w:rsid w:val="000B5F16"/>
    <w:rsid w:val="000B65F0"/>
    <w:rsid w:val="000B6E02"/>
    <w:rsid w:val="000B746C"/>
    <w:rsid w:val="000C1348"/>
    <w:rsid w:val="000C167F"/>
    <w:rsid w:val="000C233C"/>
    <w:rsid w:val="000C2ECC"/>
    <w:rsid w:val="000C2ED5"/>
    <w:rsid w:val="000C32B0"/>
    <w:rsid w:val="000C384A"/>
    <w:rsid w:val="000C57C1"/>
    <w:rsid w:val="000C670C"/>
    <w:rsid w:val="000C6CE6"/>
    <w:rsid w:val="000C739D"/>
    <w:rsid w:val="000C7934"/>
    <w:rsid w:val="000D0589"/>
    <w:rsid w:val="000D0A36"/>
    <w:rsid w:val="000D0AE9"/>
    <w:rsid w:val="000D2CD1"/>
    <w:rsid w:val="000D2E7E"/>
    <w:rsid w:val="000D3B59"/>
    <w:rsid w:val="000D6439"/>
    <w:rsid w:val="000D79B3"/>
    <w:rsid w:val="000D7F7A"/>
    <w:rsid w:val="000E4FA6"/>
    <w:rsid w:val="000E61EE"/>
    <w:rsid w:val="000E640A"/>
    <w:rsid w:val="000E7373"/>
    <w:rsid w:val="000E74DB"/>
    <w:rsid w:val="000F0437"/>
    <w:rsid w:val="000F05AD"/>
    <w:rsid w:val="000F08ED"/>
    <w:rsid w:val="000F224F"/>
    <w:rsid w:val="000F43B4"/>
    <w:rsid w:val="000F449B"/>
    <w:rsid w:val="000F574D"/>
    <w:rsid w:val="000F6B0D"/>
    <w:rsid w:val="000F7981"/>
    <w:rsid w:val="00100A6E"/>
    <w:rsid w:val="00101256"/>
    <w:rsid w:val="00101505"/>
    <w:rsid w:val="00101624"/>
    <w:rsid w:val="00102CB7"/>
    <w:rsid w:val="00103683"/>
    <w:rsid w:val="00104208"/>
    <w:rsid w:val="00104591"/>
    <w:rsid w:val="0010571A"/>
    <w:rsid w:val="001060AB"/>
    <w:rsid w:val="00106BA0"/>
    <w:rsid w:val="0011401C"/>
    <w:rsid w:val="00115CAE"/>
    <w:rsid w:val="00117B00"/>
    <w:rsid w:val="00120C3E"/>
    <w:rsid w:val="001222B2"/>
    <w:rsid w:val="00123B86"/>
    <w:rsid w:val="00125072"/>
    <w:rsid w:val="00130654"/>
    <w:rsid w:val="00130DD6"/>
    <w:rsid w:val="0013116D"/>
    <w:rsid w:val="001329D2"/>
    <w:rsid w:val="00134B51"/>
    <w:rsid w:val="0013629D"/>
    <w:rsid w:val="00136A9C"/>
    <w:rsid w:val="001375A7"/>
    <w:rsid w:val="0014069A"/>
    <w:rsid w:val="00141939"/>
    <w:rsid w:val="00142326"/>
    <w:rsid w:val="001435F0"/>
    <w:rsid w:val="001452D7"/>
    <w:rsid w:val="00147055"/>
    <w:rsid w:val="00147775"/>
    <w:rsid w:val="0015010E"/>
    <w:rsid w:val="001518B9"/>
    <w:rsid w:val="00152921"/>
    <w:rsid w:val="0015345A"/>
    <w:rsid w:val="00153E6F"/>
    <w:rsid w:val="00153F97"/>
    <w:rsid w:val="00155B62"/>
    <w:rsid w:val="00156466"/>
    <w:rsid w:val="00157CBF"/>
    <w:rsid w:val="0016024B"/>
    <w:rsid w:val="0016337A"/>
    <w:rsid w:val="00164DFB"/>
    <w:rsid w:val="0016602D"/>
    <w:rsid w:val="00166253"/>
    <w:rsid w:val="00167A20"/>
    <w:rsid w:val="00170124"/>
    <w:rsid w:val="001703E0"/>
    <w:rsid w:val="0017101C"/>
    <w:rsid w:val="001711AC"/>
    <w:rsid w:val="00171708"/>
    <w:rsid w:val="00171E07"/>
    <w:rsid w:val="0017263D"/>
    <w:rsid w:val="00172CF7"/>
    <w:rsid w:val="001731A3"/>
    <w:rsid w:val="001731FC"/>
    <w:rsid w:val="0017475D"/>
    <w:rsid w:val="001764B8"/>
    <w:rsid w:val="001772C8"/>
    <w:rsid w:val="00177C0B"/>
    <w:rsid w:val="00177FB2"/>
    <w:rsid w:val="00180E4B"/>
    <w:rsid w:val="001822CF"/>
    <w:rsid w:val="001841C9"/>
    <w:rsid w:val="00184608"/>
    <w:rsid w:val="00184C70"/>
    <w:rsid w:val="00187BD0"/>
    <w:rsid w:val="00190358"/>
    <w:rsid w:val="00192849"/>
    <w:rsid w:val="0019416E"/>
    <w:rsid w:val="00196AAA"/>
    <w:rsid w:val="00197449"/>
    <w:rsid w:val="00197D3C"/>
    <w:rsid w:val="00197EB4"/>
    <w:rsid w:val="001A14FC"/>
    <w:rsid w:val="001A1515"/>
    <w:rsid w:val="001A3D09"/>
    <w:rsid w:val="001A5B92"/>
    <w:rsid w:val="001A622E"/>
    <w:rsid w:val="001A6C24"/>
    <w:rsid w:val="001A72BE"/>
    <w:rsid w:val="001B2E7B"/>
    <w:rsid w:val="001B418D"/>
    <w:rsid w:val="001B4970"/>
    <w:rsid w:val="001B5F52"/>
    <w:rsid w:val="001B737C"/>
    <w:rsid w:val="001B784C"/>
    <w:rsid w:val="001B7DAA"/>
    <w:rsid w:val="001C016E"/>
    <w:rsid w:val="001C1E56"/>
    <w:rsid w:val="001C2914"/>
    <w:rsid w:val="001C52AC"/>
    <w:rsid w:val="001C644B"/>
    <w:rsid w:val="001D2538"/>
    <w:rsid w:val="001D2C46"/>
    <w:rsid w:val="001D39C5"/>
    <w:rsid w:val="001D3E41"/>
    <w:rsid w:val="001D495E"/>
    <w:rsid w:val="001D547C"/>
    <w:rsid w:val="001D5810"/>
    <w:rsid w:val="001D6536"/>
    <w:rsid w:val="001E122A"/>
    <w:rsid w:val="001E125C"/>
    <w:rsid w:val="001E15AA"/>
    <w:rsid w:val="001E1D9B"/>
    <w:rsid w:val="001E305C"/>
    <w:rsid w:val="001E39C4"/>
    <w:rsid w:val="001E3F04"/>
    <w:rsid w:val="001E46D1"/>
    <w:rsid w:val="001E5380"/>
    <w:rsid w:val="001E56BD"/>
    <w:rsid w:val="001F02EC"/>
    <w:rsid w:val="001F3AB9"/>
    <w:rsid w:val="001F5E7D"/>
    <w:rsid w:val="001F7CC3"/>
    <w:rsid w:val="001F7D9D"/>
    <w:rsid w:val="00200889"/>
    <w:rsid w:val="002015F5"/>
    <w:rsid w:val="002028E4"/>
    <w:rsid w:val="00202955"/>
    <w:rsid w:val="00204504"/>
    <w:rsid w:val="00204F68"/>
    <w:rsid w:val="00205185"/>
    <w:rsid w:val="0021159B"/>
    <w:rsid w:val="00211733"/>
    <w:rsid w:val="00211A1C"/>
    <w:rsid w:val="00211AC5"/>
    <w:rsid w:val="00216298"/>
    <w:rsid w:val="00217793"/>
    <w:rsid w:val="00217D01"/>
    <w:rsid w:val="0022128E"/>
    <w:rsid w:val="00221A30"/>
    <w:rsid w:val="00222442"/>
    <w:rsid w:val="002233E7"/>
    <w:rsid w:val="0022426C"/>
    <w:rsid w:val="00224CA1"/>
    <w:rsid w:val="00225596"/>
    <w:rsid w:val="00225D29"/>
    <w:rsid w:val="002270D0"/>
    <w:rsid w:val="00227FB7"/>
    <w:rsid w:val="00230106"/>
    <w:rsid w:val="00230E97"/>
    <w:rsid w:val="002317BC"/>
    <w:rsid w:val="00231F5C"/>
    <w:rsid w:val="00232F73"/>
    <w:rsid w:val="00234CB0"/>
    <w:rsid w:val="0023581E"/>
    <w:rsid w:val="002361BC"/>
    <w:rsid w:val="00237147"/>
    <w:rsid w:val="0024401E"/>
    <w:rsid w:val="002444E5"/>
    <w:rsid w:val="0024461A"/>
    <w:rsid w:val="002451AD"/>
    <w:rsid w:val="002479C5"/>
    <w:rsid w:val="0025047B"/>
    <w:rsid w:val="00250570"/>
    <w:rsid w:val="002510A2"/>
    <w:rsid w:val="002523BA"/>
    <w:rsid w:val="00252DED"/>
    <w:rsid w:val="00253095"/>
    <w:rsid w:val="002534C8"/>
    <w:rsid w:val="00255501"/>
    <w:rsid w:val="00255A5D"/>
    <w:rsid w:val="00256332"/>
    <w:rsid w:val="00256C8A"/>
    <w:rsid w:val="00257AAC"/>
    <w:rsid w:val="00257C20"/>
    <w:rsid w:val="00262399"/>
    <w:rsid w:val="0026509F"/>
    <w:rsid w:val="00265426"/>
    <w:rsid w:val="0026726E"/>
    <w:rsid w:val="00267FA1"/>
    <w:rsid w:val="002739DD"/>
    <w:rsid w:val="00273EDF"/>
    <w:rsid w:val="002758F9"/>
    <w:rsid w:val="00275BC1"/>
    <w:rsid w:val="00277E3C"/>
    <w:rsid w:val="0028021A"/>
    <w:rsid w:val="002803C1"/>
    <w:rsid w:val="00281839"/>
    <w:rsid w:val="00281A40"/>
    <w:rsid w:val="00282642"/>
    <w:rsid w:val="002830E3"/>
    <w:rsid w:val="00283888"/>
    <w:rsid w:val="0028526E"/>
    <w:rsid w:val="0028554A"/>
    <w:rsid w:val="002867BD"/>
    <w:rsid w:val="00286CD2"/>
    <w:rsid w:val="00287BC5"/>
    <w:rsid w:val="00290E12"/>
    <w:rsid w:val="002916D0"/>
    <w:rsid w:val="00292540"/>
    <w:rsid w:val="00294CB9"/>
    <w:rsid w:val="00295B27"/>
    <w:rsid w:val="00296199"/>
    <w:rsid w:val="00296808"/>
    <w:rsid w:val="00296939"/>
    <w:rsid w:val="00297EB4"/>
    <w:rsid w:val="002A0FB8"/>
    <w:rsid w:val="002A4015"/>
    <w:rsid w:val="002A59F5"/>
    <w:rsid w:val="002A674A"/>
    <w:rsid w:val="002A79EF"/>
    <w:rsid w:val="002B0086"/>
    <w:rsid w:val="002B27DC"/>
    <w:rsid w:val="002B297D"/>
    <w:rsid w:val="002B34E1"/>
    <w:rsid w:val="002B3808"/>
    <w:rsid w:val="002B6DE5"/>
    <w:rsid w:val="002C0414"/>
    <w:rsid w:val="002C08B1"/>
    <w:rsid w:val="002C1054"/>
    <w:rsid w:val="002C36D8"/>
    <w:rsid w:val="002C4B41"/>
    <w:rsid w:val="002C4C47"/>
    <w:rsid w:val="002C503D"/>
    <w:rsid w:val="002C5354"/>
    <w:rsid w:val="002C5C24"/>
    <w:rsid w:val="002C5FB7"/>
    <w:rsid w:val="002C633E"/>
    <w:rsid w:val="002C6C19"/>
    <w:rsid w:val="002C7778"/>
    <w:rsid w:val="002C7DA0"/>
    <w:rsid w:val="002D34E2"/>
    <w:rsid w:val="002D4194"/>
    <w:rsid w:val="002D646F"/>
    <w:rsid w:val="002E0B94"/>
    <w:rsid w:val="002E1C47"/>
    <w:rsid w:val="002E5C62"/>
    <w:rsid w:val="002E5F93"/>
    <w:rsid w:val="002E7019"/>
    <w:rsid w:val="002F13EB"/>
    <w:rsid w:val="002F3248"/>
    <w:rsid w:val="002F7F00"/>
    <w:rsid w:val="003035DF"/>
    <w:rsid w:val="00304E0F"/>
    <w:rsid w:val="0030614F"/>
    <w:rsid w:val="003062E1"/>
    <w:rsid w:val="00310263"/>
    <w:rsid w:val="0031232F"/>
    <w:rsid w:val="00312F74"/>
    <w:rsid w:val="00315D0A"/>
    <w:rsid w:val="00316C31"/>
    <w:rsid w:val="0032047A"/>
    <w:rsid w:val="00320C58"/>
    <w:rsid w:val="00321CBE"/>
    <w:rsid w:val="00321CD4"/>
    <w:rsid w:val="00322368"/>
    <w:rsid w:val="003223D7"/>
    <w:rsid w:val="00323077"/>
    <w:rsid w:val="00323EC0"/>
    <w:rsid w:val="00323F04"/>
    <w:rsid w:val="00324F69"/>
    <w:rsid w:val="0032689F"/>
    <w:rsid w:val="0033083C"/>
    <w:rsid w:val="0033087B"/>
    <w:rsid w:val="00332008"/>
    <w:rsid w:val="00333AA6"/>
    <w:rsid w:val="0033453D"/>
    <w:rsid w:val="00335705"/>
    <w:rsid w:val="003359CE"/>
    <w:rsid w:val="00335B69"/>
    <w:rsid w:val="003369BD"/>
    <w:rsid w:val="00336A5C"/>
    <w:rsid w:val="00336F22"/>
    <w:rsid w:val="00337F32"/>
    <w:rsid w:val="00341094"/>
    <w:rsid w:val="00341968"/>
    <w:rsid w:val="00343A7C"/>
    <w:rsid w:val="003459F1"/>
    <w:rsid w:val="00346B68"/>
    <w:rsid w:val="003479B7"/>
    <w:rsid w:val="003505F6"/>
    <w:rsid w:val="00351280"/>
    <w:rsid w:val="00352604"/>
    <w:rsid w:val="0035306A"/>
    <w:rsid w:val="00356779"/>
    <w:rsid w:val="003613AF"/>
    <w:rsid w:val="0036177A"/>
    <w:rsid w:val="0036313B"/>
    <w:rsid w:val="0036351D"/>
    <w:rsid w:val="0036462E"/>
    <w:rsid w:val="003656D1"/>
    <w:rsid w:val="003658B9"/>
    <w:rsid w:val="0036610D"/>
    <w:rsid w:val="00372FB3"/>
    <w:rsid w:val="003741D2"/>
    <w:rsid w:val="003755C5"/>
    <w:rsid w:val="0037623C"/>
    <w:rsid w:val="00376402"/>
    <w:rsid w:val="00380C95"/>
    <w:rsid w:val="00381C09"/>
    <w:rsid w:val="00382A01"/>
    <w:rsid w:val="00382F27"/>
    <w:rsid w:val="00384281"/>
    <w:rsid w:val="00384BB4"/>
    <w:rsid w:val="00385722"/>
    <w:rsid w:val="00386C15"/>
    <w:rsid w:val="003874ED"/>
    <w:rsid w:val="00387806"/>
    <w:rsid w:val="00387F2A"/>
    <w:rsid w:val="003904D9"/>
    <w:rsid w:val="00392B2C"/>
    <w:rsid w:val="00393206"/>
    <w:rsid w:val="003935F9"/>
    <w:rsid w:val="00393CB7"/>
    <w:rsid w:val="003960D1"/>
    <w:rsid w:val="003979F9"/>
    <w:rsid w:val="00397A94"/>
    <w:rsid w:val="003A0990"/>
    <w:rsid w:val="003A127A"/>
    <w:rsid w:val="003A2D67"/>
    <w:rsid w:val="003A3555"/>
    <w:rsid w:val="003A3C91"/>
    <w:rsid w:val="003A434C"/>
    <w:rsid w:val="003A54A6"/>
    <w:rsid w:val="003A7186"/>
    <w:rsid w:val="003A7953"/>
    <w:rsid w:val="003B06CE"/>
    <w:rsid w:val="003B0B9C"/>
    <w:rsid w:val="003B1A99"/>
    <w:rsid w:val="003B2445"/>
    <w:rsid w:val="003B2BDC"/>
    <w:rsid w:val="003B332F"/>
    <w:rsid w:val="003B4D39"/>
    <w:rsid w:val="003C00B6"/>
    <w:rsid w:val="003C0742"/>
    <w:rsid w:val="003C2284"/>
    <w:rsid w:val="003C42FF"/>
    <w:rsid w:val="003C457A"/>
    <w:rsid w:val="003C4AA5"/>
    <w:rsid w:val="003C588A"/>
    <w:rsid w:val="003C6137"/>
    <w:rsid w:val="003C711D"/>
    <w:rsid w:val="003D0673"/>
    <w:rsid w:val="003D06DA"/>
    <w:rsid w:val="003D1BC1"/>
    <w:rsid w:val="003D205E"/>
    <w:rsid w:val="003D2F84"/>
    <w:rsid w:val="003D3A8D"/>
    <w:rsid w:val="003D4098"/>
    <w:rsid w:val="003D4524"/>
    <w:rsid w:val="003D4A19"/>
    <w:rsid w:val="003D4E5B"/>
    <w:rsid w:val="003D5572"/>
    <w:rsid w:val="003D578B"/>
    <w:rsid w:val="003D685D"/>
    <w:rsid w:val="003D6AC6"/>
    <w:rsid w:val="003E0191"/>
    <w:rsid w:val="003E251B"/>
    <w:rsid w:val="003E4AFE"/>
    <w:rsid w:val="003E5F4E"/>
    <w:rsid w:val="003F0E11"/>
    <w:rsid w:val="003F44CE"/>
    <w:rsid w:val="003F6741"/>
    <w:rsid w:val="00400888"/>
    <w:rsid w:val="004017C0"/>
    <w:rsid w:val="00401F55"/>
    <w:rsid w:val="0040273B"/>
    <w:rsid w:val="00402D67"/>
    <w:rsid w:val="00403183"/>
    <w:rsid w:val="004044BC"/>
    <w:rsid w:val="00407D26"/>
    <w:rsid w:val="00410303"/>
    <w:rsid w:val="004110D8"/>
    <w:rsid w:val="0041129E"/>
    <w:rsid w:val="00411EDE"/>
    <w:rsid w:val="0041242E"/>
    <w:rsid w:val="00412BC1"/>
    <w:rsid w:val="0042020F"/>
    <w:rsid w:val="004204C3"/>
    <w:rsid w:val="00421E5B"/>
    <w:rsid w:val="00422222"/>
    <w:rsid w:val="00422913"/>
    <w:rsid w:val="00422CDD"/>
    <w:rsid w:val="00427A04"/>
    <w:rsid w:val="0043583A"/>
    <w:rsid w:val="00436870"/>
    <w:rsid w:val="004374D9"/>
    <w:rsid w:val="0043768E"/>
    <w:rsid w:val="0044193A"/>
    <w:rsid w:val="00441E0A"/>
    <w:rsid w:val="00442AF1"/>
    <w:rsid w:val="0044399D"/>
    <w:rsid w:val="004450A9"/>
    <w:rsid w:val="0044629C"/>
    <w:rsid w:val="00446C25"/>
    <w:rsid w:val="00447EDF"/>
    <w:rsid w:val="0045170C"/>
    <w:rsid w:val="00451BD7"/>
    <w:rsid w:val="004522F7"/>
    <w:rsid w:val="00452369"/>
    <w:rsid w:val="0045254A"/>
    <w:rsid w:val="00454C97"/>
    <w:rsid w:val="00454F5A"/>
    <w:rsid w:val="00455B6C"/>
    <w:rsid w:val="00456145"/>
    <w:rsid w:val="00456F07"/>
    <w:rsid w:val="0045780F"/>
    <w:rsid w:val="004602C1"/>
    <w:rsid w:val="004607F1"/>
    <w:rsid w:val="0046188C"/>
    <w:rsid w:val="00462706"/>
    <w:rsid w:val="004630EF"/>
    <w:rsid w:val="004638B2"/>
    <w:rsid w:val="00463BF6"/>
    <w:rsid w:val="00464F42"/>
    <w:rsid w:val="00465049"/>
    <w:rsid w:val="00465D90"/>
    <w:rsid w:val="00465E4E"/>
    <w:rsid w:val="00471C21"/>
    <w:rsid w:val="00472E28"/>
    <w:rsid w:val="00472FD8"/>
    <w:rsid w:val="004735F1"/>
    <w:rsid w:val="00473D86"/>
    <w:rsid w:val="00475B21"/>
    <w:rsid w:val="00475EF3"/>
    <w:rsid w:val="004767E2"/>
    <w:rsid w:val="00480876"/>
    <w:rsid w:val="004809EC"/>
    <w:rsid w:val="00480B64"/>
    <w:rsid w:val="00481377"/>
    <w:rsid w:val="004821C9"/>
    <w:rsid w:val="00482509"/>
    <w:rsid w:val="004827C8"/>
    <w:rsid w:val="004832DE"/>
    <w:rsid w:val="00485D0C"/>
    <w:rsid w:val="00485E6A"/>
    <w:rsid w:val="00485F26"/>
    <w:rsid w:val="004869DA"/>
    <w:rsid w:val="00487232"/>
    <w:rsid w:val="00487AC3"/>
    <w:rsid w:val="0049245B"/>
    <w:rsid w:val="00493B8F"/>
    <w:rsid w:val="00494589"/>
    <w:rsid w:val="004962A1"/>
    <w:rsid w:val="00496570"/>
    <w:rsid w:val="00496661"/>
    <w:rsid w:val="00497B4D"/>
    <w:rsid w:val="004A050C"/>
    <w:rsid w:val="004A167F"/>
    <w:rsid w:val="004A2165"/>
    <w:rsid w:val="004A2789"/>
    <w:rsid w:val="004A3329"/>
    <w:rsid w:val="004A4581"/>
    <w:rsid w:val="004A50B3"/>
    <w:rsid w:val="004A5309"/>
    <w:rsid w:val="004A53EE"/>
    <w:rsid w:val="004A6A42"/>
    <w:rsid w:val="004A7224"/>
    <w:rsid w:val="004A7281"/>
    <w:rsid w:val="004A7F15"/>
    <w:rsid w:val="004B04C4"/>
    <w:rsid w:val="004B0F19"/>
    <w:rsid w:val="004B2DB3"/>
    <w:rsid w:val="004B4615"/>
    <w:rsid w:val="004B4FBB"/>
    <w:rsid w:val="004B7BC6"/>
    <w:rsid w:val="004C06FD"/>
    <w:rsid w:val="004C4267"/>
    <w:rsid w:val="004C6517"/>
    <w:rsid w:val="004D01DC"/>
    <w:rsid w:val="004D0304"/>
    <w:rsid w:val="004D069B"/>
    <w:rsid w:val="004D14F3"/>
    <w:rsid w:val="004D1F6B"/>
    <w:rsid w:val="004D22A2"/>
    <w:rsid w:val="004D2694"/>
    <w:rsid w:val="004D4646"/>
    <w:rsid w:val="004D51F6"/>
    <w:rsid w:val="004D56A1"/>
    <w:rsid w:val="004D6E54"/>
    <w:rsid w:val="004D7352"/>
    <w:rsid w:val="004D7DD2"/>
    <w:rsid w:val="004D7FB2"/>
    <w:rsid w:val="004E0924"/>
    <w:rsid w:val="004E0E85"/>
    <w:rsid w:val="004E15C9"/>
    <w:rsid w:val="004E2E1A"/>
    <w:rsid w:val="004E33BC"/>
    <w:rsid w:val="004E4500"/>
    <w:rsid w:val="004E54E4"/>
    <w:rsid w:val="004F2356"/>
    <w:rsid w:val="004F32C2"/>
    <w:rsid w:val="004F4678"/>
    <w:rsid w:val="004F75EF"/>
    <w:rsid w:val="004F77DB"/>
    <w:rsid w:val="005001F4"/>
    <w:rsid w:val="00500381"/>
    <w:rsid w:val="0050127A"/>
    <w:rsid w:val="005023C5"/>
    <w:rsid w:val="005033EA"/>
    <w:rsid w:val="0050437E"/>
    <w:rsid w:val="005045B3"/>
    <w:rsid w:val="00505CB2"/>
    <w:rsid w:val="005070F5"/>
    <w:rsid w:val="005078FC"/>
    <w:rsid w:val="00507909"/>
    <w:rsid w:val="00507C5B"/>
    <w:rsid w:val="0051146B"/>
    <w:rsid w:val="005127B3"/>
    <w:rsid w:val="00514A63"/>
    <w:rsid w:val="005156CF"/>
    <w:rsid w:val="00516639"/>
    <w:rsid w:val="00516E11"/>
    <w:rsid w:val="0051775B"/>
    <w:rsid w:val="00517E07"/>
    <w:rsid w:val="0052029B"/>
    <w:rsid w:val="005205C0"/>
    <w:rsid w:val="005209FE"/>
    <w:rsid w:val="005221CC"/>
    <w:rsid w:val="00525307"/>
    <w:rsid w:val="005263D8"/>
    <w:rsid w:val="005268AD"/>
    <w:rsid w:val="0052753D"/>
    <w:rsid w:val="00527D8A"/>
    <w:rsid w:val="00527F74"/>
    <w:rsid w:val="00530B60"/>
    <w:rsid w:val="0053124C"/>
    <w:rsid w:val="005314D6"/>
    <w:rsid w:val="00532024"/>
    <w:rsid w:val="0053290D"/>
    <w:rsid w:val="005371DC"/>
    <w:rsid w:val="00537E44"/>
    <w:rsid w:val="00540132"/>
    <w:rsid w:val="0054072E"/>
    <w:rsid w:val="0054180F"/>
    <w:rsid w:val="00541DA6"/>
    <w:rsid w:val="00543D7A"/>
    <w:rsid w:val="00544D04"/>
    <w:rsid w:val="005457A5"/>
    <w:rsid w:val="005457F3"/>
    <w:rsid w:val="00552B76"/>
    <w:rsid w:val="00557414"/>
    <w:rsid w:val="00560455"/>
    <w:rsid w:val="00560B42"/>
    <w:rsid w:val="00560E10"/>
    <w:rsid w:val="0056197B"/>
    <w:rsid w:val="005624D9"/>
    <w:rsid w:val="00562C28"/>
    <w:rsid w:val="00562D4A"/>
    <w:rsid w:val="005641D4"/>
    <w:rsid w:val="00564988"/>
    <w:rsid w:val="00565B9E"/>
    <w:rsid w:val="00566B73"/>
    <w:rsid w:val="00566C7E"/>
    <w:rsid w:val="00571D1A"/>
    <w:rsid w:val="005724C4"/>
    <w:rsid w:val="00573099"/>
    <w:rsid w:val="00573E3F"/>
    <w:rsid w:val="005740E0"/>
    <w:rsid w:val="0058095F"/>
    <w:rsid w:val="00580B16"/>
    <w:rsid w:val="00582432"/>
    <w:rsid w:val="00583A79"/>
    <w:rsid w:val="00584B8F"/>
    <w:rsid w:val="00585EF4"/>
    <w:rsid w:val="0058746E"/>
    <w:rsid w:val="005875C0"/>
    <w:rsid w:val="00590757"/>
    <w:rsid w:val="0059081D"/>
    <w:rsid w:val="00590AC4"/>
    <w:rsid w:val="00591FED"/>
    <w:rsid w:val="005926B6"/>
    <w:rsid w:val="005930E7"/>
    <w:rsid w:val="00593FCF"/>
    <w:rsid w:val="00597ECD"/>
    <w:rsid w:val="005A0E5E"/>
    <w:rsid w:val="005A1FF7"/>
    <w:rsid w:val="005A2391"/>
    <w:rsid w:val="005A23A1"/>
    <w:rsid w:val="005A24EF"/>
    <w:rsid w:val="005A2BB5"/>
    <w:rsid w:val="005A404B"/>
    <w:rsid w:val="005A5D47"/>
    <w:rsid w:val="005A5DBB"/>
    <w:rsid w:val="005A6444"/>
    <w:rsid w:val="005A7271"/>
    <w:rsid w:val="005B09EC"/>
    <w:rsid w:val="005B1463"/>
    <w:rsid w:val="005B1B18"/>
    <w:rsid w:val="005B1E96"/>
    <w:rsid w:val="005B27F9"/>
    <w:rsid w:val="005B340F"/>
    <w:rsid w:val="005B3CDE"/>
    <w:rsid w:val="005B3EF1"/>
    <w:rsid w:val="005B658B"/>
    <w:rsid w:val="005B65EE"/>
    <w:rsid w:val="005B6A62"/>
    <w:rsid w:val="005B6BD7"/>
    <w:rsid w:val="005B7FCC"/>
    <w:rsid w:val="005C01AC"/>
    <w:rsid w:val="005C0237"/>
    <w:rsid w:val="005C237E"/>
    <w:rsid w:val="005C339D"/>
    <w:rsid w:val="005C3D67"/>
    <w:rsid w:val="005C3F7D"/>
    <w:rsid w:val="005C52BD"/>
    <w:rsid w:val="005C5FFA"/>
    <w:rsid w:val="005C7B27"/>
    <w:rsid w:val="005D1B67"/>
    <w:rsid w:val="005D3E62"/>
    <w:rsid w:val="005D3EA5"/>
    <w:rsid w:val="005D4433"/>
    <w:rsid w:val="005E07F7"/>
    <w:rsid w:val="005E0D3E"/>
    <w:rsid w:val="005E171A"/>
    <w:rsid w:val="005E2395"/>
    <w:rsid w:val="005E2617"/>
    <w:rsid w:val="005E4ADC"/>
    <w:rsid w:val="005E5C2F"/>
    <w:rsid w:val="005E6721"/>
    <w:rsid w:val="005E703C"/>
    <w:rsid w:val="005E7065"/>
    <w:rsid w:val="005E7908"/>
    <w:rsid w:val="005F09CB"/>
    <w:rsid w:val="005F1012"/>
    <w:rsid w:val="005F5049"/>
    <w:rsid w:val="005F5967"/>
    <w:rsid w:val="005F5E18"/>
    <w:rsid w:val="005F61E1"/>
    <w:rsid w:val="005F6585"/>
    <w:rsid w:val="005F6BE3"/>
    <w:rsid w:val="005F71F4"/>
    <w:rsid w:val="005F7BB7"/>
    <w:rsid w:val="00600A34"/>
    <w:rsid w:val="00600D5A"/>
    <w:rsid w:val="006011A5"/>
    <w:rsid w:val="00602D5D"/>
    <w:rsid w:val="00610BEF"/>
    <w:rsid w:val="00611CA5"/>
    <w:rsid w:val="0061224D"/>
    <w:rsid w:val="00613014"/>
    <w:rsid w:val="0061313C"/>
    <w:rsid w:val="00613347"/>
    <w:rsid w:val="00614036"/>
    <w:rsid w:val="006149B5"/>
    <w:rsid w:val="006154A0"/>
    <w:rsid w:val="006166B7"/>
    <w:rsid w:val="006200EF"/>
    <w:rsid w:val="006261BC"/>
    <w:rsid w:val="00626584"/>
    <w:rsid w:val="0062717F"/>
    <w:rsid w:val="00627687"/>
    <w:rsid w:val="00627B59"/>
    <w:rsid w:val="00630351"/>
    <w:rsid w:val="00630A77"/>
    <w:rsid w:val="00632CB3"/>
    <w:rsid w:val="00633649"/>
    <w:rsid w:val="00633948"/>
    <w:rsid w:val="006340A6"/>
    <w:rsid w:val="0063566D"/>
    <w:rsid w:val="00635C82"/>
    <w:rsid w:val="006361F6"/>
    <w:rsid w:val="0063627E"/>
    <w:rsid w:val="00644BD4"/>
    <w:rsid w:val="006462B1"/>
    <w:rsid w:val="00646F73"/>
    <w:rsid w:val="00650272"/>
    <w:rsid w:val="006519B8"/>
    <w:rsid w:val="00651D11"/>
    <w:rsid w:val="0065239F"/>
    <w:rsid w:val="0065572A"/>
    <w:rsid w:val="0065619E"/>
    <w:rsid w:val="00656A32"/>
    <w:rsid w:val="00657158"/>
    <w:rsid w:val="00660F4F"/>
    <w:rsid w:val="006628DC"/>
    <w:rsid w:val="00664445"/>
    <w:rsid w:val="00667322"/>
    <w:rsid w:val="00671CDD"/>
    <w:rsid w:val="00672D3C"/>
    <w:rsid w:val="006751CD"/>
    <w:rsid w:val="00675C20"/>
    <w:rsid w:val="00677B48"/>
    <w:rsid w:val="00677E24"/>
    <w:rsid w:val="00680DB4"/>
    <w:rsid w:val="00680F1B"/>
    <w:rsid w:val="006819CF"/>
    <w:rsid w:val="0068311C"/>
    <w:rsid w:val="006832BD"/>
    <w:rsid w:val="00684147"/>
    <w:rsid w:val="006842B7"/>
    <w:rsid w:val="00684E42"/>
    <w:rsid w:val="0069025D"/>
    <w:rsid w:val="006939B3"/>
    <w:rsid w:val="00694F84"/>
    <w:rsid w:val="00697C06"/>
    <w:rsid w:val="006A1311"/>
    <w:rsid w:val="006A1A2B"/>
    <w:rsid w:val="006A24A0"/>
    <w:rsid w:val="006A26A8"/>
    <w:rsid w:val="006A28AC"/>
    <w:rsid w:val="006A3198"/>
    <w:rsid w:val="006A39CD"/>
    <w:rsid w:val="006A424F"/>
    <w:rsid w:val="006A43AC"/>
    <w:rsid w:val="006A52C7"/>
    <w:rsid w:val="006A5913"/>
    <w:rsid w:val="006A5D28"/>
    <w:rsid w:val="006A7095"/>
    <w:rsid w:val="006B138E"/>
    <w:rsid w:val="006B1884"/>
    <w:rsid w:val="006B3F71"/>
    <w:rsid w:val="006B6FAE"/>
    <w:rsid w:val="006B74A7"/>
    <w:rsid w:val="006C0143"/>
    <w:rsid w:val="006C144E"/>
    <w:rsid w:val="006C1C55"/>
    <w:rsid w:val="006C278F"/>
    <w:rsid w:val="006C2BCC"/>
    <w:rsid w:val="006C3265"/>
    <w:rsid w:val="006C343A"/>
    <w:rsid w:val="006C39C1"/>
    <w:rsid w:val="006C57F4"/>
    <w:rsid w:val="006C6E95"/>
    <w:rsid w:val="006C751D"/>
    <w:rsid w:val="006C7811"/>
    <w:rsid w:val="006D25F3"/>
    <w:rsid w:val="006D316C"/>
    <w:rsid w:val="006D3415"/>
    <w:rsid w:val="006D3DCE"/>
    <w:rsid w:val="006D4D1B"/>
    <w:rsid w:val="006D5356"/>
    <w:rsid w:val="006D5B08"/>
    <w:rsid w:val="006D6338"/>
    <w:rsid w:val="006D717B"/>
    <w:rsid w:val="006D7802"/>
    <w:rsid w:val="006D7819"/>
    <w:rsid w:val="006E0299"/>
    <w:rsid w:val="006E1F5B"/>
    <w:rsid w:val="006E2CB3"/>
    <w:rsid w:val="006E3ADC"/>
    <w:rsid w:val="006E3DB8"/>
    <w:rsid w:val="006E6472"/>
    <w:rsid w:val="006E6C1E"/>
    <w:rsid w:val="006E7228"/>
    <w:rsid w:val="006F024C"/>
    <w:rsid w:val="006F0886"/>
    <w:rsid w:val="006F27C6"/>
    <w:rsid w:val="006F3E11"/>
    <w:rsid w:val="006F4274"/>
    <w:rsid w:val="006F533F"/>
    <w:rsid w:val="006F541E"/>
    <w:rsid w:val="006F64E5"/>
    <w:rsid w:val="006F65FC"/>
    <w:rsid w:val="006F7509"/>
    <w:rsid w:val="0070077B"/>
    <w:rsid w:val="00700ACD"/>
    <w:rsid w:val="00702DF5"/>
    <w:rsid w:val="00702FB7"/>
    <w:rsid w:val="00702FD5"/>
    <w:rsid w:val="00703E73"/>
    <w:rsid w:val="00703F61"/>
    <w:rsid w:val="00706415"/>
    <w:rsid w:val="00706AE3"/>
    <w:rsid w:val="00711073"/>
    <w:rsid w:val="0071145F"/>
    <w:rsid w:val="0071478F"/>
    <w:rsid w:val="00714B0C"/>
    <w:rsid w:val="007166EE"/>
    <w:rsid w:val="00720C73"/>
    <w:rsid w:val="00721CD7"/>
    <w:rsid w:val="007237CC"/>
    <w:rsid w:val="00723D3A"/>
    <w:rsid w:val="00723D64"/>
    <w:rsid w:val="00724FCF"/>
    <w:rsid w:val="00725547"/>
    <w:rsid w:val="0072657B"/>
    <w:rsid w:val="007265E5"/>
    <w:rsid w:val="00726EFD"/>
    <w:rsid w:val="00730372"/>
    <w:rsid w:val="00730BAF"/>
    <w:rsid w:val="00731138"/>
    <w:rsid w:val="00731E50"/>
    <w:rsid w:val="0073333A"/>
    <w:rsid w:val="00733D28"/>
    <w:rsid w:val="007357AB"/>
    <w:rsid w:val="007366D2"/>
    <w:rsid w:val="00737B95"/>
    <w:rsid w:val="00740321"/>
    <w:rsid w:val="00740390"/>
    <w:rsid w:val="00740705"/>
    <w:rsid w:val="00740F6F"/>
    <w:rsid w:val="007415DC"/>
    <w:rsid w:val="0074378D"/>
    <w:rsid w:val="007440D2"/>
    <w:rsid w:val="00744721"/>
    <w:rsid w:val="007451DC"/>
    <w:rsid w:val="00746315"/>
    <w:rsid w:val="00746411"/>
    <w:rsid w:val="00747514"/>
    <w:rsid w:val="00747C63"/>
    <w:rsid w:val="00750EAE"/>
    <w:rsid w:val="00751A7F"/>
    <w:rsid w:val="007524ED"/>
    <w:rsid w:val="007527A5"/>
    <w:rsid w:val="0075342E"/>
    <w:rsid w:val="00755F12"/>
    <w:rsid w:val="00756A2C"/>
    <w:rsid w:val="00761B1D"/>
    <w:rsid w:val="00764921"/>
    <w:rsid w:val="00764A7A"/>
    <w:rsid w:val="007667CA"/>
    <w:rsid w:val="007672BB"/>
    <w:rsid w:val="0077095D"/>
    <w:rsid w:val="00773C65"/>
    <w:rsid w:val="00773DF4"/>
    <w:rsid w:val="007759B0"/>
    <w:rsid w:val="00775AFE"/>
    <w:rsid w:val="00777197"/>
    <w:rsid w:val="00777BA5"/>
    <w:rsid w:val="007801E1"/>
    <w:rsid w:val="00780656"/>
    <w:rsid w:val="00780F00"/>
    <w:rsid w:val="0078236A"/>
    <w:rsid w:val="00782BBE"/>
    <w:rsid w:val="00782C4B"/>
    <w:rsid w:val="007834FB"/>
    <w:rsid w:val="00783B04"/>
    <w:rsid w:val="007849BD"/>
    <w:rsid w:val="0078617B"/>
    <w:rsid w:val="00790E42"/>
    <w:rsid w:val="0079168E"/>
    <w:rsid w:val="007943A9"/>
    <w:rsid w:val="00795EC5"/>
    <w:rsid w:val="0079722B"/>
    <w:rsid w:val="00797A49"/>
    <w:rsid w:val="007A3418"/>
    <w:rsid w:val="007A3A7E"/>
    <w:rsid w:val="007A4DA0"/>
    <w:rsid w:val="007B029E"/>
    <w:rsid w:val="007B2DBC"/>
    <w:rsid w:val="007B3B33"/>
    <w:rsid w:val="007B41E7"/>
    <w:rsid w:val="007B5C6E"/>
    <w:rsid w:val="007B5E3C"/>
    <w:rsid w:val="007B60B7"/>
    <w:rsid w:val="007B6F75"/>
    <w:rsid w:val="007B756B"/>
    <w:rsid w:val="007B76BE"/>
    <w:rsid w:val="007C0F84"/>
    <w:rsid w:val="007C4790"/>
    <w:rsid w:val="007C65F3"/>
    <w:rsid w:val="007C6B96"/>
    <w:rsid w:val="007D393B"/>
    <w:rsid w:val="007D4B94"/>
    <w:rsid w:val="007E011B"/>
    <w:rsid w:val="007E6788"/>
    <w:rsid w:val="007E6A62"/>
    <w:rsid w:val="007E71D6"/>
    <w:rsid w:val="007E7C97"/>
    <w:rsid w:val="007F01EF"/>
    <w:rsid w:val="007F05B0"/>
    <w:rsid w:val="007F081F"/>
    <w:rsid w:val="007F32F4"/>
    <w:rsid w:val="007F3F79"/>
    <w:rsid w:val="007F7FE0"/>
    <w:rsid w:val="00801722"/>
    <w:rsid w:val="00804EE3"/>
    <w:rsid w:val="00805C30"/>
    <w:rsid w:val="00807FBE"/>
    <w:rsid w:val="0081030F"/>
    <w:rsid w:val="0081213A"/>
    <w:rsid w:val="008130B1"/>
    <w:rsid w:val="008151ED"/>
    <w:rsid w:val="008154AC"/>
    <w:rsid w:val="00820439"/>
    <w:rsid w:val="0082055D"/>
    <w:rsid w:val="00820F13"/>
    <w:rsid w:val="00821601"/>
    <w:rsid w:val="0082262C"/>
    <w:rsid w:val="008226FA"/>
    <w:rsid w:val="0082444D"/>
    <w:rsid w:val="00824B2B"/>
    <w:rsid w:val="00825D6E"/>
    <w:rsid w:val="00826B3A"/>
    <w:rsid w:val="00827376"/>
    <w:rsid w:val="008308EC"/>
    <w:rsid w:val="00830EB4"/>
    <w:rsid w:val="00834923"/>
    <w:rsid w:val="0083520A"/>
    <w:rsid w:val="00835C77"/>
    <w:rsid w:val="008378FD"/>
    <w:rsid w:val="00840E65"/>
    <w:rsid w:val="00840F27"/>
    <w:rsid w:val="0084116F"/>
    <w:rsid w:val="0084796E"/>
    <w:rsid w:val="00847B3B"/>
    <w:rsid w:val="0085203A"/>
    <w:rsid w:val="008520D2"/>
    <w:rsid w:val="008524EE"/>
    <w:rsid w:val="008534AF"/>
    <w:rsid w:val="008544BD"/>
    <w:rsid w:val="0085589C"/>
    <w:rsid w:val="0085692B"/>
    <w:rsid w:val="00856962"/>
    <w:rsid w:val="00861BF6"/>
    <w:rsid w:val="00861EB5"/>
    <w:rsid w:val="00861F21"/>
    <w:rsid w:val="008624A2"/>
    <w:rsid w:val="00864032"/>
    <w:rsid w:val="00864A40"/>
    <w:rsid w:val="00867017"/>
    <w:rsid w:val="00867F2A"/>
    <w:rsid w:val="00874B20"/>
    <w:rsid w:val="00874C66"/>
    <w:rsid w:val="0087506E"/>
    <w:rsid w:val="00875EF8"/>
    <w:rsid w:val="00877ED8"/>
    <w:rsid w:val="008803D8"/>
    <w:rsid w:val="00881E29"/>
    <w:rsid w:val="00881EED"/>
    <w:rsid w:val="00884990"/>
    <w:rsid w:val="00885CE3"/>
    <w:rsid w:val="00886217"/>
    <w:rsid w:val="0088694E"/>
    <w:rsid w:val="00887063"/>
    <w:rsid w:val="00891697"/>
    <w:rsid w:val="008922BC"/>
    <w:rsid w:val="00892337"/>
    <w:rsid w:val="00893341"/>
    <w:rsid w:val="00893432"/>
    <w:rsid w:val="00893871"/>
    <w:rsid w:val="00894CF0"/>
    <w:rsid w:val="008954E3"/>
    <w:rsid w:val="00895F2A"/>
    <w:rsid w:val="008A07E6"/>
    <w:rsid w:val="008A082C"/>
    <w:rsid w:val="008A0991"/>
    <w:rsid w:val="008A40BA"/>
    <w:rsid w:val="008A4493"/>
    <w:rsid w:val="008A5695"/>
    <w:rsid w:val="008A73ED"/>
    <w:rsid w:val="008B2830"/>
    <w:rsid w:val="008B283F"/>
    <w:rsid w:val="008B3A66"/>
    <w:rsid w:val="008B4D1C"/>
    <w:rsid w:val="008B51D2"/>
    <w:rsid w:val="008B5EE7"/>
    <w:rsid w:val="008B7C55"/>
    <w:rsid w:val="008C1492"/>
    <w:rsid w:val="008C5618"/>
    <w:rsid w:val="008C5705"/>
    <w:rsid w:val="008C5E92"/>
    <w:rsid w:val="008C753A"/>
    <w:rsid w:val="008D2215"/>
    <w:rsid w:val="008D2624"/>
    <w:rsid w:val="008D263D"/>
    <w:rsid w:val="008D32B1"/>
    <w:rsid w:val="008D6EB3"/>
    <w:rsid w:val="008E077D"/>
    <w:rsid w:val="008E1F31"/>
    <w:rsid w:val="008E3EE3"/>
    <w:rsid w:val="008E5FC3"/>
    <w:rsid w:val="008E7347"/>
    <w:rsid w:val="008E7D14"/>
    <w:rsid w:val="008F1178"/>
    <w:rsid w:val="008F2068"/>
    <w:rsid w:val="008F367B"/>
    <w:rsid w:val="008F47B9"/>
    <w:rsid w:val="008F498E"/>
    <w:rsid w:val="008F4D4C"/>
    <w:rsid w:val="008F5EF3"/>
    <w:rsid w:val="00900213"/>
    <w:rsid w:val="00902B74"/>
    <w:rsid w:val="0090308D"/>
    <w:rsid w:val="00910747"/>
    <w:rsid w:val="00911FDF"/>
    <w:rsid w:val="00913371"/>
    <w:rsid w:val="0091460C"/>
    <w:rsid w:val="0091469A"/>
    <w:rsid w:val="009146BC"/>
    <w:rsid w:val="00914B93"/>
    <w:rsid w:val="00914C09"/>
    <w:rsid w:val="00915AAB"/>
    <w:rsid w:val="00916A27"/>
    <w:rsid w:val="009175E4"/>
    <w:rsid w:val="00920B4A"/>
    <w:rsid w:val="00920BA9"/>
    <w:rsid w:val="00921120"/>
    <w:rsid w:val="00921424"/>
    <w:rsid w:val="00921AAF"/>
    <w:rsid w:val="00922DF5"/>
    <w:rsid w:val="00923089"/>
    <w:rsid w:val="00923A38"/>
    <w:rsid w:val="00924E5C"/>
    <w:rsid w:val="00924F1A"/>
    <w:rsid w:val="0092528C"/>
    <w:rsid w:val="00926E9C"/>
    <w:rsid w:val="0092718F"/>
    <w:rsid w:val="009277CD"/>
    <w:rsid w:val="00930991"/>
    <w:rsid w:val="00932348"/>
    <w:rsid w:val="00932F13"/>
    <w:rsid w:val="009332B2"/>
    <w:rsid w:val="00934C17"/>
    <w:rsid w:val="00936C32"/>
    <w:rsid w:val="00937570"/>
    <w:rsid w:val="00937BE4"/>
    <w:rsid w:val="009409EA"/>
    <w:rsid w:val="00940CF0"/>
    <w:rsid w:val="009419F0"/>
    <w:rsid w:val="009429F5"/>
    <w:rsid w:val="00943617"/>
    <w:rsid w:val="00943D7D"/>
    <w:rsid w:val="00945979"/>
    <w:rsid w:val="00945C8C"/>
    <w:rsid w:val="0094640E"/>
    <w:rsid w:val="00946B96"/>
    <w:rsid w:val="009474BA"/>
    <w:rsid w:val="00950122"/>
    <w:rsid w:val="00951B50"/>
    <w:rsid w:val="00953F97"/>
    <w:rsid w:val="00956AC6"/>
    <w:rsid w:val="00957419"/>
    <w:rsid w:val="00957A57"/>
    <w:rsid w:val="009608FB"/>
    <w:rsid w:val="009617BE"/>
    <w:rsid w:val="00962C22"/>
    <w:rsid w:val="00964371"/>
    <w:rsid w:val="00964415"/>
    <w:rsid w:val="00964CA2"/>
    <w:rsid w:val="009655F8"/>
    <w:rsid w:val="00966375"/>
    <w:rsid w:val="009668DA"/>
    <w:rsid w:val="00966AEF"/>
    <w:rsid w:val="00966F73"/>
    <w:rsid w:val="00967A86"/>
    <w:rsid w:val="009723B1"/>
    <w:rsid w:val="0097304D"/>
    <w:rsid w:val="009738C0"/>
    <w:rsid w:val="0097562D"/>
    <w:rsid w:val="00975F4B"/>
    <w:rsid w:val="0097717C"/>
    <w:rsid w:val="0097741C"/>
    <w:rsid w:val="00977CA4"/>
    <w:rsid w:val="00983778"/>
    <w:rsid w:val="00984448"/>
    <w:rsid w:val="009846FE"/>
    <w:rsid w:val="009878B5"/>
    <w:rsid w:val="009879C4"/>
    <w:rsid w:val="00987AA5"/>
    <w:rsid w:val="00992304"/>
    <w:rsid w:val="009927B7"/>
    <w:rsid w:val="00993A60"/>
    <w:rsid w:val="00993ED3"/>
    <w:rsid w:val="009948B0"/>
    <w:rsid w:val="00996F64"/>
    <w:rsid w:val="0099726F"/>
    <w:rsid w:val="009973C3"/>
    <w:rsid w:val="009A0A17"/>
    <w:rsid w:val="009A1A94"/>
    <w:rsid w:val="009A2559"/>
    <w:rsid w:val="009A4C9A"/>
    <w:rsid w:val="009A5004"/>
    <w:rsid w:val="009A7582"/>
    <w:rsid w:val="009B057E"/>
    <w:rsid w:val="009B1636"/>
    <w:rsid w:val="009B27F3"/>
    <w:rsid w:val="009B2860"/>
    <w:rsid w:val="009B33A9"/>
    <w:rsid w:val="009B4DB0"/>
    <w:rsid w:val="009B64E1"/>
    <w:rsid w:val="009C035B"/>
    <w:rsid w:val="009C080D"/>
    <w:rsid w:val="009C0A59"/>
    <w:rsid w:val="009C1338"/>
    <w:rsid w:val="009C25E8"/>
    <w:rsid w:val="009C38AF"/>
    <w:rsid w:val="009C39AA"/>
    <w:rsid w:val="009C46CD"/>
    <w:rsid w:val="009C48D7"/>
    <w:rsid w:val="009C53CE"/>
    <w:rsid w:val="009C5A6D"/>
    <w:rsid w:val="009C69BA"/>
    <w:rsid w:val="009C6D22"/>
    <w:rsid w:val="009C7863"/>
    <w:rsid w:val="009D267E"/>
    <w:rsid w:val="009D2DC9"/>
    <w:rsid w:val="009D4025"/>
    <w:rsid w:val="009D4229"/>
    <w:rsid w:val="009D4612"/>
    <w:rsid w:val="009D4D97"/>
    <w:rsid w:val="009D6665"/>
    <w:rsid w:val="009E022F"/>
    <w:rsid w:val="009E0F33"/>
    <w:rsid w:val="009E1455"/>
    <w:rsid w:val="009E1E9F"/>
    <w:rsid w:val="009E2908"/>
    <w:rsid w:val="009E2BE9"/>
    <w:rsid w:val="009E2BF3"/>
    <w:rsid w:val="009E3739"/>
    <w:rsid w:val="009E4A23"/>
    <w:rsid w:val="009E4AB2"/>
    <w:rsid w:val="009E4D2B"/>
    <w:rsid w:val="009E51DF"/>
    <w:rsid w:val="009F17A1"/>
    <w:rsid w:val="009F1DA6"/>
    <w:rsid w:val="009F29AD"/>
    <w:rsid w:val="009F3A1D"/>
    <w:rsid w:val="009F3FE7"/>
    <w:rsid w:val="009F46CD"/>
    <w:rsid w:val="009F4F2E"/>
    <w:rsid w:val="009F59E7"/>
    <w:rsid w:val="009F6653"/>
    <w:rsid w:val="00A001D0"/>
    <w:rsid w:val="00A00BE5"/>
    <w:rsid w:val="00A00EC2"/>
    <w:rsid w:val="00A048AA"/>
    <w:rsid w:val="00A04DCB"/>
    <w:rsid w:val="00A059F8"/>
    <w:rsid w:val="00A06F53"/>
    <w:rsid w:val="00A07312"/>
    <w:rsid w:val="00A07673"/>
    <w:rsid w:val="00A112DE"/>
    <w:rsid w:val="00A1216E"/>
    <w:rsid w:val="00A137C3"/>
    <w:rsid w:val="00A14636"/>
    <w:rsid w:val="00A14704"/>
    <w:rsid w:val="00A1598E"/>
    <w:rsid w:val="00A15D38"/>
    <w:rsid w:val="00A1771F"/>
    <w:rsid w:val="00A1775F"/>
    <w:rsid w:val="00A21605"/>
    <w:rsid w:val="00A246C6"/>
    <w:rsid w:val="00A24B24"/>
    <w:rsid w:val="00A27591"/>
    <w:rsid w:val="00A30B0B"/>
    <w:rsid w:val="00A30F94"/>
    <w:rsid w:val="00A3114A"/>
    <w:rsid w:val="00A32D76"/>
    <w:rsid w:val="00A335DE"/>
    <w:rsid w:val="00A33F79"/>
    <w:rsid w:val="00A3448F"/>
    <w:rsid w:val="00A35E22"/>
    <w:rsid w:val="00A40686"/>
    <w:rsid w:val="00A407E9"/>
    <w:rsid w:val="00A40BAD"/>
    <w:rsid w:val="00A422FE"/>
    <w:rsid w:val="00A4343C"/>
    <w:rsid w:val="00A44549"/>
    <w:rsid w:val="00A44A93"/>
    <w:rsid w:val="00A45B2E"/>
    <w:rsid w:val="00A45D9C"/>
    <w:rsid w:val="00A47B70"/>
    <w:rsid w:val="00A50AE3"/>
    <w:rsid w:val="00A5186F"/>
    <w:rsid w:val="00A52966"/>
    <w:rsid w:val="00A56564"/>
    <w:rsid w:val="00A56A1A"/>
    <w:rsid w:val="00A61BBB"/>
    <w:rsid w:val="00A6409B"/>
    <w:rsid w:val="00A666D3"/>
    <w:rsid w:val="00A673FA"/>
    <w:rsid w:val="00A7004F"/>
    <w:rsid w:val="00A74194"/>
    <w:rsid w:val="00A7705E"/>
    <w:rsid w:val="00A77637"/>
    <w:rsid w:val="00A7788C"/>
    <w:rsid w:val="00A77B8C"/>
    <w:rsid w:val="00A80209"/>
    <w:rsid w:val="00A83756"/>
    <w:rsid w:val="00A86B17"/>
    <w:rsid w:val="00A86DEE"/>
    <w:rsid w:val="00A86F86"/>
    <w:rsid w:val="00A910C6"/>
    <w:rsid w:val="00A91F5F"/>
    <w:rsid w:val="00A93A7B"/>
    <w:rsid w:val="00A94404"/>
    <w:rsid w:val="00A9517A"/>
    <w:rsid w:val="00A97C05"/>
    <w:rsid w:val="00A97E6B"/>
    <w:rsid w:val="00AA507B"/>
    <w:rsid w:val="00AA668C"/>
    <w:rsid w:val="00AA68D0"/>
    <w:rsid w:val="00AA7398"/>
    <w:rsid w:val="00AA7EDB"/>
    <w:rsid w:val="00AA7F6D"/>
    <w:rsid w:val="00AB29C8"/>
    <w:rsid w:val="00AB63B0"/>
    <w:rsid w:val="00AB69A3"/>
    <w:rsid w:val="00AB7AF2"/>
    <w:rsid w:val="00AC08A3"/>
    <w:rsid w:val="00AC1C18"/>
    <w:rsid w:val="00AC2246"/>
    <w:rsid w:val="00AC3A6A"/>
    <w:rsid w:val="00AC46CF"/>
    <w:rsid w:val="00AC6B10"/>
    <w:rsid w:val="00AC6CF8"/>
    <w:rsid w:val="00AC7B4A"/>
    <w:rsid w:val="00AD0185"/>
    <w:rsid w:val="00AD0431"/>
    <w:rsid w:val="00AD105B"/>
    <w:rsid w:val="00AD14D2"/>
    <w:rsid w:val="00AD1B12"/>
    <w:rsid w:val="00AD2345"/>
    <w:rsid w:val="00AD355B"/>
    <w:rsid w:val="00AD4D29"/>
    <w:rsid w:val="00AD5EC7"/>
    <w:rsid w:val="00AD5F0E"/>
    <w:rsid w:val="00AD6B0A"/>
    <w:rsid w:val="00AD781F"/>
    <w:rsid w:val="00AE069F"/>
    <w:rsid w:val="00AE23FE"/>
    <w:rsid w:val="00AE2703"/>
    <w:rsid w:val="00AE286C"/>
    <w:rsid w:val="00AE2DA7"/>
    <w:rsid w:val="00AE3BF2"/>
    <w:rsid w:val="00AE46D3"/>
    <w:rsid w:val="00AE508F"/>
    <w:rsid w:val="00AE7167"/>
    <w:rsid w:val="00AF25B1"/>
    <w:rsid w:val="00AF2604"/>
    <w:rsid w:val="00AF26F9"/>
    <w:rsid w:val="00AF3E04"/>
    <w:rsid w:val="00AF4899"/>
    <w:rsid w:val="00AF5037"/>
    <w:rsid w:val="00AF6FD0"/>
    <w:rsid w:val="00AF754A"/>
    <w:rsid w:val="00AF7C8F"/>
    <w:rsid w:val="00B00789"/>
    <w:rsid w:val="00B026E8"/>
    <w:rsid w:val="00B058EE"/>
    <w:rsid w:val="00B0727C"/>
    <w:rsid w:val="00B07791"/>
    <w:rsid w:val="00B10461"/>
    <w:rsid w:val="00B11B4F"/>
    <w:rsid w:val="00B12288"/>
    <w:rsid w:val="00B13E2F"/>
    <w:rsid w:val="00B1409B"/>
    <w:rsid w:val="00B15E5D"/>
    <w:rsid w:val="00B16397"/>
    <w:rsid w:val="00B1652D"/>
    <w:rsid w:val="00B17915"/>
    <w:rsid w:val="00B243ED"/>
    <w:rsid w:val="00B25DFC"/>
    <w:rsid w:val="00B269EA"/>
    <w:rsid w:val="00B27CCD"/>
    <w:rsid w:val="00B31115"/>
    <w:rsid w:val="00B340A0"/>
    <w:rsid w:val="00B36552"/>
    <w:rsid w:val="00B379E5"/>
    <w:rsid w:val="00B40A6E"/>
    <w:rsid w:val="00B40B87"/>
    <w:rsid w:val="00B40CD9"/>
    <w:rsid w:val="00B41E54"/>
    <w:rsid w:val="00B42232"/>
    <w:rsid w:val="00B4280F"/>
    <w:rsid w:val="00B43946"/>
    <w:rsid w:val="00B4534E"/>
    <w:rsid w:val="00B4699F"/>
    <w:rsid w:val="00B46B1E"/>
    <w:rsid w:val="00B51A19"/>
    <w:rsid w:val="00B51AD2"/>
    <w:rsid w:val="00B5293F"/>
    <w:rsid w:val="00B52BB8"/>
    <w:rsid w:val="00B52E89"/>
    <w:rsid w:val="00B55907"/>
    <w:rsid w:val="00B55B09"/>
    <w:rsid w:val="00B56BB1"/>
    <w:rsid w:val="00B61494"/>
    <w:rsid w:val="00B6398A"/>
    <w:rsid w:val="00B63A56"/>
    <w:rsid w:val="00B65706"/>
    <w:rsid w:val="00B65FA3"/>
    <w:rsid w:val="00B71CF8"/>
    <w:rsid w:val="00B71F36"/>
    <w:rsid w:val="00B75A2F"/>
    <w:rsid w:val="00B77993"/>
    <w:rsid w:val="00B77D6D"/>
    <w:rsid w:val="00B810DF"/>
    <w:rsid w:val="00B83485"/>
    <w:rsid w:val="00B8503F"/>
    <w:rsid w:val="00B85151"/>
    <w:rsid w:val="00B8557C"/>
    <w:rsid w:val="00B87765"/>
    <w:rsid w:val="00B87D93"/>
    <w:rsid w:val="00B91361"/>
    <w:rsid w:val="00B92F66"/>
    <w:rsid w:val="00B930ED"/>
    <w:rsid w:val="00B94463"/>
    <w:rsid w:val="00B9495E"/>
    <w:rsid w:val="00B95535"/>
    <w:rsid w:val="00B95560"/>
    <w:rsid w:val="00B9579C"/>
    <w:rsid w:val="00BA12D8"/>
    <w:rsid w:val="00BA2114"/>
    <w:rsid w:val="00BA2D83"/>
    <w:rsid w:val="00BA3452"/>
    <w:rsid w:val="00BA4D81"/>
    <w:rsid w:val="00BA4DDC"/>
    <w:rsid w:val="00BA662D"/>
    <w:rsid w:val="00BA69B1"/>
    <w:rsid w:val="00BB05C3"/>
    <w:rsid w:val="00BB1362"/>
    <w:rsid w:val="00BB2093"/>
    <w:rsid w:val="00BB693F"/>
    <w:rsid w:val="00BB744D"/>
    <w:rsid w:val="00BB765D"/>
    <w:rsid w:val="00BB7DE0"/>
    <w:rsid w:val="00BC01EB"/>
    <w:rsid w:val="00BC168F"/>
    <w:rsid w:val="00BC2904"/>
    <w:rsid w:val="00BC44DA"/>
    <w:rsid w:val="00BC58F3"/>
    <w:rsid w:val="00BC6213"/>
    <w:rsid w:val="00BC6760"/>
    <w:rsid w:val="00BD0600"/>
    <w:rsid w:val="00BD0D09"/>
    <w:rsid w:val="00BD29CB"/>
    <w:rsid w:val="00BD325A"/>
    <w:rsid w:val="00BD42FF"/>
    <w:rsid w:val="00BD4D90"/>
    <w:rsid w:val="00BD5739"/>
    <w:rsid w:val="00BD6F5A"/>
    <w:rsid w:val="00BD7635"/>
    <w:rsid w:val="00BE106F"/>
    <w:rsid w:val="00BE23D4"/>
    <w:rsid w:val="00BE24F2"/>
    <w:rsid w:val="00BE61F1"/>
    <w:rsid w:val="00BE6FD6"/>
    <w:rsid w:val="00BF2A2C"/>
    <w:rsid w:val="00BF350A"/>
    <w:rsid w:val="00BF3892"/>
    <w:rsid w:val="00BF4873"/>
    <w:rsid w:val="00BF4C77"/>
    <w:rsid w:val="00BF722F"/>
    <w:rsid w:val="00BF727D"/>
    <w:rsid w:val="00C01B05"/>
    <w:rsid w:val="00C032F3"/>
    <w:rsid w:val="00C046F0"/>
    <w:rsid w:val="00C0562E"/>
    <w:rsid w:val="00C06688"/>
    <w:rsid w:val="00C06A80"/>
    <w:rsid w:val="00C06E1D"/>
    <w:rsid w:val="00C075BC"/>
    <w:rsid w:val="00C10232"/>
    <w:rsid w:val="00C116EA"/>
    <w:rsid w:val="00C12071"/>
    <w:rsid w:val="00C12FF4"/>
    <w:rsid w:val="00C1417C"/>
    <w:rsid w:val="00C14CA8"/>
    <w:rsid w:val="00C15F11"/>
    <w:rsid w:val="00C170C0"/>
    <w:rsid w:val="00C23054"/>
    <w:rsid w:val="00C2406C"/>
    <w:rsid w:val="00C24E67"/>
    <w:rsid w:val="00C2740C"/>
    <w:rsid w:val="00C276F6"/>
    <w:rsid w:val="00C32143"/>
    <w:rsid w:val="00C322AD"/>
    <w:rsid w:val="00C3307D"/>
    <w:rsid w:val="00C33F83"/>
    <w:rsid w:val="00C351F1"/>
    <w:rsid w:val="00C36883"/>
    <w:rsid w:val="00C4054C"/>
    <w:rsid w:val="00C440E0"/>
    <w:rsid w:val="00C45158"/>
    <w:rsid w:val="00C46868"/>
    <w:rsid w:val="00C46996"/>
    <w:rsid w:val="00C50274"/>
    <w:rsid w:val="00C50840"/>
    <w:rsid w:val="00C50C91"/>
    <w:rsid w:val="00C50F97"/>
    <w:rsid w:val="00C5239B"/>
    <w:rsid w:val="00C52951"/>
    <w:rsid w:val="00C55C5C"/>
    <w:rsid w:val="00C5668D"/>
    <w:rsid w:val="00C60259"/>
    <w:rsid w:val="00C60EE6"/>
    <w:rsid w:val="00C622C7"/>
    <w:rsid w:val="00C63564"/>
    <w:rsid w:val="00C63EA8"/>
    <w:rsid w:val="00C67A24"/>
    <w:rsid w:val="00C7183F"/>
    <w:rsid w:val="00C728E4"/>
    <w:rsid w:val="00C7369F"/>
    <w:rsid w:val="00C73E76"/>
    <w:rsid w:val="00C73F62"/>
    <w:rsid w:val="00C74085"/>
    <w:rsid w:val="00C7415C"/>
    <w:rsid w:val="00C753FE"/>
    <w:rsid w:val="00C765DB"/>
    <w:rsid w:val="00C76D7E"/>
    <w:rsid w:val="00C7783C"/>
    <w:rsid w:val="00C7790F"/>
    <w:rsid w:val="00C81555"/>
    <w:rsid w:val="00C81CF7"/>
    <w:rsid w:val="00C82869"/>
    <w:rsid w:val="00C830E8"/>
    <w:rsid w:val="00C83FFC"/>
    <w:rsid w:val="00C8481B"/>
    <w:rsid w:val="00C85DD1"/>
    <w:rsid w:val="00C85FBF"/>
    <w:rsid w:val="00C878FE"/>
    <w:rsid w:val="00C905F4"/>
    <w:rsid w:val="00C90A21"/>
    <w:rsid w:val="00C94626"/>
    <w:rsid w:val="00C94C04"/>
    <w:rsid w:val="00C94EE7"/>
    <w:rsid w:val="00C9563D"/>
    <w:rsid w:val="00C956C9"/>
    <w:rsid w:val="00C970E3"/>
    <w:rsid w:val="00CA08A9"/>
    <w:rsid w:val="00CA0DE5"/>
    <w:rsid w:val="00CA17A9"/>
    <w:rsid w:val="00CA3366"/>
    <w:rsid w:val="00CA4846"/>
    <w:rsid w:val="00CA494B"/>
    <w:rsid w:val="00CA639A"/>
    <w:rsid w:val="00CA68A2"/>
    <w:rsid w:val="00CA6938"/>
    <w:rsid w:val="00CA7D87"/>
    <w:rsid w:val="00CB0802"/>
    <w:rsid w:val="00CB232D"/>
    <w:rsid w:val="00CB2CE1"/>
    <w:rsid w:val="00CB3ABF"/>
    <w:rsid w:val="00CB48C5"/>
    <w:rsid w:val="00CB4BCA"/>
    <w:rsid w:val="00CB52E5"/>
    <w:rsid w:val="00CB7285"/>
    <w:rsid w:val="00CB7541"/>
    <w:rsid w:val="00CB761E"/>
    <w:rsid w:val="00CC25FB"/>
    <w:rsid w:val="00CC36B3"/>
    <w:rsid w:val="00CC5462"/>
    <w:rsid w:val="00CC6A60"/>
    <w:rsid w:val="00CC7535"/>
    <w:rsid w:val="00CC7C98"/>
    <w:rsid w:val="00CD083F"/>
    <w:rsid w:val="00CD0AE7"/>
    <w:rsid w:val="00CD1689"/>
    <w:rsid w:val="00CD1D40"/>
    <w:rsid w:val="00CD230C"/>
    <w:rsid w:val="00CD26F7"/>
    <w:rsid w:val="00CD5ED6"/>
    <w:rsid w:val="00CD79F9"/>
    <w:rsid w:val="00CE0763"/>
    <w:rsid w:val="00CE07AB"/>
    <w:rsid w:val="00CE29DF"/>
    <w:rsid w:val="00CE3B7B"/>
    <w:rsid w:val="00CE4764"/>
    <w:rsid w:val="00CE52E6"/>
    <w:rsid w:val="00CE5922"/>
    <w:rsid w:val="00CE6F41"/>
    <w:rsid w:val="00CF0FDB"/>
    <w:rsid w:val="00CF15EC"/>
    <w:rsid w:val="00CF2335"/>
    <w:rsid w:val="00CF278E"/>
    <w:rsid w:val="00CF3123"/>
    <w:rsid w:val="00CF3F83"/>
    <w:rsid w:val="00CF5D88"/>
    <w:rsid w:val="00CF6527"/>
    <w:rsid w:val="00CF6560"/>
    <w:rsid w:val="00D00749"/>
    <w:rsid w:val="00D023C1"/>
    <w:rsid w:val="00D02E04"/>
    <w:rsid w:val="00D0308A"/>
    <w:rsid w:val="00D03380"/>
    <w:rsid w:val="00D07EE1"/>
    <w:rsid w:val="00D112F9"/>
    <w:rsid w:val="00D1377D"/>
    <w:rsid w:val="00D13813"/>
    <w:rsid w:val="00D13866"/>
    <w:rsid w:val="00D177E7"/>
    <w:rsid w:val="00D211B4"/>
    <w:rsid w:val="00D219EB"/>
    <w:rsid w:val="00D23756"/>
    <w:rsid w:val="00D245B8"/>
    <w:rsid w:val="00D2559E"/>
    <w:rsid w:val="00D269A6"/>
    <w:rsid w:val="00D303E3"/>
    <w:rsid w:val="00D3070D"/>
    <w:rsid w:val="00D308C1"/>
    <w:rsid w:val="00D31AFD"/>
    <w:rsid w:val="00D34D46"/>
    <w:rsid w:val="00D350D7"/>
    <w:rsid w:val="00D4311A"/>
    <w:rsid w:val="00D438E6"/>
    <w:rsid w:val="00D461FF"/>
    <w:rsid w:val="00D46A51"/>
    <w:rsid w:val="00D50257"/>
    <w:rsid w:val="00D511F3"/>
    <w:rsid w:val="00D52225"/>
    <w:rsid w:val="00D52E10"/>
    <w:rsid w:val="00D6027E"/>
    <w:rsid w:val="00D60A51"/>
    <w:rsid w:val="00D63C00"/>
    <w:rsid w:val="00D64FD3"/>
    <w:rsid w:val="00D65914"/>
    <w:rsid w:val="00D66E7E"/>
    <w:rsid w:val="00D718DB"/>
    <w:rsid w:val="00D71ED6"/>
    <w:rsid w:val="00D72A3C"/>
    <w:rsid w:val="00D7341B"/>
    <w:rsid w:val="00D73911"/>
    <w:rsid w:val="00D74DE1"/>
    <w:rsid w:val="00D75BE6"/>
    <w:rsid w:val="00D77327"/>
    <w:rsid w:val="00D77F7A"/>
    <w:rsid w:val="00D825F0"/>
    <w:rsid w:val="00D82A51"/>
    <w:rsid w:val="00D83EDB"/>
    <w:rsid w:val="00D85BEE"/>
    <w:rsid w:val="00D86092"/>
    <w:rsid w:val="00D8676A"/>
    <w:rsid w:val="00D8685A"/>
    <w:rsid w:val="00D87461"/>
    <w:rsid w:val="00D902A1"/>
    <w:rsid w:val="00D91B9E"/>
    <w:rsid w:val="00D9219D"/>
    <w:rsid w:val="00D9324D"/>
    <w:rsid w:val="00D9324E"/>
    <w:rsid w:val="00D932D1"/>
    <w:rsid w:val="00D937D9"/>
    <w:rsid w:val="00D9487B"/>
    <w:rsid w:val="00D9513B"/>
    <w:rsid w:val="00D96817"/>
    <w:rsid w:val="00D9731C"/>
    <w:rsid w:val="00D97CD6"/>
    <w:rsid w:val="00DA091D"/>
    <w:rsid w:val="00DA0F6B"/>
    <w:rsid w:val="00DA3387"/>
    <w:rsid w:val="00DA3E8C"/>
    <w:rsid w:val="00DA4E78"/>
    <w:rsid w:val="00DA4FD1"/>
    <w:rsid w:val="00DA50A3"/>
    <w:rsid w:val="00DA51EF"/>
    <w:rsid w:val="00DA675E"/>
    <w:rsid w:val="00DB24A3"/>
    <w:rsid w:val="00DB36C2"/>
    <w:rsid w:val="00DB4E9C"/>
    <w:rsid w:val="00DB5433"/>
    <w:rsid w:val="00DB5C18"/>
    <w:rsid w:val="00DB6382"/>
    <w:rsid w:val="00DB6772"/>
    <w:rsid w:val="00DB7355"/>
    <w:rsid w:val="00DC42DD"/>
    <w:rsid w:val="00DC5520"/>
    <w:rsid w:val="00DC5D52"/>
    <w:rsid w:val="00DC7D97"/>
    <w:rsid w:val="00DD020D"/>
    <w:rsid w:val="00DD0470"/>
    <w:rsid w:val="00DD1A70"/>
    <w:rsid w:val="00DD29C0"/>
    <w:rsid w:val="00DD3965"/>
    <w:rsid w:val="00DD51CC"/>
    <w:rsid w:val="00DD54CE"/>
    <w:rsid w:val="00DD5A8A"/>
    <w:rsid w:val="00DD719A"/>
    <w:rsid w:val="00DD7C9A"/>
    <w:rsid w:val="00DE2746"/>
    <w:rsid w:val="00DE291A"/>
    <w:rsid w:val="00DE29C3"/>
    <w:rsid w:val="00DF32B4"/>
    <w:rsid w:val="00DF3C3E"/>
    <w:rsid w:val="00DF6730"/>
    <w:rsid w:val="00E002E5"/>
    <w:rsid w:val="00E00C51"/>
    <w:rsid w:val="00E01F64"/>
    <w:rsid w:val="00E0374E"/>
    <w:rsid w:val="00E06B86"/>
    <w:rsid w:val="00E06C3A"/>
    <w:rsid w:val="00E117B2"/>
    <w:rsid w:val="00E127CF"/>
    <w:rsid w:val="00E13A79"/>
    <w:rsid w:val="00E13B03"/>
    <w:rsid w:val="00E143F3"/>
    <w:rsid w:val="00E14BCA"/>
    <w:rsid w:val="00E172E8"/>
    <w:rsid w:val="00E20879"/>
    <w:rsid w:val="00E208CF"/>
    <w:rsid w:val="00E209FB"/>
    <w:rsid w:val="00E20C13"/>
    <w:rsid w:val="00E22005"/>
    <w:rsid w:val="00E24D4D"/>
    <w:rsid w:val="00E269AF"/>
    <w:rsid w:val="00E331E1"/>
    <w:rsid w:val="00E428C0"/>
    <w:rsid w:val="00E42CD2"/>
    <w:rsid w:val="00E44920"/>
    <w:rsid w:val="00E45646"/>
    <w:rsid w:val="00E460DD"/>
    <w:rsid w:val="00E4797D"/>
    <w:rsid w:val="00E5075D"/>
    <w:rsid w:val="00E508A2"/>
    <w:rsid w:val="00E51F4E"/>
    <w:rsid w:val="00E5380D"/>
    <w:rsid w:val="00E55CCF"/>
    <w:rsid w:val="00E56467"/>
    <w:rsid w:val="00E565D1"/>
    <w:rsid w:val="00E615D1"/>
    <w:rsid w:val="00E61EBB"/>
    <w:rsid w:val="00E623C7"/>
    <w:rsid w:val="00E67830"/>
    <w:rsid w:val="00E67CA3"/>
    <w:rsid w:val="00E70A28"/>
    <w:rsid w:val="00E70B62"/>
    <w:rsid w:val="00E70C33"/>
    <w:rsid w:val="00E71C9F"/>
    <w:rsid w:val="00E71EDF"/>
    <w:rsid w:val="00E735BD"/>
    <w:rsid w:val="00E73761"/>
    <w:rsid w:val="00E73C7D"/>
    <w:rsid w:val="00E8029B"/>
    <w:rsid w:val="00E8036E"/>
    <w:rsid w:val="00E80F49"/>
    <w:rsid w:val="00E81369"/>
    <w:rsid w:val="00E83D9C"/>
    <w:rsid w:val="00E843FB"/>
    <w:rsid w:val="00E85BD7"/>
    <w:rsid w:val="00E85D96"/>
    <w:rsid w:val="00E91CD9"/>
    <w:rsid w:val="00E91DDF"/>
    <w:rsid w:val="00E924F0"/>
    <w:rsid w:val="00E928F7"/>
    <w:rsid w:val="00E93AF9"/>
    <w:rsid w:val="00E96583"/>
    <w:rsid w:val="00E9758A"/>
    <w:rsid w:val="00E979A9"/>
    <w:rsid w:val="00EA0EE7"/>
    <w:rsid w:val="00EB0805"/>
    <w:rsid w:val="00EB0C22"/>
    <w:rsid w:val="00EB244F"/>
    <w:rsid w:val="00EB473B"/>
    <w:rsid w:val="00EB48A7"/>
    <w:rsid w:val="00EB5C44"/>
    <w:rsid w:val="00EB69BA"/>
    <w:rsid w:val="00EB6DA9"/>
    <w:rsid w:val="00EC15F0"/>
    <w:rsid w:val="00EC2FE8"/>
    <w:rsid w:val="00EC3044"/>
    <w:rsid w:val="00EC60E2"/>
    <w:rsid w:val="00EC791B"/>
    <w:rsid w:val="00ED066C"/>
    <w:rsid w:val="00ED0D27"/>
    <w:rsid w:val="00ED1A2D"/>
    <w:rsid w:val="00ED1CED"/>
    <w:rsid w:val="00ED2D42"/>
    <w:rsid w:val="00ED474E"/>
    <w:rsid w:val="00ED4B8B"/>
    <w:rsid w:val="00ED5A43"/>
    <w:rsid w:val="00ED617D"/>
    <w:rsid w:val="00ED6CC3"/>
    <w:rsid w:val="00ED7BA6"/>
    <w:rsid w:val="00EE05C1"/>
    <w:rsid w:val="00EE0CBB"/>
    <w:rsid w:val="00EE3049"/>
    <w:rsid w:val="00EE38A1"/>
    <w:rsid w:val="00EE4184"/>
    <w:rsid w:val="00EE56FA"/>
    <w:rsid w:val="00EE737C"/>
    <w:rsid w:val="00EE79F0"/>
    <w:rsid w:val="00EF04FF"/>
    <w:rsid w:val="00EF1107"/>
    <w:rsid w:val="00EF271B"/>
    <w:rsid w:val="00EF3B96"/>
    <w:rsid w:val="00EF436B"/>
    <w:rsid w:val="00F00034"/>
    <w:rsid w:val="00F024BA"/>
    <w:rsid w:val="00F03102"/>
    <w:rsid w:val="00F032C4"/>
    <w:rsid w:val="00F05156"/>
    <w:rsid w:val="00F05787"/>
    <w:rsid w:val="00F100AD"/>
    <w:rsid w:val="00F11821"/>
    <w:rsid w:val="00F12136"/>
    <w:rsid w:val="00F15FDB"/>
    <w:rsid w:val="00F217FA"/>
    <w:rsid w:val="00F21817"/>
    <w:rsid w:val="00F222D2"/>
    <w:rsid w:val="00F25496"/>
    <w:rsid w:val="00F2578E"/>
    <w:rsid w:val="00F26F1D"/>
    <w:rsid w:val="00F27FC0"/>
    <w:rsid w:val="00F3069B"/>
    <w:rsid w:val="00F349BA"/>
    <w:rsid w:val="00F34DBB"/>
    <w:rsid w:val="00F3603D"/>
    <w:rsid w:val="00F3735C"/>
    <w:rsid w:val="00F4022B"/>
    <w:rsid w:val="00F404F2"/>
    <w:rsid w:val="00F429A1"/>
    <w:rsid w:val="00F43474"/>
    <w:rsid w:val="00F4428D"/>
    <w:rsid w:val="00F44A33"/>
    <w:rsid w:val="00F44AD3"/>
    <w:rsid w:val="00F479BD"/>
    <w:rsid w:val="00F47E5E"/>
    <w:rsid w:val="00F50033"/>
    <w:rsid w:val="00F52428"/>
    <w:rsid w:val="00F52E2C"/>
    <w:rsid w:val="00F52F14"/>
    <w:rsid w:val="00F5383E"/>
    <w:rsid w:val="00F542F0"/>
    <w:rsid w:val="00F54E90"/>
    <w:rsid w:val="00F55863"/>
    <w:rsid w:val="00F563CF"/>
    <w:rsid w:val="00F572FF"/>
    <w:rsid w:val="00F57D93"/>
    <w:rsid w:val="00F60E9E"/>
    <w:rsid w:val="00F61006"/>
    <w:rsid w:val="00F61F93"/>
    <w:rsid w:val="00F63802"/>
    <w:rsid w:val="00F668AF"/>
    <w:rsid w:val="00F673AA"/>
    <w:rsid w:val="00F675DB"/>
    <w:rsid w:val="00F7000E"/>
    <w:rsid w:val="00F703E7"/>
    <w:rsid w:val="00F7064B"/>
    <w:rsid w:val="00F70B3B"/>
    <w:rsid w:val="00F72D75"/>
    <w:rsid w:val="00F73F36"/>
    <w:rsid w:val="00F74129"/>
    <w:rsid w:val="00F74E0C"/>
    <w:rsid w:val="00F76936"/>
    <w:rsid w:val="00F76B71"/>
    <w:rsid w:val="00F7751A"/>
    <w:rsid w:val="00F80FDD"/>
    <w:rsid w:val="00F819B5"/>
    <w:rsid w:val="00F82B82"/>
    <w:rsid w:val="00F85EE5"/>
    <w:rsid w:val="00F86534"/>
    <w:rsid w:val="00F90113"/>
    <w:rsid w:val="00F91817"/>
    <w:rsid w:val="00F926D5"/>
    <w:rsid w:val="00FA0C75"/>
    <w:rsid w:val="00FA0CAF"/>
    <w:rsid w:val="00FA1BAD"/>
    <w:rsid w:val="00FA2ED9"/>
    <w:rsid w:val="00FA3436"/>
    <w:rsid w:val="00FA36FF"/>
    <w:rsid w:val="00FA43F8"/>
    <w:rsid w:val="00FA50C5"/>
    <w:rsid w:val="00FA7F80"/>
    <w:rsid w:val="00FB0F37"/>
    <w:rsid w:val="00FB1132"/>
    <w:rsid w:val="00FB1AE3"/>
    <w:rsid w:val="00FB3710"/>
    <w:rsid w:val="00FB43B1"/>
    <w:rsid w:val="00FB521C"/>
    <w:rsid w:val="00FB5310"/>
    <w:rsid w:val="00FB7094"/>
    <w:rsid w:val="00FC00D3"/>
    <w:rsid w:val="00FC09F7"/>
    <w:rsid w:val="00FC1C6F"/>
    <w:rsid w:val="00FC3BBA"/>
    <w:rsid w:val="00FC417E"/>
    <w:rsid w:val="00FC5572"/>
    <w:rsid w:val="00FC6FD4"/>
    <w:rsid w:val="00FD00F8"/>
    <w:rsid w:val="00FD10B5"/>
    <w:rsid w:val="00FD2A12"/>
    <w:rsid w:val="00FE19FA"/>
    <w:rsid w:val="00FE3D43"/>
    <w:rsid w:val="00FE43CD"/>
    <w:rsid w:val="00FE50D5"/>
    <w:rsid w:val="00FE6673"/>
    <w:rsid w:val="00FE7EA5"/>
    <w:rsid w:val="00FF0A8A"/>
    <w:rsid w:val="00FF2368"/>
    <w:rsid w:val="00FF23CD"/>
    <w:rsid w:val="00FF3167"/>
    <w:rsid w:val="00FF46B5"/>
    <w:rsid w:val="00FF5776"/>
    <w:rsid w:val="00FF75A6"/>
    <w:rsid w:val="00FF7C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82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03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aliases w:val="Cita texto,AA Párrafo de lista,Footnote,TEXTO GENERAL SENTENCIAS,Párrafo de lista2,Párrafo de lista1,List Paragraph,List Paragraph1,Colorful List - Accent 11,Cuadrícula clara - Énfasis 31,Párrafo Normal,Trascripción,tesis,Dot pt"/>
    <w:basedOn w:val="Normal"/>
    <w:link w:val="PrrafodelistaCar"/>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C"/>
    <w:basedOn w:val="Normal"/>
    <w:link w:val="TextonotapieCar"/>
    <w:uiPriority w:val="99"/>
    <w:unhideWhenUsed/>
    <w:qFormat/>
    <w:rsid w:val="00D66E7E"/>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uiPriority w:val="99"/>
    <w:qFormat/>
    <w:rsid w:val="00D66E7E"/>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basedOn w:val="Fuentedeprrafopredeter"/>
    <w:link w:val="4GChar"/>
    <w:unhideWhenUsed/>
    <w:qFormat/>
    <w:rsid w:val="00D66E7E"/>
    <w:rPr>
      <w:vertAlign w:val="superscript"/>
    </w:rPr>
  </w:style>
  <w:style w:type="paragraph" w:customStyle="1" w:styleId="Default">
    <w:name w:val="Default"/>
    <w:rsid w:val="00E06C3A"/>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611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
    <w:name w:val="m"/>
    <w:basedOn w:val="Normal"/>
    <w:rsid w:val="009C53C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9C53CE"/>
  </w:style>
  <w:style w:type="paragraph" w:styleId="Sangra2detindependiente">
    <w:name w:val="Body Text Indent 2"/>
    <w:basedOn w:val="Normal"/>
    <w:link w:val="Sangra2detindependienteCar"/>
    <w:rsid w:val="00D50257"/>
    <w:pPr>
      <w:spacing w:after="0" w:line="480" w:lineRule="auto"/>
      <w:ind w:firstLine="1418"/>
      <w:jc w:val="both"/>
    </w:pPr>
    <w:rPr>
      <w:rFonts w:ascii="Arial" w:eastAsia="Times New Roman" w:hAnsi="Arial" w:cs="Arial"/>
      <w:sz w:val="28"/>
      <w:szCs w:val="20"/>
      <w:lang w:val="es-ES_tradnl" w:eastAsia="es-ES"/>
    </w:rPr>
  </w:style>
  <w:style w:type="character" w:customStyle="1" w:styleId="Sangra2detindependienteCar">
    <w:name w:val="Sangría 2 de t. independiente Car"/>
    <w:basedOn w:val="Fuentedeprrafopredeter"/>
    <w:link w:val="Sangra2detindependiente"/>
    <w:rsid w:val="00D50257"/>
    <w:rPr>
      <w:rFonts w:ascii="Arial" w:eastAsia="Times New Roman" w:hAnsi="Arial" w:cs="Arial"/>
      <w:sz w:val="28"/>
      <w:szCs w:val="20"/>
      <w:lang w:val="es-ES_tradnl" w:eastAsia="es-ES"/>
    </w:rPr>
  </w:style>
  <w:style w:type="paragraph" w:customStyle="1" w:styleId="Car">
    <w:name w:val="Car"/>
    <w:basedOn w:val="Normal"/>
    <w:rsid w:val="00D50257"/>
    <w:pPr>
      <w:spacing w:after="160" w:line="240" w:lineRule="exact"/>
      <w:jc w:val="right"/>
    </w:pPr>
    <w:rPr>
      <w:rFonts w:ascii="Verdana" w:eastAsia="Times New Roman" w:hAnsi="Verdana" w:cs="Verdana"/>
      <w:sz w:val="20"/>
      <w:szCs w:val="20"/>
    </w:rPr>
  </w:style>
  <w:style w:type="paragraph" w:customStyle="1" w:styleId="Normal0">
    <w:name w:val="[Normal]"/>
    <w:rsid w:val="00401F55"/>
    <w:pPr>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AE46D3"/>
    <w:pPr>
      <w:spacing w:after="0" w:line="240" w:lineRule="auto"/>
      <w:jc w:val="both"/>
    </w:pPr>
    <w:rPr>
      <w:rFonts w:asciiTheme="minorHAnsi" w:eastAsiaTheme="minorHAnsi" w:hAnsiTheme="minorHAnsi" w:cstheme="minorBidi"/>
      <w:vertAlign w:val="superscript"/>
    </w:rPr>
  </w:style>
  <w:style w:type="character" w:styleId="Hipervnculo">
    <w:name w:val="Hyperlink"/>
    <w:basedOn w:val="Fuentedeprrafopredeter"/>
    <w:uiPriority w:val="99"/>
    <w:unhideWhenUsed/>
    <w:rsid w:val="004D51F6"/>
    <w:rPr>
      <w:color w:val="0000FF" w:themeColor="hyperlink"/>
      <w:u w:val="single"/>
    </w:rPr>
  </w:style>
  <w:style w:type="paragraph" w:styleId="NormalWeb">
    <w:name w:val="Normal (Web)"/>
    <w:basedOn w:val="Normal"/>
    <w:uiPriority w:val="99"/>
    <w:semiHidden/>
    <w:unhideWhenUsed/>
    <w:rsid w:val="00B51AD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PrrafodelistaCar">
    <w:name w:val="Párrafo de lista Car"/>
    <w:aliases w:val="Cita texto Car,AA Párrafo de lista Car,Footnote Car,TEXTO GENERAL SENTENCIAS Car,Párrafo de lista2 Car,Párrafo de lista1 Car,List Paragraph Car,List Paragraph1 Car,Colorful List - Accent 11 Car,Cuadrícula clara - Énfasis 31 Car"/>
    <w:link w:val="Prrafodelista"/>
    <w:uiPriority w:val="34"/>
    <w:rsid w:val="003755C5"/>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03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aliases w:val="Cita texto,AA Párrafo de lista,Footnote,TEXTO GENERAL SENTENCIAS,Párrafo de lista2,Párrafo de lista1,List Paragraph,List Paragraph1,Colorful List - Accent 11,Cuadrícula clara - Énfasis 31,Párrafo Normal,Trascripción,tesis,Dot pt"/>
    <w:basedOn w:val="Normal"/>
    <w:link w:val="PrrafodelistaCar"/>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C"/>
    <w:basedOn w:val="Normal"/>
    <w:link w:val="TextonotapieCar"/>
    <w:uiPriority w:val="99"/>
    <w:unhideWhenUsed/>
    <w:qFormat/>
    <w:rsid w:val="00D66E7E"/>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uiPriority w:val="99"/>
    <w:qFormat/>
    <w:rsid w:val="00D66E7E"/>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basedOn w:val="Fuentedeprrafopredeter"/>
    <w:link w:val="4GChar"/>
    <w:unhideWhenUsed/>
    <w:qFormat/>
    <w:rsid w:val="00D66E7E"/>
    <w:rPr>
      <w:vertAlign w:val="superscript"/>
    </w:rPr>
  </w:style>
  <w:style w:type="paragraph" w:customStyle="1" w:styleId="Default">
    <w:name w:val="Default"/>
    <w:rsid w:val="00E06C3A"/>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611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
    <w:name w:val="m"/>
    <w:basedOn w:val="Normal"/>
    <w:rsid w:val="009C53C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9C53CE"/>
  </w:style>
  <w:style w:type="paragraph" w:styleId="Sangra2detindependiente">
    <w:name w:val="Body Text Indent 2"/>
    <w:basedOn w:val="Normal"/>
    <w:link w:val="Sangra2detindependienteCar"/>
    <w:rsid w:val="00D50257"/>
    <w:pPr>
      <w:spacing w:after="0" w:line="480" w:lineRule="auto"/>
      <w:ind w:firstLine="1418"/>
      <w:jc w:val="both"/>
    </w:pPr>
    <w:rPr>
      <w:rFonts w:ascii="Arial" w:eastAsia="Times New Roman" w:hAnsi="Arial" w:cs="Arial"/>
      <w:sz w:val="28"/>
      <w:szCs w:val="20"/>
      <w:lang w:val="es-ES_tradnl" w:eastAsia="es-ES"/>
    </w:rPr>
  </w:style>
  <w:style w:type="character" w:customStyle="1" w:styleId="Sangra2detindependienteCar">
    <w:name w:val="Sangría 2 de t. independiente Car"/>
    <w:basedOn w:val="Fuentedeprrafopredeter"/>
    <w:link w:val="Sangra2detindependiente"/>
    <w:rsid w:val="00D50257"/>
    <w:rPr>
      <w:rFonts w:ascii="Arial" w:eastAsia="Times New Roman" w:hAnsi="Arial" w:cs="Arial"/>
      <w:sz w:val="28"/>
      <w:szCs w:val="20"/>
      <w:lang w:val="es-ES_tradnl" w:eastAsia="es-ES"/>
    </w:rPr>
  </w:style>
  <w:style w:type="paragraph" w:customStyle="1" w:styleId="Car">
    <w:name w:val="Car"/>
    <w:basedOn w:val="Normal"/>
    <w:rsid w:val="00D50257"/>
    <w:pPr>
      <w:spacing w:after="160" w:line="240" w:lineRule="exact"/>
      <w:jc w:val="right"/>
    </w:pPr>
    <w:rPr>
      <w:rFonts w:ascii="Verdana" w:eastAsia="Times New Roman" w:hAnsi="Verdana" w:cs="Verdana"/>
      <w:sz w:val="20"/>
      <w:szCs w:val="20"/>
    </w:rPr>
  </w:style>
  <w:style w:type="paragraph" w:customStyle="1" w:styleId="Normal0">
    <w:name w:val="[Normal]"/>
    <w:rsid w:val="00401F55"/>
    <w:pPr>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AE46D3"/>
    <w:pPr>
      <w:spacing w:after="0" w:line="240" w:lineRule="auto"/>
      <w:jc w:val="both"/>
    </w:pPr>
    <w:rPr>
      <w:rFonts w:asciiTheme="minorHAnsi" w:eastAsiaTheme="minorHAnsi" w:hAnsiTheme="minorHAnsi" w:cstheme="minorBidi"/>
      <w:vertAlign w:val="superscript"/>
    </w:rPr>
  </w:style>
  <w:style w:type="character" w:styleId="Hipervnculo">
    <w:name w:val="Hyperlink"/>
    <w:basedOn w:val="Fuentedeprrafopredeter"/>
    <w:uiPriority w:val="99"/>
    <w:unhideWhenUsed/>
    <w:rsid w:val="004D51F6"/>
    <w:rPr>
      <w:color w:val="0000FF" w:themeColor="hyperlink"/>
      <w:u w:val="single"/>
    </w:rPr>
  </w:style>
  <w:style w:type="paragraph" w:styleId="NormalWeb">
    <w:name w:val="Normal (Web)"/>
    <w:basedOn w:val="Normal"/>
    <w:uiPriority w:val="99"/>
    <w:semiHidden/>
    <w:unhideWhenUsed/>
    <w:rsid w:val="00B51AD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PrrafodelistaCar">
    <w:name w:val="Párrafo de lista Car"/>
    <w:aliases w:val="Cita texto Car,AA Párrafo de lista Car,Footnote Car,TEXTO GENERAL SENTENCIAS Car,Párrafo de lista2 Car,Párrafo de lista1 Car,List Paragraph Car,List Paragraph1 Car,Colorful List - Accent 11 Car,Cuadrícula clara - Énfasis 31 Car"/>
    <w:link w:val="Prrafodelista"/>
    <w:uiPriority w:val="34"/>
    <w:rsid w:val="003755C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380789097">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895550430">
      <w:bodyDiv w:val="1"/>
      <w:marLeft w:val="0"/>
      <w:marRight w:val="0"/>
      <w:marTop w:val="0"/>
      <w:marBottom w:val="0"/>
      <w:divBdr>
        <w:top w:val="none" w:sz="0" w:space="0" w:color="auto"/>
        <w:left w:val="none" w:sz="0" w:space="0" w:color="auto"/>
        <w:bottom w:val="none" w:sz="0" w:space="0" w:color="auto"/>
        <w:right w:val="none" w:sz="0" w:space="0" w:color="auto"/>
      </w:divBdr>
      <w:divsChild>
        <w:div w:id="1692336229">
          <w:marLeft w:val="0"/>
          <w:marRight w:val="0"/>
          <w:marTop w:val="0"/>
          <w:marBottom w:val="0"/>
          <w:divBdr>
            <w:top w:val="none" w:sz="0" w:space="0" w:color="auto"/>
            <w:left w:val="none" w:sz="0" w:space="0" w:color="auto"/>
            <w:bottom w:val="none" w:sz="0" w:space="0" w:color="auto"/>
            <w:right w:val="none" w:sz="0" w:space="0" w:color="auto"/>
          </w:divBdr>
          <w:divsChild>
            <w:div w:id="528418912">
              <w:marLeft w:val="0"/>
              <w:marRight w:val="0"/>
              <w:marTop w:val="0"/>
              <w:marBottom w:val="0"/>
              <w:divBdr>
                <w:top w:val="none" w:sz="0" w:space="0" w:color="auto"/>
                <w:left w:val="none" w:sz="0" w:space="0" w:color="auto"/>
                <w:bottom w:val="none" w:sz="0" w:space="0" w:color="auto"/>
                <w:right w:val="none" w:sz="0" w:space="0" w:color="auto"/>
              </w:divBdr>
            </w:div>
          </w:divsChild>
        </w:div>
        <w:div w:id="2065178592">
          <w:marLeft w:val="0"/>
          <w:marRight w:val="0"/>
          <w:marTop w:val="0"/>
          <w:marBottom w:val="0"/>
          <w:divBdr>
            <w:top w:val="none" w:sz="0" w:space="0" w:color="auto"/>
            <w:left w:val="none" w:sz="0" w:space="0" w:color="auto"/>
            <w:bottom w:val="none" w:sz="0" w:space="0" w:color="auto"/>
            <w:right w:val="none" w:sz="0" w:space="0" w:color="auto"/>
          </w:divBdr>
          <w:divsChild>
            <w:div w:id="132535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teiaslp.qob.mx/avisos/covid%20todo.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2B1574-72D0-4162-9203-73CF8FF1B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111</Pages>
  <Words>44528</Words>
  <Characters>244904</Characters>
  <Application>Microsoft Office Word</Application>
  <DocSecurity>0</DocSecurity>
  <Lines>2040</Lines>
  <Paragraphs>577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288855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TERE MOLINA</cp:lastModifiedBy>
  <cp:revision>29</cp:revision>
  <cp:lastPrinted>2024-05-09T02:51:00Z</cp:lastPrinted>
  <dcterms:created xsi:type="dcterms:W3CDTF">2024-05-06T15:30:00Z</dcterms:created>
  <dcterms:modified xsi:type="dcterms:W3CDTF">2024-06-06T16:21:00Z</dcterms:modified>
</cp:coreProperties>
</file>