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5530" w:rsidRDefault="002B5530">
      <w:pPr>
        <w:spacing w:line="276" w:lineRule="auto"/>
        <w:jc w:val="both"/>
        <w:rPr>
          <w:rFonts w:ascii="Arial" w:hAnsi="Arial" w:cs="Arial"/>
        </w:rPr>
      </w:pPr>
      <w:bookmarkStart w:id="0" w:name="_GoBack"/>
      <w:bookmarkEnd w:id="0"/>
    </w:p>
    <w:p w:rsidR="000E66E7" w:rsidRDefault="00B22B99">
      <w:pPr>
        <w:spacing w:line="276" w:lineRule="auto"/>
        <w:jc w:val="both"/>
        <w:rPr>
          <w:rFonts w:ascii="Arial" w:hAnsi="Arial" w:cs="Arial"/>
        </w:rPr>
      </w:pPr>
      <w:r>
        <w:rPr>
          <w:rFonts w:ascii="Arial" w:hAnsi="Arial" w:cs="Arial"/>
        </w:rPr>
        <w:t>En cumplimiento al acuerdo emitido por el Comité de Transparencia de la Fiscalía General del Estado –FGE, en la</w:t>
      </w:r>
      <w:r>
        <w:rPr>
          <w:rFonts w:ascii="Arial" w:hAnsi="Arial" w:cs="Arial"/>
          <w:b/>
        </w:rPr>
        <w:t xml:space="preserve"> segunda </w:t>
      </w:r>
      <w:r>
        <w:rPr>
          <w:rFonts w:ascii="Arial" w:hAnsi="Arial" w:cs="Arial"/>
        </w:rPr>
        <w:t xml:space="preserve">sesión ordinaria </w:t>
      </w:r>
      <w:r>
        <w:rPr>
          <w:rFonts w:ascii="Arial" w:hAnsi="Arial" w:cs="Arial"/>
          <w:b/>
        </w:rPr>
        <w:t xml:space="preserve">2024 </w:t>
      </w:r>
      <w:r>
        <w:rPr>
          <w:rFonts w:ascii="Arial" w:hAnsi="Arial" w:cs="Arial"/>
        </w:rPr>
        <w:t xml:space="preserve">de este Órgano Colegiado, en términos de lo dispuesto por los artículos 51, 52 fracción II, 127 de la Ley de Transparencia y Acceso a la Información Pública del Estado de San Luis Potosí LTAIPSLP, lineamiento Quincuagésimo </w:t>
      </w:r>
      <w:r w:rsidR="005962DD">
        <w:rPr>
          <w:rFonts w:ascii="Arial" w:hAnsi="Arial" w:cs="Arial"/>
        </w:rPr>
        <w:t>P</w:t>
      </w:r>
      <w:r>
        <w:rPr>
          <w:rFonts w:ascii="Arial" w:hAnsi="Arial" w:cs="Arial"/>
        </w:rPr>
        <w:t xml:space="preserve">rimero de los Lineamientos Generales para la Clasificación y Desclasificación de la Información, así como para la Elaboración de Versiones Públicas LGCDIEVP, se procede a emitir la siguiente Resolución.  </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jc w:val="center"/>
        <w:rPr>
          <w:rFonts w:ascii="Arial" w:hAnsi="Arial" w:cs="Arial"/>
          <w:b/>
        </w:rPr>
      </w:pPr>
      <w:r>
        <w:rPr>
          <w:rFonts w:ascii="Arial" w:hAnsi="Arial" w:cs="Arial"/>
          <w:b/>
        </w:rPr>
        <w:t>RESULTANDO</w:t>
      </w:r>
    </w:p>
    <w:p w:rsidR="000E66E7" w:rsidRDefault="000E66E7">
      <w:pPr>
        <w:spacing w:line="276" w:lineRule="auto"/>
        <w:rPr>
          <w:rFonts w:ascii="Arial" w:hAnsi="Arial" w:cs="Arial"/>
          <w:b/>
        </w:rPr>
      </w:pPr>
    </w:p>
    <w:p w:rsidR="000E66E7" w:rsidRDefault="000E66E7">
      <w:pPr>
        <w:spacing w:line="276" w:lineRule="auto"/>
        <w:rPr>
          <w:rFonts w:ascii="Arial" w:hAnsi="Arial" w:cs="Arial"/>
          <w:b/>
        </w:rPr>
      </w:pPr>
    </w:p>
    <w:p w:rsidR="000E66E7" w:rsidRDefault="00B22B99">
      <w:pPr>
        <w:spacing w:line="276" w:lineRule="auto"/>
        <w:jc w:val="both"/>
        <w:rPr>
          <w:rFonts w:ascii="Arial" w:hAnsi="Arial" w:cs="Arial"/>
        </w:rPr>
      </w:pPr>
      <w:r>
        <w:rPr>
          <w:rFonts w:ascii="Arial" w:hAnsi="Arial" w:cs="Arial"/>
          <w:b/>
        </w:rPr>
        <w:t>I</w:t>
      </w:r>
      <w:r>
        <w:rPr>
          <w:rFonts w:ascii="Arial" w:hAnsi="Arial" w:cs="Arial"/>
        </w:rPr>
        <w:t xml:space="preserve">. El </w:t>
      </w:r>
      <w:r>
        <w:rPr>
          <w:rFonts w:ascii="Arial" w:hAnsi="Arial" w:cs="Arial"/>
          <w:b/>
        </w:rPr>
        <w:t>Licenciado Juan Manuel Willie Rosillo Titular del Órgano Interno de Control</w:t>
      </w:r>
      <w:r>
        <w:rPr>
          <w:rFonts w:ascii="Arial" w:hAnsi="Arial" w:cs="Arial"/>
        </w:rPr>
        <w:t xml:space="preserve"> mediante oficio </w:t>
      </w:r>
      <w:r>
        <w:rPr>
          <w:rFonts w:ascii="Arial" w:hAnsi="Arial" w:cs="Arial"/>
          <w:b/>
        </w:rPr>
        <w:t>OIC/84/2024</w:t>
      </w:r>
      <w:r>
        <w:rPr>
          <w:rFonts w:ascii="Arial" w:hAnsi="Arial" w:cs="Arial"/>
        </w:rPr>
        <w:t xml:space="preserve"> manifiesta encontrarse en el supuesto del artículo 84 fracción XVII de la –LTAIPSLP-, es decir, cuenta con la obligación de publicar: </w:t>
      </w:r>
      <w:r>
        <w:rPr>
          <w:rFonts w:ascii="Arial" w:hAnsi="Arial" w:cs="Arial"/>
          <w:i/>
        </w:rPr>
        <w:t>la versión pública de la declaración de situación patrimonial de los(as) servidores(as) públicos(as), integrantes, miembros del sujeto obligado y/o toda persona que desempeñe un empleo, cargo o comisión y/o ejerza actos de autoridad, y que tiene la obligación de presentar declaración de situación patrimonial en sus tres modalidades: inicio, modificación y de conclusión, de conformidad con la normatividad que resulte aplicable</w:t>
      </w:r>
      <w:r>
        <w:rPr>
          <w:rFonts w:ascii="Arial" w:hAnsi="Arial" w:cs="Arial"/>
        </w:rPr>
        <w:t xml:space="preserve">. </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b/>
        </w:rPr>
        <w:t>II.</w:t>
      </w:r>
      <w:r>
        <w:rPr>
          <w:rFonts w:ascii="Arial" w:hAnsi="Arial" w:cs="Arial"/>
        </w:rPr>
        <w:t xml:space="preserve"> El </w:t>
      </w:r>
      <w:r>
        <w:rPr>
          <w:rFonts w:ascii="Arial" w:hAnsi="Arial" w:cs="Arial"/>
          <w:b/>
        </w:rPr>
        <w:t>Licenciado Juan Manuel Willie Rosillo Titular del Órgano Interno de Control</w:t>
      </w:r>
      <w:r>
        <w:rPr>
          <w:rFonts w:ascii="Arial" w:hAnsi="Arial" w:cs="Arial"/>
        </w:rPr>
        <w:t xml:space="preserve"> al realizar el estudio de la información requerida por el formato correspondiente a su obligación, advierte que la información que le solicitan es información susceptible de clasificar como reservada, de conformidad con el artículo 129 fracciones I, IV, VI, XI, y XII de la -LTAIPSLP-.</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b/>
        </w:rPr>
        <w:t>III.</w:t>
      </w:r>
      <w:r>
        <w:rPr>
          <w:rFonts w:ascii="Arial" w:hAnsi="Arial" w:cs="Arial"/>
        </w:rPr>
        <w:t xml:space="preserve"> Al encontrarse en la hipótesis establecida en el artículo 120 fracción III de la –LTAIPSLP-, el </w:t>
      </w:r>
      <w:r>
        <w:rPr>
          <w:rFonts w:ascii="Arial" w:hAnsi="Arial" w:cs="Arial"/>
          <w:b/>
        </w:rPr>
        <w:t>Licenciado Juan Manuel Willie Rosillo Titular del Órgano Interno de Control</w:t>
      </w:r>
      <w:r>
        <w:rPr>
          <w:rFonts w:ascii="Arial" w:hAnsi="Arial" w:cs="Arial"/>
        </w:rPr>
        <w:t xml:space="preserve"> emite el </w:t>
      </w:r>
      <w:r>
        <w:rPr>
          <w:rFonts w:ascii="Arial" w:hAnsi="Arial" w:cs="Arial"/>
          <w:b/>
        </w:rPr>
        <w:t>Acuerdo de Reserva Total</w:t>
      </w:r>
      <w:r>
        <w:rPr>
          <w:rFonts w:ascii="Arial" w:hAnsi="Arial" w:cs="Arial"/>
        </w:rPr>
        <w:t xml:space="preserve"> número </w:t>
      </w:r>
      <w:r>
        <w:rPr>
          <w:rFonts w:ascii="Arial" w:hAnsi="Arial" w:cs="Arial"/>
          <w:b/>
        </w:rPr>
        <w:t>AR/1/2024,</w:t>
      </w:r>
      <w:r>
        <w:rPr>
          <w:rFonts w:ascii="Arial" w:hAnsi="Arial" w:cs="Arial"/>
        </w:rPr>
        <w:t xml:space="preserve"> fechado y recibido el </w:t>
      </w:r>
      <w:r>
        <w:rPr>
          <w:rFonts w:ascii="Arial" w:hAnsi="Arial" w:cs="Arial"/>
          <w:b/>
        </w:rPr>
        <w:t>02 de febrero 2024</w:t>
      </w:r>
      <w:r>
        <w:rPr>
          <w:rFonts w:ascii="Arial" w:hAnsi="Arial" w:cs="Arial"/>
        </w:rPr>
        <w:t xml:space="preserve"> solicitando su confirmación al Comité de Transparencia.</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jc w:val="center"/>
        <w:rPr>
          <w:rFonts w:ascii="Arial" w:hAnsi="Arial" w:cs="Arial"/>
          <w:b/>
        </w:rPr>
      </w:pPr>
      <w:r>
        <w:rPr>
          <w:rFonts w:ascii="Arial" w:hAnsi="Arial" w:cs="Arial"/>
          <w:b/>
        </w:rPr>
        <w:t>CONSIDERANDO</w:t>
      </w:r>
    </w:p>
    <w:p w:rsidR="000E66E7" w:rsidRDefault="000E66E7">
      <w:pPr>
        <w:spacing w:line="276" w:lineRule="auto"/>
        <w:jc w:val="center"/>
        <w:rPr>
          <w:rFonts w:ascii="Arial" w:hAnsi="Arial" w:cs="Arial"/>
          <w:b/>
        </w:rPr>
      </w:pPr>
    </w:p>
    <w:p w:rsidR="000E66E7" w:rsidRDefault="000E66E7">
      <w:pPr>
        <w:spacing w:line="276" w:lineRule="auto"/>
        <w:jc w:val="center"/>
        <w:rPr>
          <w:rFonts w:ascii="Arial" w:hAnsi="Arial" w:cs="Arial"/>
          <w:b/>
        </w:rPr>
      </w:pPr>
    </w:p>
    <w:p w:rsidR="000E66E7" w:rsidRDefault="00B22B99">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hAnsi="Arial" w:cs="Arial"/>
          <w:b/>
        </w:rPr>
        <w:t>Acuerdo de Reserva Total</w:t>
      </w:r>
      <w:r>
        <w:rPr>
          <w:rFonts w:ascii="Arial" w:hAnsi="Arial" w:cs="Arial"/>
        </w:rPr>
        <w:t xml:space="preserve"> número </w:t>
      </w:r>
      <w:r>
        <w:rPr>
          <w:rFonts w:ascii="Arial" w:hAnsi="Arial" w:cs="Arial"/>
          <w:b/>
        </w:rPr>
        <w:t>AR/1/2024,</w:t>
      </w:r>
      <w:r>
        <w:rPr>
          <w:rFonts w:ascii="Arial" w:hAnsi="Arial" w:cs="Arial"/>
        </w:rPr>
        <w:t xml:space="preserve"> por lo que se somete a consideración en términos de lo dispuesto por los artículos 51, 52, fracción II de la LTAIPSLP, Lineamiento 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0E66E7" w:rsidRDefault="000E66E7">
      <w:pPr>
        <w:spacing w:line="276" w:lineRule="auto"/>
        <w:jc w:val="both"/>
        <w:rPr>
          <w:rFonts w:ascii="Arial" w:hAnsi="Arial" w:cs="Arial"/>
          <w:b/>
        </w:rPr>
      </w:pPr>
    </w:p>
    <w:p w:rsidR="000E66E7" w:rsidRDefault="000E66E7">
      <w:pPr>
        <w:spacing w:line="276" w:lineRule="auto"/>
        <w:jc w:val="both"/>
        <w:rPr>
          <w:rFonts w:ascii="Arial" w:hAnsi="Arial" w:cs="Arial"/>
          <w:b/>
        </w:rPr>
      </w:pPr>
    </w:p>
    <w:p w:rsidR="000E66E7" w:rsidRDefault="00B22B99">
      <w:pPr>
        <w:spacing w:line="276" w:lineRule="auto"/>
        <w:jc w:val="both"/>
        <w:rPr>
          <w:rFonts w:ascii="Arial" w:hAnsi="Arial" w:cs="Arial"/>
        </w:rPr>
      </w:pPr>
      <w:r>
        <w:rPr>
          <w:rFonts w:ascii="Arial" w:hAnsi="Arial" w:cs="Arial"/>
          <w:b/>
        </w:rPr>
        <w:t xml:space="preserve">SEGUNDO. Análisis. </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Del </w:t>
      </w:r>
      <w:r>
        <w:rPr>
          <w:rFonts w:ascii="Arial" w:hAnsi="Arial" w:cs="Arial"/>
          <w:b/>
        </w:rPr>
        <w:t>Acuerdo de Reserva Total</w:t>
      </w:r>
      <w:r>
        <w:rPr>
          <w:rFonts w:ascii="Arial" w:hAnsi="Arial" w:cs="Arial"/>
        </w:rPr>
        <w:t xml:space="preserve"> número </w:t>
      </w:r>
      <w:r>
        <w:rPr>
          <w:rFonts w:ascii="Arial" w:hAnsi="Arial" w:cs="Arial"/>
          <w:b/>
        </w:rPr>
        <w:t>AR/1/2024</w:t>
      </w:r>
      <w:r>
        <w:rPr>
          <w:rFonts w:ascii="Arial" w:hAnsi="Arial" w:cs="Arial"/>
        </w:rPr>
        <w:t xml:space="preserve">, se advierte que el mismo contiene los requisitos mínimos establecidos por el artículo 128 de LTAIPSLP, y que a sabed son: </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pStyle w:val="Prrafodelista"/>
        <w:numPr>
          <w:ilvl w:val="0"/>
          <w:numId w:val="1"/>
        </w:numPr>
        <w:spacing w:line="276" w:lineRule="auto"/>
        <w:jc w:val="both"/>
        <w:rPr>
          <w:rFonts w:ascii="Arial" w:hAnsi="Arial" w:cs="Arial"/>
        </w:rPr>
      </w:pPr>
      <w:r>
        <w:rPr>
          <w:rFonts w:ascii="Arial" w:hAnsi="Arial" w:cs="Arial"/>
        </w:rPr>
        <w:t>La fuente y el archivo donde se encuentra la información;</w:t>
      </w:r>
    </w:p>
    <w:p w:rsidR="000E66E7" w:rsidRDefault="00B22B99">
      <w:pPr>
        <w:pStyle w:val="Prrafodelista"/>
        <w:numPr>
          <w:ilvl w:val="0"/>
          <w:numId w:val="1"/>
        </w:numPr>
        <w:spacing w:line="276" w:lineRule="auto"/>
        <w:jc w:val="both"/>
        <w:rPr>
          <w:rFonts w:ascii="Arial" w:hAnsi="Arial" w:cs="Arial"/>
        </w:rPr>
      </w:pPr>
      <w:r>
        <w:rPr>
          <w:rFonts w:ascii="Arial" w:hAnsi="Arial" w:cs="Arial"/>
        </w:rPr>
        <w:t>La fundamentación y motivación del acuerdo;</w:t>
      </w:r>
    </w:p>
    <w:p w:rsidR="000E66E7" w:rsidRDefault="00B22B99">
      <w:pPr>
        <w:pStyle w:val="Prrafodelista"/>
        <w:numPr>
          <w:ilvl w:val="0"/>
          <w:numId w:val="1"/>
        </w:numPr>
        <w:spacing w:line="276" w:lineRule="auto"/>
        <w:jc w:val="both"/>
        <w:rPr>
          <w:rFonts w:ascii="Arial" w:hAnsi="Arial" w:cs="Arial"/>
        </w:rPr>
      </w:pPr>
      <w:r>
        <w:rPr>
          <w:rFonts w:ascii="Arial" w:hAnsi="Arial" w:cs="Arial"/>
        </w:rPr>
        <w:t xml:space="preserve">El documento, la parte o las partes de los mismos, que se reservan; </w:t>
      </w:r>
    </w:p>
    <w:p w:rsidR="000E66E7" w:rsidRDefault="00B22B99">
      <w:pPr>
        <w:pStyle w:val="Prrafodelista"/>
        <w:numPr>
          <w:ilvl w:val="0"/>
          <w:numId w:val="1"/>
        </w:numPr>
        <w:spacing w:line="276" w:lineRule="auto"/>
        <w:jc w:val="both"/>
        <w:rPr>
          <w:rFonts w:ascii="Arial" w:hAnsi="Arial" w:cs="Arial"/>
        </w:rPr>
      </w:pPr>
      <w:r>
        <w:rPr>
          <w:rFonts w:ascii="Arial" w:hAnsi="Arial" w:cs="Arial"/>
        </w:rPr>
        <w:t xml:space="preserve">El plazo por el que se reserva la información; </w:t>
      </w:r>
    </w:p>
    <w:p w:rsidR="000E66E7" w:rsidRDefault="00B22B99">
      <w:pPr>
        <w:pStyle w:val="Prrafodelista"/>
        <w:numPr>
          <w:ilvl w:val="0"/>
          <w:numId w:val="1"/>
        </w:numPr>
        <w:spacing w:line="276" w:lineRule="auto"/>
        <w:jc w:val="both"/>
        <w:rPr>
          <w:rFonts w:ascii="Arial" w:hAnsi="Arial" w:cs="Arial"/>
        </w:rPr>
      </w:pPr>
      <w:r>
        <w:rPr>
          <w:rFonts w:ascii="Arial" w:hAnsi="Arial" w:cs="Arial"/>
        </w:rPr>
        <w:t>La designación de la autoridad responsable de su protección;</w:t>
      </w:r>
    </w:p>
    <w:p w:rsidR="000E66E7" w:rsidRDefault="00B22B99">
      <w:pPr>
        <w:pStyle w:val="Prrafodelista"/>
        <w:numPr>
          <w:ilvl w:val="0"/>
          <w:numId w:val="1"/>
        </w:numPr>
        <w:spacing w:line="276" w:lineRule="auto"/>
        <w:jc w:val="both"/>
        <w:rPr>
          <w:rFonts w:ascii="Arial" w:hAnsi="Arial" w:cs="Arial"/>
        </w:rPr>
      </w:pPr>
      <w:r>
        <w:rPr>
          <w:rFonts w:ascii="Arial" w:hAnsi="Arial" w:cs="Arial"/>
        </w:rPr>
        <w:t xml:space="preserve">Número de identificación del acuerdo de reserva; </w:t>
      </w:r>
    </w:p>
    <w:p w:rsidR="000E66E7" w:rsidRDefault="00B22B99">
      <w:pPr>
        <w:pStyle w:val="Prrafodelista"/>
        <w:numPr>
          <w:ilvl w:val="0"/>
          <w:numId w:val="1"/>
        </w:numPr>
        <w:spacing w:line="276" w:lineRule="auto"/>
        <w:jc w:val="both"/>
        <w:rPr>
          <w:rFonts w:ascii="Arial" w:hAnsi="Arial" w:cs="Arial"/>
        </w:rPr>
      </w:pPr>
      <w:r>
        <w:rPr>
          <w:rFonts w:ascii="Arial" w:hAnsi="Arial" w:cs="Arial"/>
        </w:rPr>
        <w:t xml:space="preserve">La aplicación de la prueba del daño; </w:t>
      </w:r>
    </w:p>
    <w:p w:rsidR="000E66E7" w:rsidRDefault="00B22B99">
      <w:pPr>
        <w:pStyle w:val="Prrafodelista"/>
        <w:numPr>
          <w:ilvl w:val="0"/>
          <w:numId w:val="1"/>
        </w:numPr>
        <w:spacing w:line="276" w:lineRule="auto"/>
        <w:jc w:val="both"/>
        <w:rPr>
          <w:rFonts w:ascii="Arial" w:hAnsi="Arial" w:cs="Arial"/>
        </w:rPr>
      </w:pPr>
      <w:r>
        <w:rPr>
          <w:rFonts w:ascii="Arial" w:hAnsi="Arial" w:cs="Arial"/>
        </w:rPr>
        <w:t>Fecha del acuerdo de clasificación.</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lastRenderedPageBreak/>
        <w:t>Dichos requisitos se encuentran concatenados a los lineamientos Trigésimo tercero, y Trigésimo cuarto de los LGCDIEVP.</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jc w:val="both"/>
        <w:rPr>
          <w:rFonts w:ascii="Arial" w:hAnsi="Arial" w:cs="Arial"/>
          <w:b/>
        </w:rPr>
      </w:pPr>
      <w:r>
        <w:rPr>
          <w:rFonts w:ascii="Arial" w:hAnsi="Arial" w:cs="Arial"/>
          <w:b/>
        </w:rPr>
        <w:t>TERCERO. Sentido de la resolución.</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pStyle w:val="Prrafodelista"/>
        <w:numPr>
          <w:ilvl w:val="0"/>
          <w:numId w:val="2"/>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0E66E7" w:rsidRDefault="000E66E7">
      <w:pPr>
        <w:pStyle w:val="Prrafodelista"/>
        <w:spacing w:line="276" w:lineRule="auto"/>
        <w:ind w:left="1080"/>
        <w:jc w:val="both"/>
        <w:rPr>
          <w:rFonts w:ascii="Arial" w:hAnsi="Arial" w:cs="Arial"/>
          <w:b/>
        </w:rPr>
      </w:pPr>
    </w:p>
    <w:p w:rsidR="002B5530" w:rsidRDefault="002B5530">
      <w:pPr>
        <w:pStyle w:val="Prrafodelista"/>
        <w:spacing w:line="276" w:lineRule="auto"/>
        <w:ind w:left="1080"/>
        <w:jc w:val="both"/>
        <w:rPr>
          <w:rFonts w:ascii="Arial" w:hAnsi="Arial" w:cs="Arial"/>
          <w:b/>
        </w:rPr>
      </w:pPr>
    </w:p>
    <w:p w:rsidR="000E66E7" w:rsidRDefault="00B22B99">
      <w:pPr>
        <w:spacing w:line="276" w:lineRule="auto"/>
        <w:jc w:val="both"/>
        <w:rPr>
          <w:rFonts w:ascii="Arial" w:hAnsi="Arial" w:cs="Arial"/>
        </w:rPr>
      </w:pPr>
      <w:r>
        <w:rPr>
          <w:rFonts w:ascii="Arial" w:hAnsi="Arial" w:cs="Arial"/>
        </w:rPr>
        <w:t xml:space="preserve">El </w:t>
      </w:r>
      <w:r>
        <w:rPr>
          <w:rFonts w:ascii="Arial" w:hAnsi="Arial" w:cs="Arial"/>
          <w:b/>
        </w:rPr>
        <w:t>Licenciado Juan Manuel Willie Rosillo Titular del Órgano Interno de Control</w:t>
      </w:r>
      <w:r>
        <w:rPr>
          <w:rFonts w:ascii="Arial" w:hAnsi="Arial" w:cs="Arial"/>
        </w:rPr>
        <w:t xml:space="preserve"> adminicula las causales de procedencia de la reserva con las justificaciones en la aplicación de la prueba de daño en las tres hipótesis aplicables de acuerdo a la LTAIPSLP, concatena con lo establecido en el lineamiento Trigésimo tercero de los LGCDIEVP, los que a la letra establecen;</w:t>
      </w:r>
    </w:p>
    <w:p w:rsidR="000E66E7" w:rsidRDefault="000E66E7">
      <w:pPr>
        <w:spacing w:line="276" w:lineRule="auto"/>
        <w:jc w:val="both"/>
        <w:rPr>
          <w:rFonts w:ascii="Arial" w:hAnsi="Arial" w:cs="Arial"/>
        </w:rPr>
      </w:pPr>
    </w:p>
    <w:p w:rsidR="000E66E7" w:rsidRDefault="00B22B99">
      <w:pPr>
        <w:spacing w:line="276" w:lineRule="auto"/>
        <w:ind w:left="567" w:right="616"/>
        <w:jc w:val="both"/>
        <w:rPr>
          <w:rFonts w:ascii="Arial" w:hAnsi="Arial" w:cs="Arial"/>
          <w:i/>
          <w:sz w:val="20"/>
          <w:szCs w:val="20"/>
        </w:rPr>
      </w:pPr>
      <w:r>
        <w:rPr>
          <w:rFonts w:ascii="Arial" w:hAnsi="Arial" w:cs="Arial"/>
          <w:b/>
          <w:i/>
          <w:sz w:val="20"/>
          <w:szCs w:val="20"/>
        </w:rPr>
        <w:t>Artículo 118.</w:t>
      </w:r>
      <w:r>
        <w:rPr>
          <w:rFonts w:ascii="Arial" w:hAnsi="Arial" w:cs="Arial"/>
          <w:i/>
          <w:sz w:val="20"/>
          <w:szCs w:val="20"/>
        </w:rPr>
        <w:t xml:space="preserve"> En la aplicación de la prueba de daño, el sujeto obligado deberá justificar que:</w:t>
      </w:r>
    </w:p>
    <w:p w:rsidR="000E66E7" w:rsidRDefault="000E66E7">
      <w:pPr>
        <w:spacing w:line="276" w:lineRule="auto"/>
        <w:ind w:left="567" w:right="616"/>
        <w:jc w:val="both"/>
        <w:rPr>
          <w:rFonts w:ascii="Arial" w:hAnsi="Arial" w:cs="Arial"/>
          <w:i/>
          <w:sz w:val="20"/>
          <w:szCs w:val="20"/>
        </w:rPr>
      </w:pPr>
    </w:p>
    <w:p w:rsidR="000E66E7" w:rsidRDefault="00B22B99">
      <w:pPr>
        <w:spacing w:line="276" w:lineRule="auto"/>
        <w:ind w:left="567" w:right="616"/>
        <w:jc w:val="both"/>
        <w:rPr>
          <w:rFonts w:ascii="Arial" w:hAnsi="Arial" w:cs="Arial"/>
          <w:i/>
          <w:sz w:val="20"/>
          <w:szCs w:val="20"/>
        </w:rPr>
      </w:pPr>
      <w:r>
        <w:rPr>
          <w:rFonts w:ascii="Arial" w:hAnsi="Arial" w:cs="Arial"/>
          <w:i/>
          <w:sz w:val="20"/>
          <w:szCs w:val="20"/>
        </w:rPr>
        <w:t>I. La divulgación de la información representa un riesgo real, demostrable e identificable de perjuicio significativo al interés público;</w:t>
      </w:r>
    </w:p>
    <w:p w:rsidR="000E66E7" w:rsidRDefault="000E66E7">
      <w:pPr>
        <w:spacing w:line="276" w:lineRule="auto"/>
        <w:ind w:left="567" w:right="616"/>
        <w:jc w:val="both"/>
        <w:rPr>
          <w:rFonts w:ascii="Arial" w:hAnsi="Arial" w:cs="Arial"/>
          <w:i/>
          <w:sz w:val="20"/>
          <w:szCs w:val="20"/>
        </w:rPr>
      </w:pPr>
    </w:p>
    <w:p w:rsidR="000E66E7" w:rsidRDefault="00B22B99">
      <w:pPr>
        <w:spacing w:line="276" w:lineRule="auto"/>
        <w:ind w:left="567" w:right="616"/>
        <w:jc w:val="both"/>
        <w:rPr>
          <w:rFonts w:ascii="Arial" w:hAnsi="Arial" w:cs="Arial"/>
          <w:i/>
          <w:sz w:val="20"/>
          <w:szCs w:val="20"/>
        </w:rPr>
      </w:pPr>
      <w:r>
        <w:rPr>
          <w:rFonts w:ascii="Arial" w:hAnsi="Arial" w:cs="Arial"/>
          <w:i/>
          <w:sz w:val="20"/>
          <w:szCs w:val="20"/>
        </w:rPr>
        <w:t>II. El riesgo de perjuicio que supondría la divulgación supera el interés público general de que se difunda, y</w:t>
      </w:r>
    </w:p>
    <w:p w:rsidR="000E66E7" w:rsidRDefault="000E66E7">
      <w:pPr>
        <w:spacing w:line="276" w:lineRule="auto"/>
        <w:ind w:left="567" w:right="616"/>
        <w:jc w:val="both"/>
        <w:rPr>
          <w:rFonts w:ascii="Arial" w:hAnsi="Arial" w:cs="Arial"/>
          <w:i/>
          <w:sz w:val="20"/>
          <w:szCs w:val="20"/>
        </w:rPr>
      </w:pPr>
    </w:p>
    <w:p w:rsidR="000E66E7" w:rsidRDefault="00B22B99">
      <w:pPr>
        <w:spacing w:line="276" w:lineRule="auto"/>
        <w:ind w:left="567" w:right="616"/>
        <w:jc w:val="both"/>
        <w:rPr>
          <w:rFonts w:ascii="Arial" w:hAnsi="Arial" w:cs="Arial"/>
          <w:i/>
          <w:sz w:val="20"/>
          <w:szCs w:val="20"/>
        </w:rPr>
      </w:pPr>
      <w:r>
        <w:rPr>
          <w:rFonts w:ascii="Arial" w:hAnsi="Arial" w:cs="Arial"/>
          <w:i/>
          <w:sz w:val="20"/>
          <w:szCs w:val="20"/>
        </w:rPr>
        <w:t>III. La limitación se adecua al principio de proporcionalidad y representa el medio menos restrictivo disponible para evitar el perjuicio.</w:t>
      </w:r>
    </w:p>
    <w:p w:rsidR="000E66E7" w:rsidRDefault="000E66E7">
      <w:pPr>
        <w:spacing w:line="276" w:lineRule="auto"/>
        <w:ind w:left="567" w:right="616"/>
        <w:jc w:val="both"/>
        <w:rPr>
          <w:rFonts w:ascii="Arial" w:hAnsi="Arial" w:cs="Arial"/>
          <w:i/>
          <w:sz w:val="20"/>
          <w:szCs w:val="20"/>
        </w:rPr>
      </w:pPr>
    </w:p>
    <w:p w:rsidR="000E66E7" w:rsidRDefault="00B22B99">
      <w:pPr>
        <w:spacing w:line="276" w:lineRule="auto"/>
        <w:ind w:left="567" w:right="616"/>
        <w:jc w:val="both"/>
        <w:rPr>
          <w:rFonts w:ascii="Arial" w:hAnsi="Arial" w:cs="Arial"/>
          <w:i/>
          <w:sz w:val="20"/>
          <w:szCs w:val="20"/>
        </w:rPr>
      </w:pPr>
      <w:r>
        <w:rPr>
          <w:rFonts w:ascii="Arial" w:hAnsi="Arial" w:cs="Arial"/>
          <w:b/>
          <w:i/>
          <w:sz w:val="20"/>
          <w:szCs w:val="20"/>
        </w:rPr>
        <w:t>Trigésimo tercero</w:t>
      </w:r>
      <w:r>
        <w:rPr>
          <w:rFonts w:ascii="Arial" w:hAnsi="Arial" w:cs="Arial"/>
          <w:i/>
          <w:sz w:val="20"/>
          <w:szCs w:val="20"/>
        </w:rPr>
        <w:t>. Para la aplicación de la prueba de daño a la que hace referencia el artículo 104 de la Ley General, los sujetos obligados atenderán lo siguiente:</w:t>
      </w:r>
    </w:p>
    <w:p w:rsidR="000E66E7" w:rsidRDefault="000E66E7">
      <w:pPr>
        <w:spacing w:line="276" w:lineRule="auto"/>
        <w:ind w:left="567"/>
        <w:jc w:val="both"/>
        <w:rPr>
          <w:rFonts w:ascii="Arial" w:hAnsi="Arial" w:cs="Arial"/>
          <w:i/>
          <w:sz w:val="20"/>
          <w:szCs w:val="20"/>
        </w:rPr>
      </w:pPr>
    </w:p>
    <w:p w:rsidR="000E66E7" w:rsidRDefault="00B22B99">
      <w:pPr>
        <w:pStyle w:val="Prrafodelista"/>
        <w:numPr>
          <w:ilvl w:val="0"/>
          <w:numId w:val="3"/>
        </w:numPr>
        <w:spacing w:line="276" w:lineRule="auto"/>
        <w:ind w:left="567" w:right="616" w:firstLine="0"/>
        <w:jc w:val="both"/>
        <w:rPr>
          <w:rFonts w:ascii="Arial" w:hAnsi="Arial" w:cs="Arial"/>
          <w:i/>
          <w:sz w:val="20"/>
          <w:szCs w:val="20"/>
        </w:rPr>
      </w:pPr>
      <w:r>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0E66E7" w:rsidRDefault="000E66E7">
      <w:pPr>
        <w:spacing w:line="276" w:lineRule="auto"/>
        <w:ind w:left="567" w:right="616"/>
        <w:jc w:val="both"/>
        <w:rPr>
          <w:rFonts w:ascii="Arial" w:hAnsi="Arial" w:cs="Arial"/>
          <w:i/>
          <w:sz w:val="20"/>
          <w:szCs w:val="20"/>
        </w:rPr>
      </w:pPr>
    </w:p>
    <w:p w:rsidR="000E66E7" w:rsidRDefault="00B22B99">
      <w:pPr>
        <w:pStyle w:val="Prrafodelista"/>
        <w:numPr>
          <w:ilvl w:val="0"/>
          <w:numId w:val="3"/>
        </w:numPr>
        <w:spacing w:line="276" w:lineRule="auto"/>
        <w:ind w:left="567" w:right="616" w:firstLine="0"/>
        <w:jc w:val="both"/>
        <w:rPr>
          <w:rFonts w:ascii="Arial" w:hAnsi="Arial" w:cs="Arial"/>
          <w:i/>
          <w:sz w:val="20"/>
          <w:szCs w:val="20"/>
        </w:rPr>
      </w:pPr>
      <w:r>
        <w:rPr>
          <w:rFonts w:ascii="Arial" w:hAnsi="Arial" w:cs="Arial"/>
          <w:i/>
          <w:sz w:val="20"/>
          <w:szCs w:val="20"/>
        </w:rPr>
        <w:lastRenderedPageBreak/>
        <w:t>Se deberá motivar la clasificación, señalando las circunstancias de modo, tiempo y lugar que acrediten el vínculo entre la difusión de la información y la afectación al interés público o a la seguridad nacional;</w:t>
      </w:r>
    </w:p>
    <w:p w:rsidR="000E66E7" w:rsidRDefault="000E66E7">
      <w:pPr>
        <w:spacing w:line="276" w:lineRule="auto"/>
        <w:ind w:left="567" w:right="616"/>
        <w:jc w:val="both"/>
        <w:rPr>
          <w:rFonts w:ascii="Arial" w:hAnsi="Arial" w:cs="Arial"/>
          <w:i/>
          <w:sz w:val="20"/>
          <w:szCs w:val="20"/>
        </w:rPr>
      </w:pPr>
    </w:p>
    <w:p w:rsidR="000E66E7" w:rsidRDefault="00B22B99">
      <w:pPr>
        <w:pStyle w:val="Prrafodelista"/>
        <w:numPr>
          <w:ilvl w:val="0"/>
          <w:numId w:val="3"/>
        </w:numPr>
        <w:spacing w:line="276" w:lineRule="auto"/>
        <w:ind w:left="567" w:right="616" w:firstLine="0"/>
        <w:jc w:val="both"/>
        <w:rPr>
          <w:rFonts w:ascii="Arial" w:hAnsi="Arial" w:cs="Arial"/>
          <w:i/>
          <w:sz w:val="20"/>
          <w:szCs w:val="20"/>
        </w:rPr>
      </w:pPr>
      <w:r>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0E66E7" w:rsidRDefault="000E66E7">
      <w:pPr>
        <w:spacing w:line="276" w:lineRule="auto"/>
        <w:ind w:left="567" w:right="616"/>
        <w:jc w:val="both"/>
        <w:rPr>
          <w:rFonts w:ascii="Arial" w:hAnsi="Arial" w:cs="Arial"/>
          <w:i/>
          <w:sz w:val="20"/>
          <w:szCs w:val="20"/>
        </w:rPr>
      </w:pPr>
    </w:p>
    <w:p w:rsidR="000E66E7" w:rsidRDefault="00B22B99">
      <w:pPr>
        <w:pStyle w:val="Prrafodelista"/>
        <w:numPr>
          <w:ilvl w:val="0"/>
          <w:numId w:val="3"/>
        </w:numPr>
        <w:spacing w:line="276" w:lineRule="auto"/>
        <w:ind w:left="567" w:right="616" w:firstLine="0"/>
        <w:jc w:val="both"/>
        <w:rPr>
          <w:rFonts w:ascii="Arial" w:hAnsi="Arial" w:cs="Arial"/>
          <w:i/>
          <w:sz w:val="20"/>
          <w:szCs w:val="20"/>
        </w:rPr>
      </w:pPr>
      <w:r>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0E66E7" w:rsidRDefault="000E66E7">
      <w:pPr>
        <w:spacing w:line="276" w:lineRule="auto"/>
        <w:ind w:left="567" w:right="616"/>
        <w:jc w:val="both"/>
        <w:rPr>
          <w:rFonts w:ascii="Arial" w:hAnsi="Arial" w:cs="Arial"/>
          <w:i/>
          <w:sz w:val="20"/>
          <w:szCs w:val="20"/>
        </w:rPr>
      </w:pPr>
    </w:p>
    <w:p w:rsidR="000E66E7" w:rsidRDefault="00B22B99">
      <w:pPr>
        <w:pStyle w:val="Prrafodelista"/>
        <w:numPr>
          <w:ilvl w:val="0"/>
          <w:numId w:val="3"/>
        </w:numPr>
        <w:spacing w:line="276" w:lineRule="auto"/>
        <w:ind w:left="567" w:right="616" w:firstLine="0"/>
        <w:jc w:val="both"/>
        <w:rPr>
          <w:rFonts w:ascii="Arial" w:hAnsi="Arial" w:cs="Arial"/>
          <w:i/>
          <w:sz w:val="20"/>
          <w:szCs w:val="20"/>
        </w:rPr>
      </w:pPr>
      <w:r>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0E66E7" w:rsidRDefault="000E66E7">
      <w:pPr>
        <w:spacing w:line="276" w:lineRule="auto"/>
        <w:ind w:left="567" w:right="616"/>
        <w:jc w:val="both"/>
        <w:rPr>
          <w:rFonts w:ascii="Arial" w:hAnsi="Arial" w:cs="Arial"/>
          <w:i/>
          <w:sz w:val="20"/>
          <w:szCs w:val="20"/>
        </w:rPr>
      </w:pPr>
    </w:p>
    <w:p w:rsidR="000E66E7" w:rsidRDefault="00B22B99">
      <w:pPr>
        <w:pStyle w:val="Prrafodelista"/>
        <w:numPr>
          <w:ilvl w:val="0"/>
          <w:numId w:val="3"/>
        </w:numPr>
        <w:spacing w:line="276" w:lineRule="auto"/>
        <w:ind w:left="567" w:right="616" w:firstLine="0"/>
        <w:jc w:val="both"/>
        <w:rPr>
          <w:rFonts w:ascii="Arial" w:hAnsi="Arial" w:cs="Arial"/>
          <w:i/>
          <w:sz w:val="20"/>
          <w:szCs w:val="20"/>
        </w:rPr>
      </w:pPr>
      <w:r>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404FA0" w:rsidRPr="00404FA0" w:rsidRDefault="00404FA0" w:rsidP="00404FA0">
      <w:pPr>
        <w:spacing w:line="276" w:lineRule="auto"/>
        <w:ind w:right="616"/>
        <w:jc w:val="both"/>
        <w:rPr>
          <w:rFonts w:ascii="Arial" w:hAnsi="Arial" w:cs="Arial"/>
          <w:i/>
          <w:sz w:val="20"/>
          <w:szCs w:val="20"/>
        </w:rPr>
      </w:pPr>
    </w:p>
    <w:p w:rsidR="00404FA0" w:rsidRPr="00404FA0" w:rsidRDefault="00404FA0" w:rsidP="00404FA0">
      <w:pPr>
        <w:jc w:val="both"/>
        <w:rPr>
          <w:rFonts w:ascii="Arial" w:hAnsi="Arial" w:cs="Arial"/>
        </w:rPr>
      </w:pPr>
    </w:p>
    <w:p w:rsidR="000E66E7" w:rsidRDefault="00B22B99">
      <w:pPr>
        <w:spacing w:line="276" w:lineRule="auto"/>
        <w:jc w:val="both"/>
        <w:rPr>
          <w:rFonts w:ascii="Arial" w:hAnsi="Arial" w:cs="Arial"/>
        </w:rPr>
      </w:pPr>
      <w:r w:rsidRPr="00B22B99">
        <w:rPr>
          <w:rFonts w:ascii="Arial" w:hAnsi="Arial" w:cs="Arial"/>
        </w:rPr>
        <w:t xml:space="preserve">Por lo que se confirma la prueba de daño que realiza el </w:t>
      </w:r>
      <w:r w:rsidRPr="00B22B99">
        <w:rPr>
          <w:rFonts w:ascii="Arial" w:hAnsi="Arial" w:cs="Arial"/>
          <w:b/>
        </w:rPr>
        <w:t>Licenciado Juan Manuel Willie Rosillo Titular del Órgano Interno de Control</w:t>
      </w:r>
      <w:r w:rsidRPr="00B22B99">
        <w:rPr>
          <w:rFonts w:ascii="Arial" w:hAnsi="Arial" w:cs="Arial"/>
        </w:rPr>
        <w:t xml:space="preserve"> de la Fiscalía General del Estado, debido a que es claro y preciso al citar que resulta aplicable lo establecido </w:t>
      </w:r>
      <w:r w:rsidR="00635FB1">
        <w:rPr>
          <w:rFonts w:ascii="Arial" w:hAnsi="Arial" w:cs="Arial"/>
        </w:rPr>
        <w:t xml:space="preserve">en el </w:t>
      </w:r>
      <w:r w:rsidRPr="00B22B99">
        <w:rPr>
          <w:rFonts w:ascii="Arial" w:hAnsi="Arial" w:cs="Arial"/>
        </w:rPr>
        <w:t>artículo 129 fracciones I</w:t>
      </w:r>
      <w:r w:rsidR="00404FA0" w:rsidRPr="00B22B99">
        <w:rPr>
          <w:rFonts w:ascii="Arial" w:eastAsiaTheme="minorHAnsi" w:hAnsi="Arial" w:cs="Arial"/>
          <w:color w:val="2D2D2D"/>
          <w:lang w:eastAsia="en-US"/>
        </w:rPr>
        <w:t>, IV, VI, XI y XII.</w:t>
      </w:r>
      <w:r w:rsidRPr="00B22B99">
        <w:rPr>
          <w:rFonts w:ascii="Arial" w:hAnsi="Arial" w:cs="Arial"/>
        </w:rPr>
        <w:t xml:space="preserve"> de la LTAIPSLP, lo anterior al demostrar que la divulgación de la información pondría en riesgo el orden público debido a que el dar a conocer cualquier dato cuantificable,</w:t>
      </w:r>
      <w:r>
        <w:rPr>
          <w:rFonts w:ascii="Arial" w:hAnsi="Arial" w:cs="Arial"/>
        </w:rPr>
        <w:t xml:space="preserve"> permitiría vincular de forma directa o indirecta la cantidad de personal operativo de seguridad y custodia con que cuenta la Fiscalía General del Estado, resultando como </w:t>
      </w:r>
      <w:r>
        <w:rPr>
          <w:rFonts w:ascii="Arial" w:hAnsi="Arial" w:cs="Arial"/>
          <w:i/>
        </w:rPr>
        <w:t>motivo</w:t>
      </w:r>
      <w:r>
        <w:rPr>
          <w:rFonts w:ascii="Arial" w:hAnsi="Arial" w:cs="Arial"/>
        </w:rPr>
        <w:t xml:space="preserve">, que el área funda y motiva su aplicación basándose en las hipótesis señalados tanto por la LTAIPSLP, como por los LGCDIEVP, y como </w:t>
      </w:r>
      <w:r>
        <w:rPr>
          <w:rFonts w:ascii="Arial" w:hAnsi="Arial" w:cs="Arial"/>
          <w:i/>
        </w:rPr>
        <w:t>razonamientos</w:t>
      </w:r>
      <w:r>
        <w:rPr>
          <w:rFonts w:ascii="Arial" w:hAnsi="Arial" w:cs="Arial"/>
        </w:rPr>
        <w:t xml:space="preserve"> se tiene que; efectivamente el realizar la divulgación de la información relacionada con las </w:t>
      </w:r>
      <w:r>
        <w:rPr>
          <w:rFonts w:ascii="Arial" w:hAnsi="Arial" w:cs="Arial"/>
          <w:b/>
          <w:i/>
        </w:rPr>
        <w:t>Declaraciones de Conclusión de Situación Patrimonial</w:t>
      </w:r>
      <w:r>
        <w:rPr>
          <w:rFonts w:ascii="Arial" w:hAnsi="Arial" w:cs="Arial"/>
          <w:b/>
        </w:rPr>
        <w:t xml:space="preserve"> </w:t>
      </w:r>
      <w:r>
        <w:rPr>
          <w:rFonts w:ascii="Arial" w:hAnsi="Arial" w:cs="Arial"/>
          <w:b/>
          <w:i/>
        </w:rPr>
        <w:t>Completas,</w:t>
      </w:r>
      <w:r>
        <w:rPr>
          <w:rFonts w:ascii="Arial" w:hAnsi="Arial" w:cs="Arial"/>
          <w:b/>
        </w:rPr>
        <w:t xml:space="preserve"> presentadas por el personal</w:t>
      </w:r>
      <w:r>
        <w:rPr>
          <w:rFonts w:ascii="Arial" w:hAnsi="Arial" w:cs="Arial"/>
        </w:rPr>
        <w:t xml:space="preserve"> </w:t>
      </w:r>
      <w:r>
        <w:rPr>
          <w:rFonts w:ascii="Arial" w:hAnsi="Arial" w:cs="Arial"/>
          <w:b/>
        </w:rPr>
        <w:t xml:space="preserve">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w:t>
      </w:r>
      <w:r>
        <w:rPr>
          <w:rFonts w:ascii="Arial" w:hAnsi="Arial" w:cs="Arial"/>
          <w:b/>
        </w:rPr>
        <w:lastRenderedPageBreak/>
        <w:t>Auxiliar C, Agente del Ministerio Público B, Agente del Ministerio Público C, Cabo de ordenanzas,</w:t>
      </w:r>
      <w:r>
        <w:rPr>
          <w:rFonts w:ascii="Arial" w:hAnsi="Arial" w:cs="Arial"/>
        </w:rPr>
        <w:t xml:space="preserve"> presentadas en el mes de</w:t>
      </w:r>
      <w:r>
        <w:rPr>
          <w:rFonts w:ascii="Arial" w:hAnsi="Arial" w:cs="Arial"/>
          <w:b/>
        </w:rPr>
        <w:t xml:space="preserve"> enero 2024,  a través del sistema DECLARANET-FGESLP</w:t>
      </w:r>
      <w:r>
        <w:rPr>
          <w:rFonts w:ascii="Arial" w:hAnsi="Arial" w:cs="Arial"/>
        </w:rPr>
        <w:t xml:space="preserve">, se advierte un riesgo real de perjuicio significativo al interés público, ellos es así debido a que el dar a conocer tan solo las versiones públicas requeridas por el formato LTAIPSLP84XVII, se podría determinar con facilidad el número de elementos adscritos al Órgano Táctico Operativos de la Fiscalía y con ello los grupos criminales tendrían la información veraz para poder generar una afectación a la capacidad de reacción de la Fiscalía General, y programas de inteligencia y contrainteligencia, ocasionando con ello un perjuicio significativo al interés público ya que se pondría en grave vulnerabilidad la seguridad pública incluso personal de los servidores públicos. </w:t>
      </w:r>
    </w:p>
    <w:p w:rsidR="000E66E7" w:rsidRDefault="00B22B99">
      <w:pPr>
        <w:pStyle w:val="Prrafodelista"/>
        <w:tabs>
          <w:tab w:val="left" w:pos="2204"/>
          <w:tab w:val="left" w:pos="2713"/>
        </w:tabs>
        <w:spacing w:line="276" w:lineRule="auto"/>
        <w:ind w:left="0" w:right="51"/>
        <w:jc w:val="both"/>
        <w:rPr>
          <w:rFonts w:ascii="Arial" w:hAnsi="Arial" w:cs="Arial"/>
        </w:rPr>
      </w:pPr>
      <w:r>
        <w:rPr>
          <w:rFonts w:ascii="Arial" w:hAnsi="Arial" w:cs="Arial"/>
        </w:rPr>
        <w:tab/>
      </w:r>
    </w:p>
    <w:p w:rsidR="000E66E7" w:rsidRDefault="00B22B99">
      <w:pPr>
        <w:pStyle w:val="Prrafodelista"/>
        <w:tabs>
          <w:tab w:val="left" w:pos="2204"/>
          <w:tab w:val="left" w:pos="2713"/>
        </w:tabs>
        <w:spacing w:line="276" w:lineRule="auto"/>
        <w:ind w:left="0" w:right="51"/>
        <w:jc w:val="both"/>
        <w:rPr>
          <w:rFonts w:ascii="Arial" w:hAnsi="Arial" w:cs="Arial"/>
        </w:rPr>
      </w:pPr>
      <w:r>
        <w:rPr>
          <w:rFonts w:ascii="Arial" w:hAnsi="Arial" w:cs="Arial"/>
        </w:rPr>
        <w:t xml:space="preserve">De igual manera, el </w:t>
      </w:r>
      <w:r w:rsidRPr="00B22B99">
        <w:rPr>
          <w:rFonts w:ascii="Arial" w:hAnsi="Arial" w:cs="Arial"/>
        </w:rPr>
        <w:t>Licenciado Juan Manuel Willie Rosillo Titular del Órgano Interno de Control de la Fiscalía</w:t>
      </w:r>
      <w:r>
        <w:rPr>
          <w:rFonts w:ascii="Arial" w:hAnsi="Arial" w:cs="Arial"/>
        </w:rPr>
        <w:t xml:space="preserve"> General del Estado, señala atingentemente las circunstancia de </w:t>
      </w:r>
      <w:r w:rsidRPr="00B22B99">
        <w:rPr>
          <w:rFonts w:ascii="Arial" w:hAnsi="Arial" w:cs="Arial"/>
          <w:b/>
          <w:i/>
        </w:rPr>
        <w:t xml:space="preserve">modo tiempo y lugar </w:t>
      </w:r>
      <w:r>
        <w:rPr>
          <w:rFonts w:ascii="Arial" w:hAnsi="Arial" w:cs="Arial"/>
        </w:rPr>
        <w:t xml:space="preserve">que acreditan el vínculo entre la difusión de la información y la afectación al interés púbico o a la seguridad nacional, señalando que para probar la relación causal entre la circunstancia de </w:t>
      </w:r>
      <w:r w:rsidRPr="00B22B99">
        <w:rPr>
          <w:rFonts w:ascii="Arial" w:hAnsi="Arial" w:cs="Arial"/>
          <w:b/>
          <w:i/>
        </w:rPr>
        <w:t>modo</w:t>
      </w:r>
      <w:r>
        <w:rPr>
          <w:rFonts w:ascii="Arial" w:hAnsi="Arial" w:cs="Arial"/>
        </w:rPr>
        <w:t xml:space="preserve"> y la entrega de la información y la afectación a la seguridad pública, se indica que, el hecho de que se difundan las </w:t>
      </w:r>
      <w:r>
        <w:rPr>
          <w:rFonts w:ascii="Arial" w:hAnsi="Arial" w:cs="Arial"/>
          <w:b/>
          <w:bCs/>
        </w:rPr>
        <w:t>Declaraciones de Situación Patrimonial Completas realizadas por servidores públicos de la Fiscalía General del Estado</w:t>
      </w:r>
      <w:r>
        <w:rPr>
          <w:rFonts w:ascii="Arial" w:hAnsi="Arial" w:cs="Arial"/>
        </w:rPr>
        <w:t xml:space="preserve"> que tengan funciones operativas, ocasionaría una gran afectación al servicio público, pues quedarían expuestos datos sensibles con los cuales pudieran ser identificados fácilmente y los dejaría vulnerables para ser manipulables y obtener algún beneficio dentro de la integración de las carpetas de investigación, es decir, al tenerlos identificados y obtener información personal, como domicilio, nombre de dependiente económicos, nombre de cónyuge, bienes muebles e inmuebles con los que cuente y demás información que se plasma en dichas declaraciones, podrían ser susceptibles de amenazas o de sobornos que compromete la integración de las carpetas de investigación, con lo cual se tendría una afectación al interés público y a la seguridad estatal o nacional, al verse comprometida la búsqueda de la justicia y de la verdad de los hechos  que pudieran  ser constitutivos de delitos, viéndose inc</w:t>
      </w:r>
      <w:r w:rsidR="005962DD">
        <w:rPr>
          <w:rFonts w:ascii="Arial" w:hAnsi="Arial" w:cs="Arial"/>
        </w:rPr>
        <w:t>l</w:t>
      </w:r>
      <w:r>
        <w:rPr>
          <w:rFonts w:ascii="Arial" w:hAnsi="Arial" w:cs="Arial"/>
        </w:rPr>
        <w:t>uso comprometidos los índices de impunidad.</w:t>
      </w:r>
      <w:r>
        <w:rPr>
          <w:rFonts w:ascii="Arial" w:hAnsi="Arial" w:cs="Arial"/>
        </w:rPr>
        <w:tab/>
      </w:r>
    </w:p>
    <w:p w:rsidR="000E66E7" w:rsidRDefault="000E66E7">
      <w:pPr>
        <w:pStyle w:val="Prrafodelista"/>
        <w:spacing w:line="276" w:lineRule="auto"/>
        <w:ind w:left="0" w:right="51"/>
        <w:jc w:val="both"/>
        <w:rPr>
          <w:rFonts w:ascii="Arial" w:hAnsi="Arial" w:cs="Arial"/>
        </w:rPr>
      </w:pPr>
    </w:p>
    <w:p w:rsidR="002B5530" w:rsidRDefault="002B5530">
      <w:pPr>
        <w:pStyle w:val="Prrafodelista"/>
        <w:spacing w:line="276" w:lineRule="auto"/>
        <w:ind w:left="0" w:right="51"/>
        <w:jc w:val="both"/>
        <w:rPr>
          <w:rFonts w:ascii="Arial" w:hAnsi="Arial" w:cs="Arial"/>
        </w:rPr>
      </w:pPr>
    </w:p>
    <w:p w:rsidR="000E66E7" w:rsidRDefault="00B22B99">
      <w:pPr>
        <w:spacing w:after="160" w:line="259" w:lineRule="auto"/>
        <w:jc w:val="both"/>
        <w:rPr>
          <w:rFonts w:ascii="Arial" w:hAnsi="Arial" w:cs="Arial"/>
        </w:rPr>
      </w:pPr>
      <w:bookmarkStart w:id="1" w:name="_Hlk155262063"/>
      <w:r>
        <w:rPr>
          <w:rFonts w:ascii="Arial" w:hAnsi="Arial" w:cs="Arial"/>
        </w:rPr>
        <w:t xml:space="preserve">Asimismo el </w:t>
      </w:r>
      <w:r w:rsidRPr="00B22B99">
        <w:rPr>
          <w:rFonts w:ascii="Arial" w:hAnsi="Arial" w:cs="Arial"/>
        </w:rPr>
        <w:t>Licenciado Juan Manuel Willie Rosillo Titular del Órgano Interno de Control de la Fis</w:t>
      </w:r>
      <w:r>
        <w:rPr>
          <w:rFonts w:ascii="Arial" w:hAnsi="Arial" w:cs="Arial"/>
        </w:rPr>
        <w:t xml:space="preserve">calía General del Estado justifica que para probar la relación causal entre la circunstancia de </w:t>
      </w:r>
      <w:r>
        <w:rPr>
          <w:rFonts w:ascii="Arial" w:hAnsi="Arial" w:cs="Arial"/>
          <w:b/>
          <w:bCs/>
          <w:i/>
        </w:rPr>
        <w:t>tiempo</w:t>
      </w:r>
      <w:r>
        <w:rPr>
          <w:rFonts w:ascii="Arial" w:hAnsi="Arial" w:cs="Arial"/>
        </w:rPr>
        <w:t xml:space="preserve">, y la entrega de la información y la afectación a la seguridad pública, al considerar </w:t>
      </w:r>
      <w:r>
        <w:rPr>
          <w:rFonts w:ascii="Arial" w:hAnsi="Arial" w:cs="Arial"/>
        </w:rPr>
        <w:lastRenderedPageBreak/>
        <w:t xml:space="preserve">que el sería mientras dure el encargo del Servidor Público adscrito a la Fiscalía General del Estado en funciones operativas independientemente del área en que se encuentre, puesto que al verse expuesta la información vertida en las </w:t>
      </w:r>
      <w:r>
        <w:rPr>
          <w:rFonts w:ascii="Arial" w:hAnsi="Arial" w:cs="Arial"/>
          <w:b/>
          <w:bCs/>
        </w:rPr>
        <w:t>Declaraciones de Situación Patrimonial Completas realizadas por servidores públicos de la Fiscalía General del Estado,</w:t>
      </w:r>
      <w:r>
        <w:rPr>
          <w:rFonts w:ascii="Arial" w:hAnsi="Arial" w:cs="Arial"/>
        </w:rPr>
        <w:t xml:space="preserve"> lo haría en todo momento blanco de amenazas, sobornos o cualquier circunstancia que comprometa las investigaciones y determinaciones en las carpetas de investigación de las cuales tenga acceso o alguna injerencia con motivo de sus funciones, ya que como ha quedado asentado, en dichas declaraciones se recaba información personal y sensible que puede ser identificable a una persona por sí misma o con apoyo de algún otro motor de búsqueda.</w:t>
      </w:r>
    </w:p>
    <w:p w:rsidR="000E66E7" w:rsidRDefault="000E66E7">
      <w:pPr>
        <w:pStyle w:val="Prrafodelista"/>
        <w:spacing w:line="276" w:lineRule="auto"/>
        <w:ind w:left="0" w:right="51"/>
        <w:jc w:val="both"/>
        <w:rPr>
          <w:rFonts w:ascii="Arial" w:hAnsi="Arial" w:cs="Arial"/>
        </w:rPr>
      </w:pPr>
    </w:p>
    <w:p w:rsidR="000E66E7" w:rsidRDefault="00B22B99">
      <w:pPr>
        <w:spacing w:after="160" w:line="259" w:lineRule="auto"/>
        <w:jc w:val="both"/>
        <w:rPr>
          <w:rFonts w:ascii="Arial" w:hAnsi="Arial" w:cs="Arial"/>
        </w:rPr>
      </w:pPr>
      <w:r>
        <w:rPr>
          <w:rFonts w:ascii="Arial" w:hAnsi="Arial" w:cs="Arial"/>
        </w:rPr>
        <w:t xml:space="preserve">En esa guisa, correctamente se considera en el acuerdo que nos ocupa que para probar la relación causal entre la circunstancia de </w:t>
      </w:r>
      <w:r>
        <w:rPr>
          <w:rFonts w:ascii="Arial" w:hAnsi="Arial" w:cs="Arial"/>
          <w:b/>
          <w:bCs/>
          <w:i/>
        </w:rPr>
        <w:t>lugar</w:t>
      </w:r>
      <w:r>
        <w:rPr>
          <w:rFonts w:ascii="Arial" w:hAnsi="Arial" w:cs="Arial"/>
        </w:rPr>
        <w:t xml:space="preserve">, y la entrega de la información y la afectación a la seguridad pública, </w:t>
      </w:r>
      <w:r w:rsidRPr="00B22B99">
        <w:rPr>
          <w:rFonts w:ascii="Arial" w:hAnsi="Arial" w:cs="Arial"/>
        </w:rPr>
        <w:t>Licenciado Juan Manuel Willie Rosillo Titular del Órgano Interno de Control de la Fis</w:t>
      </w:r>
      <w:r>
        <w:rPr>
          <w:rFonts w:ascii="Arial" w:hAnsi="Arial" w:cs="Arial"/>
        </w:rPr>
        <w:t>calía General del Estado, indica que,, se encuentra ligado a la Dependencia, municipio y/o área a la cual se encuentra adscrito el Servidor Público de la Fiscalía General del Estado en funciones operativas que emite su declaración de situación patrimonial, puesto que serían los lugares en los que se vería reflejada la afectación al interés público o la seguridad nacional y/o estatal, ya que en esos lugares sería donde se susciten los hechos delictivos que por amenazas o sobornos realizados a personal que se encuentra ligado a la investigación de los hechos, cuya información reservada sea expuesta, sean blanco de amanezcas, sobornos o cualquier conducta que conlleve a elevar los índices de impunidad.</w:t>
      </w:r>
    </w:p>
    <w:bookmarkEnd w:id="1"/>
    <w:p w:rsidR="000E66E7" w:rsidRDefault="00B22B99">
      <w:pPr>
        <w:pStyle w:val="Prrafodelista"/>
        <w:shd w:val="clear" w:color="auto" w:fill="FFFFFF" w:themeFill="background1"/>
        <w:spacing w:line="276" w:lineRule="auto"/>
        <w:ind w:left="0" w:right="51"/>
        <w:jc w:val="both"/>
        <w:rPr>
          <w:rFonts w:ascii="Arial" w:eastAsia="Times New Roman" w:hAnsi="Arial" w:cs="Arial"/>
        </w:rPr>
      </w:pPr>
      <w:r>
        <w:rPr>
          <w:rFonts w:ascii="Arial" w:hAnsi="Arial" w:cs="Arial"/>
          <w:i/>
        </w:rPr>
        <w:t>S</w:t>
      </w:r>
      <w:r>
        <w:rPr>
          <w:rFonts w:ascii="Arial" w:hAnsi="Arial" w:cs="Arial"/>
        </w:rPr>
        <w:t xml:space="preserve">e consideran acertadas las consideraciones vertidas </w:t>
      </w:r>
      <w:r>
        <w:rPr>
          <w:rFonts w:ascii="Arial" w:hAnsi="Arial" w:cs="Arial"/>
          <w:b/>
        </w:rPr>
        <w:t>Licenciado Juan Manuel Willie Rosillo Titular del Órgano Interno de Control</w:t>
      </w:r>
      <w:r>
        <w:rPr>
          <w:rFonts w:ascii="Arial" w:hAnsi="Arial" w:cs="Arial"/>
        </w:rPr>
        <w:t xml:space="preserve"> de la Fiscalía General del Estado, ya que precisa </w:t>
      </w:r>
      <w:r>
        <w:rPr>
          <w:rFonts w:ascii="Arial" w:hAnsi="Arial" w:cs="Arial"/>
          <w:b/>
          <w:bCs/>
          <w:i/>
          <w:iCs/>
        </w:rPr>
        <w:t>las razones objetivas por las que la apertura de la información generaría un riesgo de perjuicio real, demostrable e identificable al interés jurídico tutelado de que se trate</w:t>
      </w:r>
      <w:r>
        <w:rPr>
          <w:rFonts w:ascii="Arial" w:hAnsi="Arial" w:cs="Arial"/>
        </w:rPr>
        <w:t xml:space="preserve">; acreditando el vínculo entre la difusión de la información y la afectación del interés jurídico tutelado de que se trate. Ello debido a que </w:t>
      </w:r>
      <w:r>
        <w:rPr>
          <w:rFonts w:ascii="Arial" w:eastAsia="Times New Roman" w:hAnsi="Arial" w:cs="Arial"/>
        </w:rPr>
        <w:t xml:space="preserve">el dar a conocer públicamente las versiones públicas de las declaraciones de conclusión de situación patrimonial completas del personal </w:t>
      </w:r>
      <w:r>
        <w:rPr>
          <w:rFonts w:ascii="Arial" w:hAnsi="Arial" w:cs="Arial"/>
        </w:rPr>
        <w:t xml:space="preserve">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w:t>
      </w:r>
      <w:r>
        <w:rPr>
          <w:rFonts w:ascii="Arial" w:hAnsi="Arial" w:cs="Arial"/>
        </w:rPr>
        <w:lastRenderedPageBreak/>
        <w:t xml:space="preserve">Policía Tercero, Auxiliar A, Auxiliar B, Auxiliar C, Agente del Ministerio Público B, Agente del Ministerio Público C, Cabo de ordenanzas, presentadas en el mes de </w:t>
      </w:r>
      <w:r>
        <w:rPr>
          <w:rFonts w:ascii="Arial" w:hAnsi="Arial" w:cs="Arial"/>
          <w:b/>
        </w:rPr>
        <w:t>Enero 2024</w:t>
      </w:r>
      <w:r>
        <w:rPr>
          <w:rFonts w:ascii="Arial" w:eastAsia="Times New Roman" w:hAnsi="Arial" w:cs="Arial"/>
        </w:rPr>
        <w:t xml:space="preserve">, se daría a conocer los nombres de aquellos que forman parte en diversos mandamientos judiciales, averiguaciones previas o carpetas de investigación donde se actúa información a la que únicamente pueden tener acceso las partes; lo que inclusive vulnera el procedimiento de investigación y de forma indirecta se afecte el principio de presunción de inocencia, donde se dé a conocer actos preparatorios de juicio al no existir sentencia emitida por un órgano jurisdiccional en términos del Código Nacional de Procedimientos Penales, dejando además en un grave estado de vulnerabilidad, circunstancia por la cual los nombres se encuentran reservados por la Dirección General de Administración, por lo que al dar a conocer las versiones públicas aun cuando se testará el nombre, se podría determinar la cantidad de cada uno de los servidores públicos con los que cuenta la Fiscalía, determinando así la capacidad de reacción que tiene la corporación ante hechos delictivos, inclusive al conocer la capacidad económica de los servidores públicos operativos, estos podrían ser usados para que actúen de una o de otra manera según los intereses del sobornador, violentando a su vez el Principio de prohibición de doble enjuiciamiento al proporcionar en la información pública relativa a las  </w:t>
      </w:r>
      <w:r>
        <w:rPr>
          <w:rFonts w:ascii="Arial" w:hAnsi="Arial" w:cs="Arial"/>
        </w:rPr>
        <w:t>remuneraciones que reciben.</w:t>
      </w:r>
      <w:r>
        <w:rPr>
          <w:rFonts w:ascii="Arial" w:eastAsia="Times New Roman" w:hAnsi="Arial" w:cs="Arial"/>
        </w:rPr>
        <w:t xml:space="preserve"> </w:t>
      </w:r>
    </w:p>
    <w:p w:rsidR="000E66E7" w:rsidRDefault="000E66E7">
      <w:pPr>
        <w:pStyle w:val="Prrafodelista"/>
        <w:shd w:val="clear" w:color="auto" w:fill="FFFFFF" w:themeFill="background1"/>
        <w:spacing w:line="276" w:lineRule="auto"/>
        <w:ind w:left="0" w:right="51"/>
        <w:jc w:val="both"/>
        <w:rPr>
          <w:rFonts w:ascii="Arial" w:hAnsi="Arial" w:cs="Arial"/>
        </w:rPr>
      </w:pPr>
    </w:p>
    <w:p w:rsidR="002B5530" w:rsidRDefault="002B5530">
      <w:pPr>
        <w:pStyle w:val="Prrafodelista"/>
        <w:shd w:val="clear" w:color="auto" w:fill="FFFFFF" w:themeFill="background1"/>
        <w:spacing w:line="276" w:lineRule="auto"/>
        <w:ind w:left="0" w:right="51"/>
        <w:jc w:val="both"/>
        <w:rPr>
          <w:rFonts w:ascii="Arial" w:hAnsi="Arial" w:cs="Arial"/>
        </w:rPr>
      </w:pPr>
    </w:p>
    <w:p w:rsidR="000E66E7" w:rsidRDefault="00B22B99">
      <w:pPr>
        <w:shd w:val="clear" w:color="auto" w:fill="FFFFFF" w:themeFill="background1"/>
        <w:autoSpaceDE w:val="0"/>
        <w:autoSpaceDN w:val="0"/>
        <w:adjustRightInd w:val="0"/>
        <w:jc w:val="both"/>
        <w:rPr>
          <w:rFonts w:ascii="Arial" w:hAnsi="Arial" w:cs="Arial"/>
          <w:b/>
          <w:i/>
        </w:rPr>
      </w:pPr>
      <w:r>
        <w:rPr>
          <w:rFonts w:ascii="Arial" w:hAnsi="Arial" w:cs="Arial"/>
          <w:b/>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0E66E7" w:rsidRDefault="000E66E7">
      <w:pPr>
        <w:pStyle w:val="Prrafodelista"/>
        <w:shd w:val="clear" w:color="auto" w:fill="FFFFFF" w:themeFill="background1"/>
        <w:spacing w:line="276" w:lineRule="auto"/>
        <w:ind w:left="0" w:right="51"/>
        <w:jc w:val="both"/>
        <w:rPr>
          <w:rFonts w:ascii="Arial" w:hAnsi="Arial" w:cs="Arial"/>
        </w:rPr>
      </w:pPr>
    </w:p>
    <w:p w:rsidR="000E66E7" w:rsidRDefault="000E66E7">
      <w:pPr>
        <w:pStyle w:val="Prrafodelista"/>
        <w:shd w:val="clear" w:color="auto" w:fill="FFFFFF" w:themeFill="background1"/>
        <w:spacing w:line="276" w:lineRule="auto"/>
        <w:ind w:left="0" w:right="51"/>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Quedando además probado que </w:t>
      </w:r>
      <w:r>
        <w:rPr>
          <w:rFonts w:ascii="Arial" w:hAnsi="Arial" w:cs="Arial"/>
          <w:i/>
        </w:rPr>
        <w:t>el riesgo del perjuicio que supondría la divulgación supera el interés público general de que se difunda</w:t>
      </w:r>
      <w:r>
        <w:rPr>
          <w:rFonts w:ascii="Arial" w:hAnsi="Arial" w:cs="Arial"/>
        </w:rPr>
        <w:t xml:space="preserve">. Esto es así, debido a que el </w:t>
      </w:r>
      <w:r>
        <w:rPr>
          <w:rFonts w:ascii="Arial" w:hAnsi="Arial" w:cs="Arial"/>
          <w:b/>
        </w:rPr>
        <w:t>Licenciado Juan Manuel Willie Rosillo Titular del Órgano Interno de Control</w:t>
      </w:r>
      <w:r>
        <w:rPr>
          <w:rFonts w:ascii="Arial" w:hAnsi="Arial" w:cs="Arial"/>
        </w:rPr>
        <w:t xml:space="preserve"> de la Fiscalía General del Estado, señala de manera exhaustiva que el riesgo que supondría el brindar la información que se reserva, claramente supera el interés general, realizando una ponderación de derechos, al manifestar:</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ind w:left="851" w:right="900"/>
        <w:jc w:val="both"/>
        <w:rPr>
          <w:rFonts w:ascii="Arial" w:hAnsi="Arial" w:cs="Arial"/>
          <w:i/>
        </w:rPr>
      </w:pPr>
      <w:r>
        <w:rPr>
          <w:rFonts w:ascii="Arial" w:hAnsi="Arial" w:cs="Arial"/>
        </w:rPr>
        <w:lastRenderedPageBreak/>
        <w:t xml:space="preserve">Se considera que el proporcionar las versiones públicas de las </w:t>
      </w:r>
      <w:r>
        <w:rPr>
          <w:rFonts w:ascii="Arial" w:hAnsi="Arial" w:cs="Arial"/>
          <w:b/>
          <w:i/>
        </w:rPr>
        <w:t xml:space="preserve">Declaraciones de Conclusión de Situación Patrimonial Completas, </w:t>
      </w:r>
      <w:r>
        <w:rPr>
          <w:rFonts w:ascii="Arial" w:hAnsi="Arial" w:cs="Arial"/>
        </w:rPr>
        <w:t>del personal administrativo, y apoyo adscrito a las áreas sustantivas de la Fiscalía General del Estado como lo son Vicefiscalías, Fiscalías</w:t>
      </w:r>
      <w:r>
        <w:rPr>
          <w:rFonts w:ascii="Arial" w:hAnsi="Arial" w:cs="Arial"/>
          <w:i/>
        </w:rPr>
        <w:t xml:space="preserve">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 presentadas en el mes </w:t>
      </w:r>
      <w:r>
        <w:rPr>
          <w:rFonts w:ascii="Arial" w:hAnsi="Arial" w:cs="Arial"/>
          <w:b/>
          <w:i/>
        </w:rPr>
        <w:t>de enero 2024</w:t>
      </w:r>
      <w:r>
        <w:rPr>
          <w:rFonts w:ascii="Arial" w:hAnsi="Arial" w:cs="Arial"/>
          <w:i/>
        </w:rPr>
        <w:t>, se podría determinar fácilmente la cantidad de ellos con la que cuenta la Fiscalía, y saber así la capacidad de reacción representando un riesgo en la integridad física del personal operativo ya que podrían acceder a ella las personas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w:t>
      </w:r>
    </w:p>
    <w:p w:rsidR="000E66E7" w:rsidRDefault="000E66E7">
      <w:pPr>
        <w:spacing w:line="276" w:lineRule="auto"/>
        <w:ind w:left="851" w:right="900"/>
        <w:jc w:val="both"/>
        <w:rPr>
          <w:rFonts w:ascii="Arial" w:hAnsi="Arial" w:cs="Arial"/>
          <w:i/>
        </w:rPr>
      </w:pPr>
    </w:p>
    <w:p w:rsidR="000E66E7" w:rsidRDefault="00B22B99">
      <w:pPr>
        <w:spacing w:line="276" w:lineRule="auto"/>
        <w:ind w:left="851" w:right="900"/>
        <w:jc w:val="both"/>
        <w:rPr>
          <w:rFonts w:ascii="Arial" w:hAnsi="Arial" w:cs="Arial"/>
          <w:i/>
        </w:rPr>
      </w:pPr>
      <w:r>
        <w:rPr>
          <w:rFonts w:ascii="Arial" w:hAnsi="Arial" w:cs="Arial"/>
          <w:i/>
        </w:rPr>
        <w:t>Resulta oportuno enfatizar que este órgano autónomo tiene como función preponderante la investigación y la procuración de justicia, lo que se logra con el personal administrativo, operativo, y de investigación. Por lo que es el medio menos restrictivo para prevenir un perjuicio significativo y de imposible reparación.</w:t>
      </w:r>
    </w:p>
    <w:p w:rsidR="000E66E7" w:rsidRDefault="000E66E7">
      <w:pPr>
        <w:spacing w:line="276" w:lineRule="auto"/>
        <w:ind w:left="851" w:right="900"/>
        <w:jc w:val="both"/>
        <w:rPr>
          <w:rFonts w:ascii="Arial" w:hAnsi="Arial" w:cs="Arial"/>
          <w:i/>
        </w:rPr>
      </w:pPr>
    </w:p>
    <w:p w:rsidR="000E66E7" w:rsidRDefault="00B22B99">
      <w:pPr>
        <w:spacing w:line="276" w:lineRule="auto"/>
        <w:ind w:left="851" w:right="900"/>
        <w:jc w:val="both"/>
        <w:rPr>
          <w:rFonts w:ascii="Arial" w:hAnsi="Arial" w:cs="Arial"/>
          <w:i/>
        </w:rPr>
      </w:pPr>
      <w:r>
        <w:rPr>
          <w:rFonts w:ascii="Arial" w:hAnsi="Arial" w:cs="Arial"/>
          <w:i/>
        </w:rPr>
        <w:t>En este sentido es que se privilegia el derecho a la vida, y la procuración de justicia, así como la seguridad pública, sobre el derecho al libre acceso a información, debido a que estos datos pueden vulnerar la vida de quienes se involucran directa o indirectamente en las investigaciones de actos delictivos.</w:t>
      </w: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Esto es así porque el dar a conocer la información aparentemente inofensiva, se puede construir inteligencia al recopilar piezas de información dispersas y después unirlas con la </w:t>
      </w:r>
      <w:r>
        <w:rPr>
          <w:rFonts w:ascii="Arial" w:hAnsi="Arial" w:cs="Arial"/>
        </w:rPr>
        <w:lastRenderedPageBreak/>
        <w:t>finalidad de tener una visión de conjunto. Lo anterior en perjuicio de la seguridad pública del Estado de San Luis Potosí, así como de los Estados Unidos Mexicanos al actuar como un órgano auxiliar de la seguridad Nacional.</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Al publicar la información relativa a las versiones públicas de </w:t>
      </w:r>
      <w:r>
        <w:rPr>
          <w:rFonts w:ascii="Arial" w:hAnsi="Arial" w:cs="Arial"/>
          <w:b/>
          <w:i/>
        </w:rPr>
        <w:t>Declaraciones de Conclusión de Situación Patrimonial</w:t>
      </w:r>
      <w:r>
        <w:rPr>
          <w:rFonts w:ascii="Arial" w:hAnsi="Arial" w:cs="Arial"/>
          <w:b/>
        </w:rPr>
        <w:t xml:space="preserve"> Completas,  presentadas por el personal</w:t>
      </w:r>
      <w:r>
        <w:rPr>
          <w:rFonts w:ascii="Arial" w:hAnsi="Arial" w:cs="Arial"/>
        </w:rPr>
        <w:t xml:space="preserve"> </w:t>
      </w:r>
      <w:r>
        <w:rPr>
          <w:rFonts w:ascii="Arial" w:hAnsi="Arial" w:cs="Arial"/>
          <w:b/>
        </w:rPr>
        <w:t xml:space="preserve">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 </w:t>
      </w:r>
      <w:r>
        <w:rPr>
          <w:rFonts w:ascii="Arial" w:hAnsi="Arial" w:cs="Arial"/>
        </w:rPr>
        <w:t>presentadas en el mes de</w:t>
      </w:r>
      <w:r>
        <w:rPr>
          <w:rFonts w:ascii="Arial" w:hAnsi="Arial" w:cs="Arial"/>
          <w:b/>
        </w:rPr>
        <w:t xml:space="preserve"> enero 2024, a través del sistema DECLARANET-FGESLP, </w:t>
      </w:r>
      <w:r>
        <w:rPr>
          <w:rFonts w:ascii="Arial" w:hAnsi="Arial" w:cs="Arial"/>
        </w:rPr>
        <w:t xml:space="preserve"> permitiría a los grupos delictivos conocer e identificar completamente a los servidores públicos que realizan actos de investigación y persecución de los delitos, el que los grupos criminales tengan a su disposición dicha información revelaría la capacidad de reacción de la Fiscalía, lo que sería en detrimento de la seguridad pública. Ello es así, pues estaría en posibilidades de obstaculizar o bloquear actividades de inteligencia y contrainteligencia en el combate a la delincuencia y la investigación de los delitos.</w:t>
      </w:r>
    </w:p>
    <w:p w:rsidR="000E66E7" w:rsidRDefault="000E66E7">
      <w:pPr>
        <w:spacing w:line="276" w:lineRule="auto"/>
        <w:jc w:val="both"/>
        <w:rPr>
          <w:rFonts w:ascii="Arial" w:hAnsi="Arial" w:cs="Arial"/>
        </w:rPr>
      </w:pPr>
    </w:p>
    <w:p w:rsidR="000E66E7" w:rsidRDefault="00B22B99">
      <w:pPr>
        <w:pStyle w:val="Prrafodelista"/>
        <w:shd w:val="clear" w:color="auto" w:fill="FFFFFF" w:themeFill="background1"/>
        <w:spacing w:line="276" w:lineRule="auto"/>
        <w:ind w:left="0" w:right="51"/>
        <w:jc w:val="both"/>
        <w:rPr>
          <w:rFonts w:ascii="Arial" w:hAnsi="Arial" w:cs="Arial"/>
        </w:rPr>
      </w:pPr>
      <w:r>
        <w:rPr>
          <w:rFonts w:ascii="Arial" w:hAnsi="Arial" w:cs="Arial"/>
        </w:rPr>
        <w:t>Abundando en considerar que al dar a conocer a los grupos criminales la capacidad de fuerza de la institución se generaría un riesgo de perjuicio a la seguridad pública, y con ello poner en riesgo la seguridad pública e incluso la paz social, pues se estarían entorpeciendo las investigaciones y persecución de delitos, además del debido proceso, detonando en la afectación del derecho a la justicia, siendo esta una obligación del gobierno para sus gobernantes.</w:t>
      </w:r>
    </w:p>
    <w:p w:rsidR="000E66E7" w:rsidRDefault="000E66E7">
      <w:pPr>
        <w:pStyle w:val="Prrafodelista"/>
        <w:shd w:val="clear" w:color="auto" w:fill="FFFFFF" w:themeFill="background1"/>
        <w:spacing w:line="276" w:lineRule="auto"/>
        <w:ind w:left="0" w:right="51"/>
        <w:jc w:val="both"/>
        <w:rPr>
          <w:rFonts w:ascii="Arial" w:hAnsi="Arial" w:cs="Arial"/>
        </w:rPr>
      </w:pPr>
    </w:p>
    <w:p w:rsidR="000E66E7" w:rsidRDefault="00B22B99">
      <w:pPr>
        <w:pStyle w:val="Prrafodelista"/>
        <w:shd w:val="clear" w:color="auto" w:fill="FFFFFF" w:themeFill="background1"/>
        <w:spacing w:line="276" w:lineRule="auto"/>
        <w:ind w:left="0" w:right="51"/>
        <w:jc w:val="both"/>
        <w:rPr>
          <w:rFonts w:ascii="Arial" w:hAnsi="Arial" w:cs="Arial"/>
        </w:rPr>
      </w:pPr>
      <w:r>
        <w:rPr>
          <w:rFonts w:ascii="Arial" w:hAnsi="Arial" w:cs="Arial"/>
        </w:rPr>
        <w:t xml:space="preserve">De ahí que la reserva de la información realizada por el </w:t>
      </w:r>
      <w:r>
        <w:rPr>
          <w:rFonts w:ascii="Arial" w:hAnsi="Arial" w:cs="Arial"/>
          <w:b/>
        </w:rPr>
        <w:t>Licenciado Juan Manuel Willie Rosillo Titular del Órgano Interno de Control</w:t>
      </w:r>
      <w:r>
        <w:rPr>
          <w:rFonts w:ascii="Arial" w:hAnsi="Arial" w:cs="Arial"/>
        </w:rPr>
        <w:t xml:space="preserve"> de la Fiscalía General del Estado, pondera adecuadamente entre los derechos constitucionales; 1. La seguridad pública de nuestro Estado de San Luis Potosí, y 2. El derecho de acceso a la información, resultando procedente la consideración de privilegiar el primero de ellos.</w:t>
      </w:r>
    </w:p>
    <w:p w:rsidR="000E66E7" w:rsidRDefault="000E66E7">
      <w:pPr>
        <w:pStyle w:val="Prrafodelista"/>
        <w:shd w:val="clear" w:color="auto" w:fill="FFFFFF" w:themeFill="background1"/>
        <w:spacing w:line="276" w:lineRule="auto"/>
        <w:ind w:left="0" w:right="51"/>
        <w:jc w:val="both"/>
        <w:rPr>
          <w:rFonts w:ascii="Arial" w:hAnsi="Arial" w:cs="Arial"/>
        </w:rPr>
      </w:pPr>
    </w:p>
    <w:p w:rsidR="000E66E7" w:rsidRDefault="00B22B99">
      <w:pPr>
        <w:pStyle w:val="Prrafodelista"/>
        <w:shd w:val="clear" w:color="auto" w:fill="FFFFFF" w:themeFill="background1"/>
        <w:spacing w:line="276" w:lineRule="auto"/>
        <w:ind w:left="0" w:right="51"/>
        <w:jc w:val="both"/>
        <w:rPr>
          <w:rFonts w:ascii="Arial" w:eastAsia="Times New Roman" w:hAnsi="Arial" w:cs="Arial"/>
        </w:rPr>
      </w:pPr>
      <w:r>
        <w:rPr>
          <w:rFonts w:ascii="Arial" w:hAnsi="Arial" w:cs="Arial"/>
        </w:rPr>
        <w:t xml:space="preserve">En ese orden de ideas, correctamente el </w:t>
      </w:r>
      <w:r>
        <w:rPr>
          <w:rFonts w:ascii="Arial" w:hAnsi="Arial" w:cs="Arial"/>
          <w:b/>
        </w:rPr>
        <w:t>Licenciado Juan Manuel Willie Rosillo Titular del Órgano Interno de Control</w:t>
      </w:r>
      <w:r>
        <w:rPr>
          <w:rFonts w:ascii="Arial" w:hAnsi="Arial" w:cs="Arial"/>
        </w:rPr>
        <w:t xml:space="preserve"> de la Fiscalía General del Estado</w:t>
      </w:r>
      <w:r>
        <w:rPr>
          <w:rFonts w:ascii="Arial" w:hAnsi="Arial" w:cs="Arial"/>
          <w:b/>
          <w:i/>
        </w:rPr>
        <w:t xml:space="preserve"> elige y justifica la opción de excepción al derecho de acceso a la información que menos lo restrinja, la que sea adecuada y proporcional para evitar el perjuicio al interés público, evitando siempre que sea posible la reserva absoluta de documentos o expedientes; </w:t>
      </w:r>
      <w:r>
        <w:rPr>
          <w:rFonts w:ascii="Arial" w:hAnsi="Arial" w:cs="Arial"/>
        </w:rPr>
        <w:t xml:space="preserve"> prevé razonablemente que la revelación de las versiones públicas de la D</w:t>
      </w:r>
      <w:r>
        <w:rPr>
          <w:rFonts w:ascii="Arial" w:hAnsi="Arial" w:cs="Arial"/>
          <w:b/>
          <w:bCs/>
        </w:rPr>
        <w:t>eclaración de Conclusión de Situación Patrimonial Completas</w:t>
      </w:r>
      <w:r>
        <w:rPr>
          <w:rFonts w:ascii="Arial" w:hAnsi="Arial" w:cs="Arial"/>
        </w:rPr>
        <w:t xml:space="preserve"> del personal 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 </w:t>
      </w:r>
      <w:r>
        <w:rPr>
          <w:rFonts w:ascii="Arial" w:hAnsi="Arial" w:cs="Arial"/>
          <w:b/>
        </w:rPr>
        <w:t>son datos que permitieran identificar al servidor público operativo y con ello determinar la cantidad de</w:t>
      </w:r>
      <w:r>
        <w:rPr>
          <w:rFonts w:ascii="Arial" w:hAnsi="Arial" w:cs="Arial"/>
        </w:rPr>
        <w:t xml:space="preserve"> policías, peritos, agentes del ministerio público, agentes facilitadores, incluyendo al personal administrativo y de apoyo de las áreas sustantivas como lo son vicefiscalías, Fiscalías especializadas y la Dirección General de Métodos de Investigación, atendiendo el principio de proporcionalidad pueda ocasionar daño o comprometer la seguridad de los servidores públicos operativos y de su familia, la investigación de algún hecho probablemente delictivo o el cumplimiento eficaz de una orden de aprehensión, o investigación, la capacidad de fuerza de la fiscalía y la seguridad pública, bajo este criterio se considera el medio menos restrictivo disponible para evitar un perjuicio mayor.</w:t>
      </w:r>
    </w:p>
    <w:p w:rsidR="000E66E7" w:rsidRDefault="000E66E7">
      <w:pPr>
        <w:autoSpaceDE w:val="0"/>
        <w:autoSpaceDN w:val="0"/>
        <w:adjustRightInd w:val="0"/>
        <w:jc w:val="both"/>
        <w:rPr>
          <w:rFonts w:ascii="Arial" w:eastAsia="Times New Roman" w:hAnsi="Arial" w:cs="Arial"/>
        </w:rPr>
      </w:pPr>
    </w:p>
    <w:p w:rsidR="000E66E7" w:rsidRDefault="00B22B99">
      <w:pPr>
        <w:autoSpaceDE w:val="0"/>
        <w:autoSpaceDN w:val="0"/>
        <w:adjustRightInd w:val="0"/>
        <w:jc w:val="both"/>
        <w:rPr>
          <w:rFonts w:ascii="Arial" w:hAnsi="Arial" w:cs="Arial"/>
        </w:rPr>
      </w:pPr>
      <w:r>
        <w:rPr>
          <w:rFonts w:ascii="Arial" w:hAnsi="Arial" w:cs="Arial"/>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p>
    <w:p w:rsidR="000E66E7" w:rsidRDefault="000E66E7">
      <w:pPr>
        <w:spacing w:after="200"/>
        <w:jc w:val="both"/>
        <w:rPr>
          <w:rFonts w:ascii="Arial" w:eastAsia="Times New Roman" w:hAnsi="Arial" w:cs="Arial"/>
        </w:rPr>
      </w:pPr>
    </w:p>
    <w:p w:rsidR="000E66E7" w:rsidRDefault="00B22B99">
      <w:pPr>
        <w:spacing w:after="200"/>
        <w:jc w:val="both"/>
        <w:rPr>
          <w:rFonts w:ascii="Arial" w:eastAsia="Times New Roman" w:hAnsi="Arial" w:cs="Arial"/>
        </w:rPr>
      </w:pPr>
      <w:r>
        <w:rPr>
          <w:rFonts w:ascii="Arial" w:eastAsia="Times New Roman" w:hAnsi="Arial" w:cs="Arial"/>
        </w:rPr>
        <w:t xml:space="preserve">Y yendo más allá del personal sustantivo, la Suprema corte de Justicia de la Nación es clara en referir que el personal administrativo si bien no realiza tareas sustantivas, si tiene acceso a información relativa a ésta, como son operativos, turnos de asuntos, armamento, imputados y víctimas, entre otros. </w:t>
      </w:r>
    </w:p>
    <w:p w:rsidR="000E66E7" w:rsidRDefault="00B22B99">
      <w:pPr>
        <w:pStyle w:val="Texto"/>
        <w:spacing w:after="0" w:line="240" w:lineRule="auto"/>
        <w:ind w:firstLine="0"/>
        <w:rPr>
          <w:sz w:val="24"/>
          <w:szCs w:val="24"/>
        </w:rPr>
      </w:pPr>
      <w:r>
        <w:rPr>
          <w:sz w:val="24"/>
          <w:szCs w:val="24"/>
        </w:rPr>
        <w:lastRenderedPageBreak/>
        <w:t xml:space="preserve">Puesto que el otorgar algún dato que permita conocer los nombres de los funcionarios y del personal administrativo y apoyo adscrito a las áreas sustantivas de la Fiscalía General del Estado como lo son Vicefiscalías, Fiscalías Especializadas y Dirección General de Métodos de Investigación y los servidores públicos operativos de Seguridad y Custodia, y su área de adscripción </w:t>
      </w:r>
      <w:r>
        <w:rPr>
          <w:b/>
          <w:sz w:val="24"/>
          <w:szCs w:val="24"/>
        </w:rPr>
        <w:t>se determinaría con facilidad el número de elementos operativos con que cuenta la Fiscalía</w:t>
      </w:r>
      <w:r>
        <w:rPr>
          <w:sz w:val="24"/>
          <w:szCs w:val="24"/>
        </w:rPr>
        <w:t xml:space="preserve"> y con ello se dejaría a descubierto la capacidad de reacción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  </w:t>
      </w:r>
    </w:p>
    <w:p w:rsidR="000E66E7" w:rsidRDefault="000E66E7">
      <w:pPr>
        <w:spacing w:after="200"/>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Por lo que el reservar la información solicitada, </w:t>
      </w:r>
      <w:r>
        <w:rPr>
          <w:rFonts w:ascii="Arial" w:hAnsi="Arial" w:cs="Arial"/>
          <w:i/>
        </w:rPr>
        <w:t>resulta ser el medio menos restrictivo</w:t>
      </w:r>
      <w:r>
        <w:rPr>
          <w:rFonts w:ascii="Arial" w:hAnsi="Arial" w:cs="Arial"/>
        </w:rPr>
        <w:t xml:space="preserve"> para evitar un perjuicio significativo de imposible reparación, como lo es la vida de los servidores públicos adscritos al área sustantiva de su interés, la seguridad pública, y la afectación al debido proceso.</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pStyle w:val="Prrafodelista"/>
        <w:numPr>
          <w:ilvl w:val="0"/>
          <w:numId w:val="2"/>
        </w:numPr>
        <w:spacing w:line="276" w:lineRule="auto"/>
        <w:jc w:val="both"/>
        <w:rPr>
          <w:rFonts w:ascii="Arial" w:hAnsi="Arial" w:cs="Arial"/>
          <w:b/>
        </w:rPr>
      </w:pPr>
      <w:r>
        <w:rPr>
          <w:rFonts w:ascii="Arial" w:hAnsi="Arial" w:cs="Arial"/>
          <w:b/>
        </w:rPr>
        <w:t>Descripción de las partes o secciones reservadas, en caso de clasificación parcial;</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En el presente caso el </w:t>
      </w:r>
      <w:r>
        <w:rPr>
          <w:rFonts w:ascii="Arial" w:hAnsi="Arial" w:cs="Arial"/>
          <w:b/>
        </w:rPr>
        <w:t xml:space="preserve">Acuerdo </w:t>
      </w:r>
      <w:r>
        <w:rPr>
          <w:rFonts w:ascii="Arial" w:hAnsi="Arial" w:cs="Arial"/>
        </w:rPr>
        <w:t xml:space="preserve">número </w:t>
      </w:r>
      <w:r>
        <w:rPr>
          <w:rFonts w:ascii="Arial" w:hAnsi="Arial" w:cs="Arial"/>
          <w:b/>
        </w:rPr>
        <w:t>AR/1/2024,</w:t>
      </w:r>
      <w:r>
        <w:rPr>
          <w:rFonts w:ascii="Arial" w:hAnsi="Arial" w:cs="Arial"/>
        </w:rPr>
        <w:t xml:space="preserve"> se trata de una </w:t>
      </w:r>
      <w:r>
        <w:rPr>
          <w:rFonts w:ascii="Arial" w:hAnsi="Arial" w:cs="Arial"/>
          <w:b/>
        </w:rPr>
        <w:t>Reserva Total</w:t>
      </w:r>
      <w:r>
        <w:rPr>
          <w:rFonts w:ascii="Arial" w:hAnsi="Arial" w:cs="Arial"/>
        </w:rPr>
        <w:t>.</w:t>
      </w: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Por lo que con fundamento en lo dispuesto por el artículo 52 fracción II de la Ley de Transparencia y Acceso a la Información pública del Estado de San Luis Potosí, se considera procedente confirmar el </w:t>
      </w:r>
      <w:r>
        <w:rPr>
          <w:rFonts w:ascii="Arial" w:hAnsi="Arial" w:cs="Arial"/>
          <w:b/>
        </w:rPr>
        <w:t>Acuerdo de Reserva Total</w:t>
      </w:r>
      <w:r>
        <w:rPr>
          <w:rFonts w:ascii="Arial" w:hAnsi="Arial" w:cs="Arial"/>
        </w:rPr>
        <w:t xml:space="preserve"> número </w:t>
      </w:r>
      <w:r>
        <w:rPr>
          <w:rFonts w:ascii="Arial" w:hAnsi="Arial" w:cs="Arial"/>
          <w:b/>
        </w:rPr>
        <w:t>AR/1/2024</w:t>
      </w:r>
      <w:r>
        <w:rPr>
          <w:rFonts w:ascii="Arial" w:hAnsi="Arial" w:cs="Arial"/>
        </w:rPr>
        <w:t xml:space="preserve">, realizado por el </w:t>
      </w:r>
      <w:r>
        <w:rPr>
          <w:rFonts w:ascii="Arial" w:hAnsi="Arial" w:cs="Arial"/>
          <w:b/>
        </w:rPr>
        <w:t>Licenciado Juan Manuel Willie Rosillo Titular del Órgano Interno de Control</w:t>
      </w:r>
      <w:r>
        <w:rPr>
          <w:rFonts w:ascii="Arial" w:hAnsi="Arial" w:cs="Arial"/>
        </w:rPr>
        <w:t xml:space="preserve"> de la Fiscalía General del Estado por encontrarse debidamente fundado y motivado. </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pStyle w:val="Prrafodelista"/>
        <w:numPr>
          <w:ilvl w:val="0"/>
          <w:numId w:val="2"/>
        </w:numPr>
        <w:spacing w:line="276" w:lineRule="auto"/>
        <w:jc w:val="both"/>
        <w:rPr>
          <w:rFonts w:ascii="Arial" w:hAnsi="Arial" w:cs="Arial"/>
          <w:b/>
        </w:rPr>
      </w:pPr>
      <w:r>
        <w:rPr>
          <w:rFonts w:ascii="Arial" w:hAnsi="Arial" w:cs="Arial"/>
          <w:b/>
        </w:rPr>
        <w:t>El período por el que mantendrá su clasificación y fecha de expedición;</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lastRenderedPageBreak/>
        <w:t>Período. 5 años.</w:t>
      </w:r>
    </w:p>
    <w:p w:rsidR="000E66E7" w:rsidRDefault="000E66E7">
      <w:pPr>
        <w:spacing w:line="276" w:lineRule="auto"/>
        <w:jc w:val="both"/>
        <w:rPr>
          <w:rFonts w:ascii="Arial" w:eastAsia="Times New Roman" w:hAnsi="Arial" w:cs="Arial"/>
        </w:rPr>
      </w:pPr>
    </w:p>
    <w:p w:rsidR="000E66E7" w:rsidRDefault="00B22B99">
      <w:pPr>
        <w:spacing w:line="276" w:lineRule="auto"/>
        <w:jc w:val="both"/>
        <w:rPr>
          <w:rFonts w:ascii="Arial" w:eastAsia="Times New Roman" w:hAnsi="Arial" w:cs="Arial"/>
        </w:rPr>
      </w:pPr>
      <w:r>
        <w:rPr>
          <w:rFonts w:ascii="Arial" w:eastAsia="Times New Roman" w:hAnsi="Arial" w:cs="Arial"/>
        </w:rPr>
        <w:t>Fecha de expiración: 06 de febrero 2029. Que cumple con lo establecido por el lineamiento Trigésimo cuarto de los LGCDIEVP. Señalando las razones por las cuales se estableció el plazo de reserva determinado, mismas que están relacionadas y sustentadas con la prueba de daño.</w:t>
      </w:r>
    </w:p>
    <w:p w:rsidR="000E66E7" w:rsidRDefault="000E66E7">
      <w:pPr>
        <w:spacing w:line="276" w:lineRule="auto"/>
        <w:jc w:val="both"/>
        <w:rPr>
          <w:rFonts w:ascii="Arial" w:eastAsia="Times New Roman" w:hAnsi="Arial" w:cs="Arial"/>
        </w:rPr>
      </w:pPr>
    </w:p>
    <w:p w:rsidR="000E66E7" w:rsidRDefault="000E66E7">
      <w:pPr>
        <w:spacing w:line="276" w:lineRule="auto"/>
        <w:jc w:val="both"/>
        <w:rPr>
          <w:rFonts w:ascii="Arial" w:hAnsi="Arial" w:cs="Arial"/>
        </w:rPr>
      </w:pPr>
    </w:p>
    <w:p w:rsidR="000E66E7" w:rsidRDefault="00B22B99">
      <w:pPr>
        <w:pStyle w:val="Prrafodelista"/>
        <w:numPr>
          <w:ilvl w:val="0"/>
          <w:numId w:val="2"/>
        </w:numPr>
        <w:spacing w:line="276" w:lineRule="auto"/>
        <w:ind w:left="720" w:hanging="294"/>
        <w:jc w:val="both"/>
        <w:rPr>
          <w:rFonts w:ascii="Arial" w:hAnsi="Arial" w:cs="Arial"/>
          <w:b/>
        </w:rPr>
      </w:pPr>
      <w:r>
        <w:rPr>
          <w:rFonts w:ascii="Arial" w:hAnsi="Arial" w:cs="Arial"/>
          <w:b/>
        </w:rPr>
        <w:t xml:space="preserve"> Efectos de la resolución.</w:t>
      </w:r>
    </w:p>
    <w:p w:rsidR="000E66E7" w:rsidRDefault="000E66E7">
      <w:pPr>
        <w:pStyle w:val="Prrafodelista"/>
        <w:spacing w:line="276" w:lineRule="auto"/>
        <w:jc w:val="both"/>
        <w:rPr>
          <w:rFonts w:ascii="Arial" w:hAnsi="Arial" w:cs="Arial"/>
          <w:b/>
        </w:rPr>
      </w:pP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b/>
        </w:rPr>
      </w:pPr>
      <w:r>
        <w:rPr>
          <w:rFonts w:ascii="Arial" w:hAnsi="Arial" w:cs="Arial"/>
        </w:rPr>
        <w:t xml:space="preserve">El Comité de Transparencia en Pleno determinó </w:t>
      </w:r>
      <w:r>
        <w:rPr>
          <w:rFonts w:ascii="Arial" w:hAnsi="Arial" w:cs="Arial"/>
          <w:b/>
        </w:rPr>
        <w:t>procedente confirmar el Acuerdo de Reserva Total</w:t>
      </w:r>
      <w:r>
        <w:rPr>
          <w:rFonts w:ascii="Arial" w:hAnsi="Arial" w:cs="Arial"/>
        </w:rPr>
        <w:t xml:space="preserve"> número </w:t>
      </w:r>
      <w:r>
        <w:rPr>
          <w:rFonts w:ascii="Arial" w:hAnsi="Arial" w:cs="Arial"/>
          <w:b/>
        </w:rPr>
        <w:t xml:space="preserve">AR/1/2024, </w:t>
      </w:r>
      <w:r>
        <w:rPr>
          <w:rFonts w:ascii="Arial" w:hAnsi="Arial" w:cs="Arial"/>
        </w:rPr>
        <w:t xml:space="preserve">emitido por el </w:t>
      </w:r>
      <w:r>
        <w:rPr>
          <w:rFonts w:ascii="Arial" w:hAnsi="Arial" w:cs="Arial"/>
          <w:b/>
        </w:rPr>
        <w:t>Licenciado Juan Manuel Willie Rosillo Titular del Órgano Interno de Control</w:t>
      </w:r>
      <w:r>
        <w:rPr>
          <w:rFonts w:ascii="Arial" w:hAnsi="Arial" w:cs="Arial"/>
        </w:rPr>
        <w:t xml:space="preserve"> de la Fiscalía General del Estado de fecha </w:t>
      </w:r>
      <w:r>
        <w:rPr>
          <w:rFonts w:ascii="Arial" w:hAnsi="Arial" w:cs="Arial"/>
          <w:b/>
        </w:rPr>
        <w:t xml:space="preserve">02 de febrero 2024. </w:t>
      </w: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Se instruye al </w:t>
      </w:r>
      <w:r>
        <w:rPr>
          <w:rFonts w:ascii="Arial" w:hAnsi="Arial" w:cs="Arial"/>
          <w:b/>
        </w:rPr>
        <w:t>Licenciado Juan Manuel Willie Rosillo Titular del Órgano Interno de Control</w:t>
      </w:r>
      <w:r>
        <w:rPr>
          <w:rFonts w:ascii="Arial" w:hAnsi="Arial" w:cs="Arial"/>
        </w:rPr>
        <w:t xml:space="preserve"> de la Fiscalía General del Estado que notifique a los Titulares de las diversas áreas de la Institución que deberán de conocer esta resolución.</w:t>
      </w:r>
    </w:p>
    <w:p w:rsidR="000E66E7" w:rsidRDefault="000E66E7">
      <w:pPr>
        <w:spacing w:line="276" w:lineRule="auto"/>
        <w:jc w:val="both"/>
        <w:rPr>
          <w:rFonts w:ascii="Arial" w:hAnsi="Arial" w:cs="Arial"/>
        </w:rPr>
      </w:pPr>
    </w:p>
    <w:p w:rsidR="000E66E7" w:rsidRDefault="00B22B99">
      <w:pPr>
        <w:pStyle w:val="Sinespaciado"/>
        <w:spacing w:line="276" w:lineRule="auto"/>
        <w:jc w:val="both"/>
        <w:rPr>
          <w:rFonts w:ascii="Arial" w:eastAsiaTheme="minorEastAsia" w:hAnsi="Arial" w:cs="Arial"/>
          <w:sz w:val="24"/>
          <w:szCs w:val="24"/>
          <w:lang w:eastAsia="es-ES"/>
        </w:rPr>
      </w:pPr>
      <w:r>
        <w:rPr>
          <w:rFonts w:ascii="Arial" w:eastAsiaTheme="minorEastAsia" w:hAnsi="Arial" w:cs="Arial"/>
          <w:sz w:val="24"/>
          <w:szCs w:val="24"/>
          <w:lang w:eastAsia="es-ES"/>
        </w:rPr>
        <w:t xml:space="preserve">Respecto al cumplimiento a las obligaciones en materia de transparencia señaladas en el artículo 84 fracción XVII de la LTAIPSLP el </w:t>
      </w:r>
      <w:r>
        <w:rPr>
          <w:rFonts w:ascii="Arial" w:eastAsiaTheme="minorEastAsia" w:hAnsi="Arial" w:cs="Arial"/>
          <w:b/>
          <w:sz w:val="24"/>
          <w:szCs w:val="24"/>
          <w:lang w:eastAsia="es-ES"/>
        </w:rPr>
        <w:t>Licenciado Juan Manuel Willie Rosillo Titular del Órgano Interno de Control de la Fiscalía General del Estado</w:t>
      </w:r>
      <w:r>
        <w:rPr>
          <w:rFonts w:ascii="Arial" w:eastAsiaTheme="minorEastAsia" w:hAnsi="Arial" w:cs="Arial"/>
          <w:sz w:val="24"/>
          <w:szCs w:val="24"/>
          <w:lang w:eastAsia="es-ES"/>
        </w:rPr>
        <w:t xml:space="preserve">, deberá de hacerlo en términos de la LTAIPSLP, y de los –LGCDIEVP-, analizando los rubros aquí reservados caso por caso. </w:t>
      </w:r>
    </w:p>
    <w:p w:rsidR="000E66E7" w:rsidRDefault="000E66E7">
      <w:pPr>
        <w:pStyle w:val="Sinespaciado"/>
        <w:spacing w:line="276" w:lineRule="auto"/>
        <w:jc w:val="both"/>
        <w:rPr>
          <w:rFonts w:ascii="Arial" w:eastAsiaTheme="minorEastAsia" w:hAnsi="Arial" w:cs="Arial"/>
          <w:sz w:val="24"/>
          <w:szCs w:val="24"/>
          <w:lang w:eastAsia="es-ES"/>
        </w:rPr>
      </w:pPr>
    </w:p>
    <w:p w:rsidR="000E66E7" w:rsidRDefault="00B22B99">
      <w:pPr>
        <w:widowControl w:val="0"/>
        <w:spacing w:line="276" w:lineRule="auto"/>
        <w:jc w:val="both"/>
        <w:rPr>
          <w:rFonts w:ascii="Arial" w:hAnsi="Arial" w:cs="Arial"/>
        </w:rPr>
      </w:pPr>
      <w:r>
        <w:rPr>
          <w:rFonts w:ascii="Arial" w:hAnsi="Arial" w:cs="Arial"/>
        </w:rPr>
        <w:t xml:space="preserve">Se instruye al </w:t>
      </w:r>
      <w:r>
        <w:rPr>
          <w:rFonts w:ascii="Arial" w:hAnsi="Arial" w:cs="Arial"/>
          <w:b/>
        </w:rPr>
        <w:t>Licenciado Juan Manuel Willie Rosillo Titular del Órgano Interno de Control</w:t>
      </w:r>
      <w:r>
        <w:rPr>
          <w:rFonts w:ascii="Arial" w:hAnsi="Arial" w:cs="Arial"/>
        </w:rPr>
        <w:t xml:space="preserve"> de la Fiscalía General del Estado para que realice las anotaciones correspondientes en los documentos clasificados como </w:t>
      </w:r>
      <w:r>
        <w:rPr>
          <w:rFonts w:ascii="Arial" w:hAnsi="Arial" w:cs="Arial"/>
          <w:b/>
        </w:rPr>
        <w:t>reservados</w:t>
      </w:r>
      <w:r>
        <w:rPr>
          <w:rFonts w:ascii="Arial" w:hAnsi="Arial" w:cs="Arial"/>
        </w:rPr>
        <w:t>, de conformidad con el artículo 121 de la LTAIPSLP, concatenado con el lineamiento Quincuagésimo Primero de los –LGCDIEVP-.</w:t>
      </w:r>
    </w:p>
    <w:p w:rsidR="000E66E7" w:rsidRDefault="000E66E7">
      <w:pPr>
        <w:widowControl w:val="0"/>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w:t>
      </w:r>
      <w:r>
        <w:rPr>
          <w:rFonts w:ascii="Arial" w:hAnsi="Arial" w:cs="Arial"/>
        </w:rPr>
        <w:lastRenderedPageBreak/>
        <w:t>de Transparencia de la Fiscalía General del Estado de San Luis Potosí, así como los lineamientos para su funcionamiento”, se:</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jc w:val="center"/>
        <w:rPr>
          <w:rFonts w:ascii="Arial" w:hAnsi="Arial" w:cs="Arial"/>
          <w:b/>
        </w:rPr>
      </w:pPr>
      <w:r>
        <w:rPr>
          <w:rFonts w:ascii="Arial" w:hAnsi="Arial" w:cs="Arial"/>
          <w:b/>
        </w:rPr>
        <w:t>RESUELVE POR UNANIMIDAD:</w:t>
      </w: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hAnsi="Arial" w:cs="Arial"/>
          <w:b/>
        </w:rPr>
        <w:t>Acuerdo de Reserva Total</w:t>
      </w:r>
      <w:r>
        <w:rPr>
          <w:rFonts w:ascii="Arial" w:hAnsi="Arial" w:cs="Arial"/>
        </w:rPr>
        <w:t xml:space="preserve"> número </w:t>
      </w:r>
      <w:r>
        <w:rPr>
          <w:rFonts w:ascii="Arial" w:hAnsi="Arial" w:cs="Arial"/>
          <w:b/>
        </w:rPr>
        <w:t xml:space="preserve">AR/1/2024, </w:t>
      </w:r>
      <w:r>
        <w:rPr>
          <w:rFonts w:ascii="Arial" w:hAnsi="Arial" w:cs="Arial"/>
        </w:rPr>
        <w:t xml:space="preserve">de fecha </w:t>
      </w:r>
      <w:r>
        <w:rPr>
          <w:rFonts w:ascii="Arial" w:hAnsi="Arial" w:cs="Arial"/>
          <w:b/>
        </w:rPr>
        <w:t>02 febrero 2024,</w:t>
      </w:r>
      <w:r>
        <w:rPr>
          <w:rFonts w:ascii="Arial" w:hAnsi="Arial" w:cs="Arial"/>
        </w:rPr>
        <w:t xml:space="preserve"> emitido por el </w:t>
      </w:r>
      <w:r>
        <w:rPr>
          <w:rFonts w:ascii="Arial" w:hAnsi="Arial" w:cs="Arial"/>
          <w:b/>
        </w:rPr>
        <w:t>Licenciado Juan Manuel Willie Rosillo Titular del Órgano Interno de Control</w:t>
      </w:r>
      <w:r>
        <w:rPr>
          <w:rFonts w:ascii="Arial" w:hAnsi="Arial" w:cs="Arial"/>
        </w:rPr>
        <w:t xml:space="preserve"> de la Fiscalía General del Estado, por las razones y fundamentos expuestos en el considerando </w:t>
      </w:r>
      <w:r>
        <w:rPr>
          <w:rFonts w:ascii="Arial" w:hAnsi="Arial" w:cs="Arial"/>
          <w:b/>
        </w:rPr>
        <w:t>TERCERO</w:t>
      </w:r>
      <w:r>
        <w:rPr>
          <w:rFonts w:ascii="Arial" w:hAnsi="Arial" w:cs="Arial"/>
        </w:rPr>
        <w:t xml:space="preserve"> de la presente resolución. </w:t>
      </w:r>
    </w:p>
    <w:p w:rsidR="000E66E7" w:rsidRDefault="000E66E7">
      <w:pPr>
        <w:pStyle w:val="Texto"/>
        <w:spacing w:after="0" w:line="276" w:lineRule="auto"/>
        <w:ind w:firstLine="0"/>
        <w:rPr>
          <w:b/>
          <w:sz w:val="24"/>
          <w:szCs w:val="24"/>
          <w:lang w:val="es-MX"/>
        </w:rPr>
      </w:pPr>
    </w:p>
    <w:p w:rsidR="002B5530" w:rsidRDefault="002B5530">
      <w:pPr>
        <w:pStyle w:val="Texto"/>
        <w:spacing w:after="0" w:line="276" w:lineRule="auto"/>
        <w:ind w:firstLine="0"/>
        <w:rPr>
          <w:b/>
          <w:sz w:val="24"/>
          <w:szCs w:val="24"/>
          <w:lang w:val="es-MX"/>
        </w:rPr>
      </w:pPr>
    </w:p>
    <w:p w:rsidR="000E66E7" w:rsidRDefault="00B22B99">
      <w:pPr>
        <w:tabs>
          <w:tab w:val="left" w:pos="8789"/>
        </w:tabs>
        <w:spacing w:line="276" w:lineRule="auto"/>
        <w:ind w:right="49"/>
        <w:jc w:val="both"/>
        <w:rPr>
          <w:rFonts w:ascii="Arial" w:hAnsi="Arial" w:cs="Arial"/>
        </w:rPr>
      </w:pPr>
      <w:r>
        <w:rPr>
          <w:rFonts w:ascii="Arial" w:hAnsi="Arial" w:cs="Arial"/>
          <w:b/>
        </w:rPr>
        <w:t xml:space="preserve">SEGUNDO. </w:t>
      </w:r>
      <w:r>
        <w:rPr>
          <w:rFonts w:ascii="Arial" w:hAnsi="Arial" w:cs="Arial"/>
        </w:rPr>
        <w:t xml:space="preserve">Se instruye </w:t>
      </w:r>
      <w:r>
        <w:rPr>
          <w:rFonts w:ascii="Arial" w:hAnsi="Arial" w:cs="Arial"/>
          <w:b/>
        </w:rPr>
        <w:t>Licenciado Juan Manuel Willie Rosillo Titular del Órgano Interno de Control</w:t>
      </w:r>
      <w:r>
        <w:rPr>
          <w:rFonts w:ascii="Arial" w:hAnsi="Arial" w:cs="Arial"/>
        </w:rPr>
        <w:t xml:space="preserve"> de la Fiscalía General del Estado para que dé cumplimiento a los efectos de la presente resolución.</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spacing w:line="276" w:lineRule="auto"/>
        <w:jc w:val="both"/>
        <w:rPr>
          <w:rFonts w:ascii="Arial" w:hAnsi="Arial" w:cs="Arial"/>
        </w:rPr>
      </w:pPr>
      <w:r>
        <w:rPr>
          <w:rFonts w:ascii="Arial" w:hAnsi="Arial" w:cs="Arial"/>
          <w:b/>
        </w:rPr>
        <w:t xml:space="preserve">TERCERO. </w:t>
      </w:r>
      <w:r>
        <w:rPr>
          <w:rFonts w:ascii="Arial" w:hAnsi="Arial" w:cs="Arial"/>
        </w:rPr>
        <w:t xml:space="preserve">El </w:t>
      </w:r>
      <w:r>
        <w:rPr>
          <w:rFonts w:ascii="Arial" w:hAnsi="Arial" w:cs="Arial"/>
          <w:b/>
        </w:rPr>
        <w:t>Licenciado Juan Manuel Willie Rosillo Titular del Órgano Interno de Control</w:t>
      </w:r>
      <w:r>
        <w:rPr>
          <w:rFonts w:ascii="Arial" w:hAnsi="Arial" w:cs="Arial"/>
        </w:rPr>
        <w:t xml:space="preserve"> de la Fiscalía General del Estado, debe solicitar la desclasificación una vez que hayan fenecido las causas que dieron origen a la reserva o haya concluido el plazo establecido en el Considerando Tercero punto III de la presente resolución.</w:t>
      </w:r>
    </w:p>
    <w:p w:rsidR="000E66E7" w:rsidRDefault="000E66E7">
      <w:pPr>
        <w:spacing w:line="276" w:lineRule="auto"/>
        <w:jc w:val="both"/>
        <w:rPr>
          <w:rFonts w:ascii="Arial" w:hAnsi="Arial" w:cs="Arial"/>
        </w:rPr>
      </w:pPr>
    </w:p>
    <w:p w:rsidR="002B5530" w:rsidRDefault="002B5530">
      <w:pPr>
        <w:spacing w:line="276" w:lineRule="auto"/>
        <w:jc w:val="both"/>
        <w:rPr>
          <w:rFonts w:ascii="Arial" w:hAnsi="Arial" w:cs="Arial"/>
        </w:rPr>
      </w:pPr>
    </w:p>
    <w:p w:rsidR="000E66E7" w:rsidRDefault="00B22B99">
      <w:pPr>
        <w:tabs>
          <w:tab w:val="left" w:pos="8789"/>
        </w:tabs>
        <w:spacing w:line="276" w:lineRule="auto"/>
        <w:ind w:right="49"/>
        <w:jc w:val="both"/>
        <w:rPr>
          <w:rFonts w:ascii="Arial" w:hAnsi="Arial" w:cs="Arial"/>
        </w:rPr>
      </w:pPr>
      <w:r>
        <w:rPr>
          <w:rFonts w:ascii="Arial" w:hAnsi="Arial" w:cs="Arial"/>
          <w:b/>
        </w:rPr>
        <w:t xml:space="preserve">CUARTO. </w:t>
      </w:r>
      <w:r>
        <w:rPr>
          <w:rFonts w:ascii="Arial" w:hAnsi="Arial" w:cs="Arial"/>
        </w:rPr>
        <w:t xml:space="preserve">Se instruye al </w:t>
      </w:r>
      <w:r>
        <w:rPr>
          <w:rFonts w:ascii="Arial" w:hAnsi="Arial" w:cs="Arial"/>
          <w:b/>
        </w:rPr>
        <w:t>Licenciado Juan Manuel Willie Rosillo Titular del Órgano Interno de Control</w:t>
      </w:r>
      <w:r>
        <w:rPr>
          <w:rFonts w:ascii="Arial" w:hAnsi="Arial" w:cs="Arial"/>
        </w:rPr>
        <w:t xml:space="preserve"> de la Fiscalía General del Estado para que dé cumplimiento a los efectos de la presente resolución.</w:t>
      </w:r>
    </w:p>
    <w:p w:rsidR="000E66E7" w:rsidRDefault="000E66E7">
      <w:pPr>
        <w:widowControl w:val="0"/>
        <w:spacing w:line="276" w:lineRule="auto"/>
        <w:jc w:val="both"/>
        <w:rPr>
          <w:rFonts w:ascii="Arial" w:hAnsi="Arial" w:cs="Arial"/>
        </w:rPr>
      </w:pPr>
    </w:p>
    <w:p w:rsidR="002B5530" w:rsidRDefault="002B5530">
      <w:pPr>
        <w:widowControl w:val="0"/>
        <w:spacing w:line="276" w:lineRule="auto"/>
        <w:jc w:val="both"/>
        <w:rPr>
          <w:rFonts w:ascii="Arial" w:hAnsi="Arial" w:cs="Arial"/>
        </w:rPr>
      </w:pPr>
    </w:p>
    <w:p w:rsidR="000E66E7" w:rsidRDefault="00B22B99">
      <w:pPr>
        <w:spacing w:line="276" w:lineRule="auto"/>
        <w:jc w:val="both"/>
        <w:rPr>
          <w:rFonts w:ascii="Arial" w:hAnsi="Arial" w:cs="Arial"/>
          <w:b/>
        </w:rPr>
      </w:pPr>
      <w:r w:rsidRPr="00FF2771">
        <w:rPr>
          <w:rFonts w:ascii="Arial" w:hAnsi="Arial" w:cs="Arial"/>
        </w:rPr>
        <w:t xml:space="preserve">Es preciso dejar asentado que, con el fin de que el Comité de Transparencia lleve un control interno de todas y cada una de las resoluciones que emite, se le asigna el consecutivo </w:t>
      </w:r>
      <w:r w:rsidRPr="00FF2771">
        <w:rPr>
          <w:rFonts w:ascii="Arial" w:hAnsi="Arial" w:cs="Arial"/>
          <w:b/>
        </w:rPr>
        <w:t>FGE-CT-AR-11-2024</w:t>
      </w:r>
      <w:r>
        <w:rPr>
          <w:rFonts w:ascii="Arial" w:hAnsi="Arial" w:cs="Arial"/>
          <w:b/>
        </w:rPr>
        <w:t>.</w:t>
      </w:r>
    </w:p>
    <w:p w:rsidR="00B22B99" w:rsidRDefault="00B22B99">
      <w:pPr>
        <w:spacing w:line="276" w:lineRule="auto"/>
        <w:jc w:val="both"/>
        <w:rPr>
          <w:rFonts w:ascii="Arial" w:hAnsi="Arial" w:cs="Arial"/>
          <w:b/>
        </w:rPr>
      </w:pPr>
    </w:p>
    <w:p w:rsidR="000E66E7" w:rsidRDefault="00B22B99">
      <w:pPr>
        <w:spacing w:line="276" w:lineRule="auto"/>
        <w:jc w:val="both"/>
        <w:rPr>
          <w:rFonts w:ascii="Arial" w:hAnsi="Arial" w:cs="Arial"/>
        </w:rPr>
      </w:pPr>
      <w:r>
        <w:rPr>
          <w:rFonts w:ascii="Arial" w:hAnsi="Arial" w:cs="Arial"/>
        </w:rPr>
        <w:lastRenderedPageBreak/>
        <w:t>En cumplimiento a lo establecido por el artículo 128 fracción IX, de la –LTAIPSLP-, así como el Lineamiento Quincuagésimo primero, fracción V de los LGPCDIEVP, se procede a rubricar la presente resolución.</w:t>
      </w:r>
    </w:p>
    <w:p w:rsidR="000E66E7" w:rsidRDefault="000E66E7">
      <w:pPr>
        <w:spacing w:line="276" w:lineRule="auto"/>
        <w:rPr>
          <w:rFonts w:ascii="Arial" w:hAnsi="Arial" w:cs="Arial"/>
        </w:rPr>
      </w:pP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0E66E7">
      <w:pPr>
        <w:spacing w:line="276" w:lineRule="auto"/>
        <w:jc w:val="both"/>
        <w:rPr>
          <w:rFonts w:ascii="Arial" w:hAnsi="Arial" w:cs="Arial"/>
        </w:rPr>
      </w:pPr>
    </w:p>
    <w:p w:rsidR="000E66E7" w:rsidRDefault="00B22B99">
      <w:pPr>
        <w:spacing w:line="276" w:lineRule="auto"/>
        <w:rPr>
          <w:rFonts w:ascii="Arial" w:hAnsi="Arial" w:cs="Arial"/>
        </w:rPr>
      </w:pPr>
      <w:r>
        <w:rPr>
          <w:rFonts w:ascii="Arial" w:hAnsi="Arial" w:cs="Arial"/>
        </w:rPr>
        <w:t>____________________________________</w:t>
      </w:r>
    </w:p>
    <w:p w:rsidR="000E66E7" w:rsidRDefault="00B22B99">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0E66E7" w:rsidRDefault="00B22B99">
      <w:pPr>
        <w:tabs>
          <w:tab w:val="left" w:pos="8998"/>
          <w:tab w:val="left" w:pos="9932"/>
        </w:tabs>
        <w:spacing w:before="20" w:line="276" w:lineRule="auto"/>
        <w:rPr>
          <w:rFonts w:ascii="Arial" w:eastAsia="Arial" w:hAnsi="Arial" w:cs="Arial"/>
          <w:b/>
        </w:rPr>
      </w:pPr>
      <w:r>
        <w:rPr>
          <w:rFonts w:ascii="Arial" w:eastAsia="Arial" w:hAnsi="Arial" w:cs="Arial"/>
          <w:b/>
        </w:rPr>
        <w:t>VICEFISCAL JURIDICA Y PRESIDENTA DEL</w:t>
      </w:r>
    </w:p>
    <w:p w:rsidR="000E66E7" w:rsidRDefault="00B22B99">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0E66E7" w:rsidRDefault="00B22B99">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0E66E7" w:rsidRDefault="000E66E7">
      <w:pPr>
        <w:tabs>
          <w:tab w:val="left" w:pos="8998"/>
          <w:tab w:val="left" w:pos="9932"/>
        </w:tabs>
        <w:spacing w:before="20" w:line="276" w:lineRule="auto"/>
        <w:rPr>
          <w:rFonts w:ascii="Arial" w:eastAsia="Arial" w:hAnsi="Arial" w:cs="Arial"/>
          <w:b/>
        </w:rPr>
      </w:pPr>
    </w:p>
    <w:p w:rsidR="000E66E7" w:rsidRDefault="000E66E7">
      <w:pPr>
        <w:tabs>
          <w:tab w:val="left" w:pos="8998"/>
          <w:tab w:val="left" w:pos="9932"/>
        </w:tabs>
        <w:spacing w:before="20" w:line="276" w:lineRule="auto"/>
        <w:rPr>
          <w:rFonts w:ascii="Arial" w:eastAsia="Arial" w:hAnsi="Arial" w:cs="Arial"/>
          <w:b/>
        </w:rPr>
      </w:pPr>
    </w:p>
    <w:p w:rsidR="000E66E7" w:rsidRDefault="000E66E7">
      <w:pPr>
        <w:tabs>
          <w:tab w:val="left" w:pos="8998"/>
          <w:tab w:val="left" w:pos="9932"/>
        </w:tabs>
        <w:spacing w:before="20" w:line="276" w:lineRule="auto"/>
        <w:rPr>
          <w:rFonts w:ascii="Arial" w:eastAsia="Arial" w:hAnsi="Arial" w:cs="Arial"/>
          <w:b/>
        </w:rPr>
      </w:pPr>
    </w:p>
    <w:p w:rsidR="000E66E7" w:rsidRDefault="000E66E7">
      <w:pPr>
        <w:tabs>
          <w:tab w:val="left" w:pos="8998"/>
          <w:tab w:val="left" w:pos="9932"/>
        </w:tabs>
        <w:spacing w:before="20" w:line="276" w:lineRule="auto"/>
        <w:rPr>
          <w:rFonts w:ascii="Arial" w:eastAsia="Arial" w:hAnsi="Arial" w:cs="Arial"/>
          <w:b/>
        </w:rPr>
      </w:pPr>
    </w:p>
    <w:p w:rsidR="000E66E7" w:rsidRDefault="00B22B99">
      <w:pPr>
        <w:spacing w:line="276" w:lineRule="auto"/>
        <w:jc w:val="both"/>
        <w:rPr>
          <w:rFonts w:ascii="Arial" w:hAnsi="Arial" w:cs="Arial"/>
        </w:rPr>
      </w:pPr>
      <w:r>
        <w:rPr>
          <w:rFonts w:ascii="Arial" w:hAnsi="Arial" w:cs="Arial"/>
        </w:rPr>
        <w:t>_____________________________________</w:t>
      </w:r>
    </w:p>
    <w:p w:rsidR="000E66E7" w:rsidRDefault="00B22B99">
      <w:pPr>
        <w:spacing w:line="276" w:lineRule="auto"/>
        <w:rPr>
          <w:rFonts w:ascii="Arial" w:hAnsi="Arial" w:cs="Arial"/>
          <w:b/>
        </w:rPr>
      </w:pPr>
      <w:r>
        <w:rPr>
          <w:rFonts w:ascii="Arial" w:hAnsi="Arial" w:cs="Arial"/>
          <w:b/>
        </w:rPr>
        <w:t>LICENCIADO DOROTEO PAREDES GRANADO</w:t>
      </w:r>
    </w:p>
    <w:p w:rsidR="000E66E7" w:rsidRDefault="00B22B99">
      <w:pPr>
        <w:spacing w:line="276" w:lineRule="auto"/>
        <w:rPr>
          <w:rFonts w:ascii="Arial" w:hAnsi="Arial" w:cs="Arial"/>
          <w:b/>
        </w:rPr>
      </w:pPr>
      <w:r>
        <w:rPr>
          <w:rFonts w:ascii="Arial" w:hAnsi="Arial" w:cs="Arial"/>
          <w:b/>
        </w:rPr>
        <w:t>VICEFISCAL E INTEGRANTE DEL COMITÉ DE TRANSPARENCIA.</w:t>
      </w:r>
    </w:p>
    <w:p w:rsidR="000E66E7" w:rsidRDefault="000E66E7">
      <w:pPr>
        <w:spacing w:line="276" w:lineRule="auto"/>
        <w:jc w:val="both"/>
        <w:rPr>
          <w:rFonts w:ascii="Arial" w:hAnsi="Arial" w:cs="Arial"/>
          <w:b/>
        </w:rPr>
      </w:pPr>
    </w:p>
    <w:p w:rsidR="000E66E7" w:rsidRDefault="000E66E7">
      <w:pPr>
        <w:spacing w:line="276" w:lineRule="auto"/>
        <w:jc w:val="both"/>
        <w:rPr>
          <w:rFonts w:ascii="Arial" w:hAnsi="Arial" w:cs="Arial"/>
          <w:b/>
        </w:rPr>
      </w:pPr>
    </w:p>
    <w:p w:rsidR="000E66E7" w:rsidRDefault="000E66E7">
      <w:pPr>
        <w:spacing w:line="276" w:lineRule="auto"/>
        <w:jc w:val="both"/>
        <w:rPr>
          <w:rFonts w:ascii="Arial" w:hAnsi="Arial" w:cs="Arial"/>
          <w:b/>
        </w:rPr>
      </w:pPr>
    </w:p>
    <w:p w:rsidR="000E66E7" w:rsidRDefault="000E66E7">
      <w:pPr>
        <w:spacing w:line="276" w:lineRule="auto"/>
        <w:jc w:val="both"/>
        <w:rPr>
          <w:rFonts w:ascii="Arial" w:hAnsi="Arial" w:cs="Arial"/>
          <w:b/>
        </w:rPr>
      </w:pPr>
    </w:p>
    <w:p w:rsidR="000E66E7" w:rsidRDefault="00B22B99">
      <w:pPr>
        <w:spacing w:line="276" w:lineRule="auto"/>
        <w:jc w:val="both"/>
        <w:rPr>
          <w:rFonts w:ascii="Arial" w:hAnsi="Arial" w:cs="Arial"/>
        </w:rPr>
      </w:pPr>
      <w:r>
        <w:rPr>
          <w:rFonts w:ascii="Arial" w:hAnsi="Arial" w:cs="Arial"/>
        </w:rPr>
        <w:t>_____________________________________</w:t>
      </w:r>
    </w:p>
    <w:p w:rsidR="000E66E7" w:rsidRDefault="00B22B9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0E66E7" w:rsidRDefault="00B22B99">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0E66E7">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13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7CFE" w:rsidRDefault="00B57CFE">
      <w:r>
        <w:separator/>
      </w:r>
    </w:p>
  </w:endnote>
  <w:endnote w:type="continuationSeparator" w:id="0">
    <w:p w:rsidR="00B57CFE" w:rsidRDefault="00B57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SimSu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022" w:rsidRDefault="008C4022">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6E7" w:rsidRDefault="00B22B99">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0288"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p>
  <w:p w:rsidR="000E66E7" w:rsidRDefault="000E66E7">
    <w:pPr>
      <w:pStyle w:val="Piedepgina"/>
      <w:jc w:val="right"/>
      <w:rPr>
        <w:rFonts w:ascii="Arial" w:hAnsi="Arial" w:cs="Arial"/>
        <w:color w:val="000000" w:themeColor="text1"/>
        <w:sz w:val="13"/>
      </w:rPr>
    </w:pPr>
  </w:p>
  <w:p w:rsidR="000E66E7" w:rsidRDefault="000E66E7">
    <w:pPr>
      <w:pStyle w:val="Piedepgina"/>
      <w:jc w:val="right"/>
      <w:rPr>
        <w:rFonts w:ascii="Arial" w:hAnsi="Arial" w:cs="Arial"/>
        <w:color w:val="000000" w:themeColor="text1"/>
        <w:sz w:val="13"/>
      </w:rPr>
    </w:pPr>
  </w:p>
  <w:p w:rsidR="000E66E7" w:rsidRDefault="000E66E7">
    <w:pPr>
      <w:pStyle w:val="Piedepgina"/>
      <w:jc w:val="right"/>
      <w:rPr>
        <w:rFonts w:ascii="Arial" w:hAnsi="Arial" w:cs="Arial"/>
        <w:color w:val="000000" w:themeColor="text1"/>
        <w:sz w:val="13"/>
      </w:rPr>
    </w:pPr>
  </w:p>
  <w:p w:rsidR="000E66E7" w:rsidRDefault="00B22B99">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0E66E7" w:rsidRDefault="00B22B99">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0E66E7" w:rsidRDefault="00B22B99">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0E66E7" w:rsidRDefault="00B22B99">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0E66E7" w:rsidRDefault="00B22B99">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0E66E7" w:rsidRDefault="000E66E7">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022" w:rsidRDefault="008C402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7CFE" w:rsidRDefault="00B57CFE">
      <w:r>
        <w:separator/>
      </w:r>
    </w:p>
  </w:footnote>
  <w:footnote w:type="continuationSeparator" w:id="0">
    <w:p w:rsidR="00B57CFE" w:rsidRDefault="00B57CF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022" w:rsidRDefault="008C402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337329" o:spid="_x0000_s2050"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6E7" w:rsidRDefault="008C4022">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337330" o:spid="_x0000_s2051"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lang w:eastAsia="es-MX"/>
        </w:rPr>
        <w:id w:val="526838137"/>
      </w:sdtPr>
      <w:sdtEndPr/>
      <w:sdtContent>
        <w:r w:rsidR="00B22B99">
          <w:rPr>
            <w:noProof/>
            <w:lang w:eastAsia="es-MX"/>
          </w:rPr>
          <mc:AlternateContent>
            <mc:Choice Requires="wps">
              <w:drawing>
                <wp:anchor distT="0" distB="0" distL="114300" distR="114300" simplePos="0" relativeHeight="251661312"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0E66E7" w:rsidRDefault="00B22B99">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C4022" w:rsidRPr="008C4022">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61312;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0E66E7" w:rsidRDefault="00B22B99">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C4022" w:rsidRPr="008C4022">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B22B99">
      <w:rPr>
        <w:noProof/>
        <w:lang w:eastAsia="es-MX"/>
      </w:rPr>
      <w:drawing>
        <wp:anchor distT="0" distB="0" distL="114300" distR="114300" simplePos="0" relativeHeight="251659264" behindDoc="1" locked="0" layoutInCell="1" allowOverlap="1">
          <wp:simplePos x="0" y="0"/>
          <wp:positionH relativeFrom="column">
            <wp:posOffset>-710565</wp:posOffset>
          </wp:positionH>
          <wp:positionV relativeFrom="paragraph">
            <wp:posOffset>-488315</wp:posOffset>
          </wp:positionV>
          <wp:extent cx="7896225" cy="1431290"/>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513"/>
                  </a:xfrm>
                  <a:prstGeom prst="rect">
                    <a:avLst/>
                  </a:prstGeom>
                  <a:noFill/>
                  <a:ln>
                    <a:noFill/>
                  </a:ln>
                </pic:spPr>
              </pic:pic>
            </a:graphicData>
          </a:graphic>
        </wp:anchor>
      </w:drawing>
    </w:r>
    <w:r w:rsidR="00B22B99">
      <w:rPr>
        <w:lang w:eastAsia="es-MX"/>
      </w:rPr>
      <w:t xml:space="preserve"> </w:t>
    </w:r>
    <w:r w:rsidR="00B22B99">
      <w:tab/>
    </w:r>
    <w:r w:rsidR="00B22B99">
      <w:tab/>
    </w:r>
  </w:p>
  <w:p w:rsidR="000E66E7" w:rsidRDefault="000E66E7">
    <w:pPr>
      <w:pStyle w:val="Encabezado"/>
      <w:tabs>
        <w:tab w:val="clear" w:pos="4419"/>
        <w:tab w:val="clear" w:pos="8838"/>
        <w:tab w:val="left" w:pos="812"/>
      </w:tabs>
    </w:pPr>
  </w:p>
  <w:p w:rsidR="000E66E7" w:rsidRDefault="000E66E7">
    <w:pPr>
      <w:pStyle w:val="Encabezado"/>
      <w:tabs>
        <w:tab w:val="clear" w:pos="4419"/>
        <w:tab w:val="clear" w:pos="8838"/>
        <w:tab w:val="left" w:pos="812"/>
      </w:tabs>
    </w:pPr>
  </w:p>
  <w:p w:rsidR="000E66E7" w:rsidRDefault="000E66E7">
    <w:pPr>
      <w:pStyle w:val="Encabezado"/>
      <w:tabs>
        <w:tab w:val="clear" w:pos="4419"/>
        <w:tab w:val="clear" w:pos="8838"/>
        <w:tab w:val="left" w:pos="812"/>
      </w:tabs>
    </w:pPr>
  </w:p>
  <w:p w:rsidR="000E66E7" w:rsidRDefault="00B22B99">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2336"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0E66E7" w:rsidRDefault="00B22B99">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Segunda sesión ordinaria del Comité de Transparencia. </w:t>
                          </w:r>
                          <w:r>
                            <w:rPr>
                              <w:rFonts w:ascii="Arial" w:hAnsi="Arial" w:cs="Arial"/>
                              <w:b/>
                              <w:color w:val="FFFFFF" w:themeColor="background1"/>
                              <w:sz w:val="18"/>
                              <w:szCs w:val="18"/>
                              <w:lang w:val="es-ES"/>
                            </w:rPr>
                            <w:t>Confirmación del Acuerdo de Reserva Total AR/</w:t>
                          </w:r>
                          <w:r>
                            <w:rPr>
                              <w:rFonts w:ascii="Arial" w:hAnsi="Arial" w:cs="Arial"/>
                              <w:b/>
                              <w:color w:val="FFFFFF" w:themeColor="background1"/>
                              <w:sz w:val="18"/>
                              <w:szCs w:val="18"/>
                            </w:rPr>
                            <w:t>1</w:t>
                          </w:r>
                          <w:r>
                            <w:rPr>
                              <w:rFonts w:ascii="Arial" w:hAnsi="Arial" w:cs="Arial"/>
                              <w:b/>
                              <w:color w:val="FFFFFF" w:themeColor="background1"/>
                              <w:sz w:val="18"/>
                              <w:szCs w:val="18"/>
                              <w:lang w:val="es-ES"/>
                            </w:rPr>
                            <w:t>/202</w:t>
                          </w:r>
                          <w:r>
                            <w:rPr>
                              <w:rFonts w:ascii="Arial" w:hAnsi="Arial" w:cs="Arial"/>
                              <w:b/>
                              <w:color w:val="FFFFFF" w:themeColor="background1"/>
                              <w:sz w:val="18"/>
                              <w:szCs w:val="18"/>
                            </w:rPr>
                            <w:t>4</w:t>
                          </w:r>
                          <w:r>
                            <w:rPr>
                              <w:rFonts w:ascii="Arial" w:hAnsi="Arial" w:cs="Arial"/>
                              <w:b/>
                              <w:color w:val="FFFFFF" w:themeColor="background1"/>
                              <w:sz w:val="18"/>
                              <w:szCs w:val="18"/>
                              <w:lang w:val="es-ES"/>
                            </w:rPr>
                            <w:t xml:space="preserve"> que emite el Titular del Órgano Interno de Control.</w:t>
                          </w:r>
                          <w:r w:rsidR="005962DD">
                            <w:rPr>
                              <w:rFonts w:ascii="Arial" w:hAnsi="Arial" w:cs="Arial"/>
                              <w:b/>
                              <w:color w:val="FFFFFF" w:themeColor="background1"/>
                              <w:sz w:val="18"/>
                              <w:szCs w:val="18"/>
                              <w:lang w:val="es-ES"/>
                            </w:rPr>
                            <w:t xml:space="preserve"> </w:t>
                          </w:r>
                          <w:r w:rsidR="005962DD">
                            <w:rPr>
                              <w:rFonts w:ascii="Arial" w:hAnsi="Arial" w:cs="Arial"/>
                              <w:b/>
                              <w:color w:val="FFFFFF" w:themeColor="background1"/>
                              <w:sz w:val="18"/>
                              <w:szCs w:val="18"/>
                            </w:rPr>
                            <w:t>06 de febrero 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" fillcolor="#aeaaaa [2414]" strokecolor="#0070c0" strokeweight="2.25pt">
              <v:textbox>
                <w:txbxContent>
                  <w:p w:rsidR="000E66E7" w:rsidRDefault="00B22B99">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Segunda sesión ordinaria del Comité de Transparencia. </w:t>
                    </w:r>
                    <w:r>
                      <w:rPr>
                        <w:rFonts w:ascii="Arial" w:hAnsi="Arial" w:cs="Arial"/>
                        <w:b/>
                        <w:color w:val="FFFFFF" w:themeColor="background1"/>
                        <w:sz w:val="18"/>
                        <w:szCs w:val="18"/>
                        <w:lang w:val="es-ES"/>
                      </w:rPr>
                      <w:t>Confirmación del Acuerdo de Reserva Total AR/</w:t>
                    </w:r>
                    <w:r>
                      <w:rPr>
                        <w:rFonts w:ascii="Arial" w:hAnsi="Arial" w:cs="Arial"/>
                        <w:b/>
                        <w:color w:val="FFFFFF" w:themeColor="background1"/>
                        <w:sz w:val="18"/>
                        <w:szCs w:val="18"/>
                      </w:rPr>
                      <w:t>1</w:t>
                    </w:r>
                    <w:r>
                      <w:rPr>
                        <w:rFonts w:ascii="Arial" w:hAnsi="Arial" w:cs="Arial"/>
                        <w:b/>
                        <w:color w:val="FFFFFF" w:themeColor="background1"/>
                        <w:sz w:val="18"/>
                        <w:szCs w:val="18"/>
                        <w:lang w:val="es-ES"/>
                      </w:rPr>
                      <w:t>/202</w:t>
                    </w:r>
                    <w:r>
                      <w:rPr>
                        <w:rFonts w:ascii="Arial" w:hAnsi="Arial" w:cs="Arial"/>
                        <w:b/>
                        <w:color w:val="FFFFFF" w:themeColor="background1"/>
                        <w:sz w:val="18"/>
                        <w:szCs w:val="18"/>
                      </w:rPr>
                      <w:t>4</w:t>
                    </w:r>
                    <w:r>
                      <w:rPr>
                        <w:rFonts w:ascii="Arial" w:hAnsi="Arial" w:cs="Arial"/>
                        <w:b/>
                        <w:color w:val="FFFFFF" w:themeColor="background1"/>
                        <w:sz w:val="18"/>
                        <w:szCs w:val="18"/>
                        <w:lang w:val="es-ES"/>
                      </w:rPr>
                      <w:t xml:space="preserve"> que emite el Titular del Órgano Interno de Control.</w:t>
                    </w:r>
                    <w:r w:rsidR="005962DD">
                      <w:rPr>
                        <w:rFonts w:ascii="Arial" w:hAnsi="Arial" w:cs="Arial"/>
                        <w:b/>
                        <w:color w:val="FFFFFF" w:themeColor="background1"/>
                        <w:sz w:val="18"/>
                        <w:szCs w:val="18"/>
                        <w:lang w:val="es-ES"/>
                      </w:rPr>
                      <w:t xml:space="preserve"> </w:t>
                    </w:r>
                    <w:r w:rsidR="005962DD">
                      <w:rPr>
                        <w:rFonts w:ascii="Arial" w:hAnsi="Arial" w:cs="Arial"/>
                        <w:b/>
                        <w:color w:val="FFFFFF" w:themeColor="background1"/>
                        <w:sz w:val="18"/>
                        <w:szCs w:val="18"/>
                      </w:rPr>
                      <w:t>06 de febrero 2024.</w:t>
                    </w:r>
                  </w:p>
                </w:txbxContent>
              </v:textbox>
            </v:shape>
          </w:pict>
        </mc:Fallback>
      </mc:AlternateContent>
    </w:r>
  </w:p>
  <w:p w:rsidR="000E66E7" w:rsidRDefault="000E66E7">
    <w:pPr>
      <w:pStyle w:val="Encabezado"/>
      <w:tabs>
        <w:tab w:val="clear" w:pos="4419"/>
        <w:tab w:val="clear" w:pos="8838"/>
        <w:tab w:val="left" w:pos="812"/>
      </w:tabs>
    </w:pPr>
  </w:p>
  <w:p w:rsidR="000E66E7" w:rsidRDefault="000E66E7">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022" w:rsidRDefault="008C4022">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337328" o:spid="_x0000_s2049"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1757"/>
    <w:rsid w:val="00012344"/>
    <w:rsid w:val="00014837"/>
    <w:rsid w:val="000215E3"/>
    <w:rsid w:val="000316F8"/>
    <w:rsid w:val="00043EA6"/>
    <w:rsid w:val="0004691F"/>
    <w:rsid w:val="00047BEE"/>
    <w:rsid w:val="000502DA"/>
    <w:rsid w:val="000516AB"/>
    <w:rsid w:val="00060363"/>
    <w:rsid w:val="00066032"/>
    <w:rsid w:val="0006789D"/>
    <w:rsid w:val="00074CBB"/>
    <w:rsid w:val="0009152F"/>
    <w:rsid w:val="00092311"/>
    <w:rsid w:val="00097461"/>
    <w:rsid w:val="000A001A"/>
    <w:rsid w:val="000B4E59"/>
    <w:rsid w:val="000B4E6F"/>
    <w:rsid w:val="000B5998"/>
    <w:rsid w:val="000C04FF"/>
    <w:rsid w:val="000C09C1"/>
    <w:rsid w:val="000C7192"/>
    <w:rsid w:val="000D536E"/>
    <w:rsid w:val="000E151A"/>
    <w:rsid w:val="000E33F8"/>
    <w:rsid w:val="000E66E7"/>
    <w:rsid w:val="000E6D81"/>
    <w:rsid w:val="000F1388"/>
    <w:rsid w:val="000F25C5"/>
    <w:rsid w:val="000F34F2"/>
    <w:rsid w:val="00104B37"/>
    <w:rsid w:val="0010725A"/>
    <w:rsid w:val="001112A7"/>
    <w:rsid w:val="001122B3"/>
    <w:rsid w:val="00117688"/>
    <w:rsid w:val="00122709"/>
    <w:rsid w:val="00131153"/>
    <w:rsid w:val="0013153A"/>
    <w:rsid w:val="00133220"/>
    <w:rsid w:val="00134A88"/>
    <w:rsid w:val="0013784F"/>
    <w:rsid w:val="00137B6F"/>
    <w:rsid w:val="0014081F"/>
    <w:rsid w:val="00140DD7"/>
    <w:rsid w:val="001451AC"/>
    <w:rsid w:val="00155DB1"/>
    <w:rsid w:val="001569ED"/>
    <w:rsid w:val="00157A2B"/>
    <w:rsid w:val="00160079"/>
    <w:rsid w:val="0016273D"/>
    <w:rsid w:val="001645C1"/>
    <w:rsid w:val="00166BDA"/>
    <w:rsid w:val="00171740"/>
    <w:rsid w:val="00171FB5"/>
    <w:rsid w:val="0017368E"/>
    <w:rsid w:val="00174F96"/>
    <w:rsid w:val="00175555"/>
    <w:rsid w:val="00175F0E"/>
    <w:rsid w:val="00176FDC"/>
    <w:rsid w:val="001816A1"/>
    <w:rsid w:val="00182C9A"/>
    <w:rsid w:val="00185709"/>
    <w:rsid w:val="00192119"/>
    <w:rsid w:val="00196E5A"/>
    <w:rsid w:val="001A0FF2"/>
    <w:rsid w:val="001A1BA9"/>
    <w:rsid w:val="001A32B1"/>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16D37"/>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825DF"/>
    <w:rsid w:val="00291A4A"/>
    <w:rsid w:val="002935FF"/>
    <w:rsid w:val="002B5530"/>
    <w:rsid w:val="002B62D5"/>
    <w:rsid w:val="002C182D"/>
    <w:rsid w:val="002D0260"/>
    <w:rsid w:val="002E1A1F"/>
    <w:rsid w:val="002E6666"/>
    <w:rsid w:val="002E7CE8"/>
    <w:rsid w:val="002F210D"/>
    <w:rsid w:val="002F5CAB"/>
    <w:rsid w:val="002F7281"/>
    <w:rsid w:val="003003C1"/>
    <w:rsid w:val="00303ECE"/>
    <w:rsid w:val="00311032"/>
    <w:rsid w:val="0032003C"/>
    <w:rsid w:val="00322663"/>
    <w:rsid w:val="00326DD7"/>
    <w:rsid w:val="00330F5F"/>
    <w:rsid w:val="003311E5"/>
    <w:rsid w:val="0033544C"/>
    <w:rsid w:val="0033754B"/>
    <w:rsid w:val="00337E40"/>
    <w:rsid w:val="00340F4C"/>
    <w:rsid w:val="00342CCD"/>
    <w:rsid w:val="00345751"/>
    <w:rsid w:val="00350C59"/>
    <w:rsid w:val="0037773A"/>
    <w:rsid w:val="0038167B"/>
    <w:rsid w:val="003834BC"/>
    <w:rsid w:val="00385479"/>
    <w:rsid w:val="003924E6"/>
    <w:rsid w:val="003930E6"/>
    <w:rsid w:val="003A0D63"/>
    <w:rsid w:val="003A2C50"/>
    <w:rsid w:val="003B198E"/>
    <w:rsid w:val="003C1381"/>
    <w:rsid w:val="003C17BE"/>
    <w:rsid w:val="003C2D3B"/>
    <w:rsid w:val="003D3322"/>
    <w:rsid w:val="003D379C"/>
    <w:rsid w:val="003D6E37"/>
    <w:rsid w:val="003E03FF"/>
    <w:rsid w:val="003E74F2"/>
    <w:rsid w:val="003F4311"/>
    <w:rsid w:val="003F62EE"/>
    <w:rsid w:val="00402430"/>
    <w:rsid w:val="00404FA0"/>
    <w:rsid w:val="00405289"/>
    <w:rsid w:val="00410772"/>
    <w:rsid w:val="00420AA1"/>
    <w:rsid w:val="004231C1"/>
    <w:rsid w:val="00424F5C"/>
    <w:rsid w:val="00433942"/>
    <w:rsid w:val="00433D8C"/>
    <w:rsid w:val="00437D50"/>
    <w:rsid w:val="00440E63"/>
    <w:rsid w:val="004477C0"/>
    <w:rsid w:val="004647AD"/>
    <w:rsid w:val="00473BF0"/>
    <w:rsid w:val="00473FA8"/>
    <w:rsid w:val="00476DC3"/>
    <w:rsid w:val="004832E2"/>
    <w:rsid w:val="00485D65"/>
    <w:rsid w:val="00493C1E"/>
    <w:rsid w:val="00496189"/>
    <w:rsid w:val="00497E2D"/>
    <w:rsid w:val="004A184C"/>
    <w:rsid w:val="004B1662"/>
    <w:rsid w:val="004B2C7C"/>
    <w:rsid w:val="004B475C"/>
    <w:rsid w:val="004B58C7"/>
    <w:rsid w:val="004B6BFE"/>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A91"/>
    <w:rsid w:val="00570815"/>
    <w:rsid w:val="005753B3"/>
    <w:rsid w:val="00581A7F"/>
    <w:rsid w:val="0058247A"/>
    <w:rsid w:val="00584602"/>
    <w:rsid w:val="005962DD"/>
    <w:rsid w:val="00597895"/>
    <w:rsid w:val="005A2227"/>
    <w:rsid w:val="005B78DB"/>
    <w:rsid w:val="005C069E"/>
    <w:rsid w:val="005C319C"/>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72C3"/>
    <w:rsid w:val="0062770E"/>
    <w:rsid w:val="00627959"/>
    <w:rsid w:val="00631FA4"/>
    <w:rsid w:val="00633FD2"/>
    <w:rsid w:val="006356BE"/>
    <w:rsid w:val="00635FB1"/>
    <w:rsid w:val="00645A75"/>
    <w:rsid w:val="00653EBB"/>
    <w:rsid w:val="00656F96"/>
    <w:rsid w:val="00660EA9"/>
    <w:rsid w:val="006639DB"/>
    <w:rsid w:val="00670055"/>
    <w:rsid w:val="00677AEE"/>
    <w:rsid w:val="00687D08"/>
    <w:rsid w:val="006937A4"/>
    <w:rsid w:val="006A44DB"/>
    <w:rsid w:val="006A570F"/>
    <w:rsid w:val="006B0801"/>
    <w:rsid w:val="006B331C"/>
    <w:rsid w:val="006B4084"/>
    <w:rsid w:val="006C0831"/>
    <w:rsid w:val="006C25A9"/>
    <w:rsid w:val="006C5FA7"/>
    <w:rsid w:val="006E21D7"/>
    <w:rsid w:val="006E6D1D"/>
    <w:rsid w:val="006F077F"/>
    <w:rsid w:val="006F086E"/>
    <w:rsid w:val="006F6522"/>
    <w:rsid w:val="0070291D"/>
    <w:rsid w:val="0070596D"/>
    <w:rsid w:val="00710C84"/>
    <w:rsid w:val="00711658"/>
    <w:rsid w:val="007136AC"/>
    <w:rsid w:val="00717045"/>
    <w:rsid w:val="00717CF8"/>
    <w:rsid w:val="00723AF7"/>
    <w:rsid w:val="007248BE"/>
    <w:rsid w:val="00740F43"/>
    <w:rsid w:val="0074476D"/>
    <w:rsid w:val="007460DC"/>
    <w:rsid w:val="0074687D"/>
    <w:rsid w:val="00752DEA"/>
    <w:rsid w:val="0076137E"/>
    <w:rsid w:val="00771908"/>
    <w:rsid w:val="00774F4B"/>
    <w:rsid w:val="007768CC"/>
    <w:rsid w:val="00781D2F"/>
    <w:rsid w:val="00791B8A"/>
    <w:rsid w:val="0079342F"/>
    <w:rsid w:val="0079645E"/>
    <w:rsid w:val="007A18C2"/>
    <w:rsid w:val="007A28F6"/>
    <w:rsid w:val="007A292F"/>
    <w:rsid w:val="007B27EF"/>
    <w:rsid w:val="007B43AD"/>
    <w:rsid w:val="007C1D7B"/>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47"/>
    <w:rsid w:val="00805092"/>
    <w:rsid w:val="00812BF7"/>
    <w:rsid w:val="00814012"/>
    <w:rsid w:val="008235C2"/>
    <w:rsid w:val="00823D57"/>
    <w:rsid w:val="0082794C"/>
    <w:rsid w:val="00831099"/>
    <w:rsid w:val="00845198"/>
    <w:rsid w:val="00850661"/>
    <w:rsid w:val="00854CCF"/>
    <w:rsid w:val="0086255E"/>
    <w:rsid w:val="008669B5"/>
    <w:rsid w:val="00871464"/>
    <w:rsid w:val="008760A4"/>
    <w:rsid w:val="00876A3D"/>
    <w:rsid w:val="008777CC"/>
    <w:rsid w:val="00885156"/>
    <w:rsid w:val="00886225"/>
    <w:rsid w:val="0089199F"/>
    <w:rsid w:val="00891BAB"/>
    <w:rsid w:val="008929DA"/>
    <w:rsid w:val="008B2F16"/>
    <w:rsid w:val="008C1FCF"/>
    <w:rsid w:val="008C2B4C"/>
    <w:rsid w:val="008C4022"/>
    <w:rsid w:val="008C5A4E"/>
    <w:rsid w:val="008D1E6A"/>
    <w:rsid w:val="008D3B76"/>
    <w:rsid w:val="008D4C6C"/>
    <w:rsid w:val="008F4DEC"/>
    <w:rsid w:val="008F508A"/>
    <w:rsid w:val="009007AA"/>
    <w:rsid w:val="00904454"/>
    <w:rsid w:val="009202F3"/>
    <w:rsid w:val="00920E6D"/>
    <w:rsid w:val="00926017"/>
    <w:rsid w:val="00926C71"/>
    <w:rsid w:val="00927902"/>
    <w:rsid w:val="00930C23"/>
    <w:rsid w:val="00931B62"/>
    <w:rsid w:val="00936591"/>
    <w:rsid w:val="00943A60"/>
    <w:rsid w:val="009445F1"/>
    <w:rsid w:val="00952023"/>
    <w:rsid w:val="009527D5"/>
    <w:rsid w:val="00953594"/>
    <w:rsid w:val="00954944"/>
    <w:rsid w:val="0095660D"/>
    <w:rsid w:val="00961F3B"/>
    <w:rsid w:val="00967709"/>
    <w:rsid w:val="00973D78"/>
    <w:rsid w:val="00981293"/>
    <w:rsid w:val="00985470"/>
    <w:rsid w:val="00987CF2"/>
    <w:rsid w:val="00991CC1"/>
    <w:rsid w:val="00991EE3"/>
    <w:rsid w:val="0099252F"/>
    <w:rsid w:val="00992721"/>
    <w:rsid w:val="009A1E76"/>
    <w:rsid w:val="009A3010"/>
    <w:rsid w:val="009A4F60"/>
    <w:rsid w:val="009A51D7"/>
    <w:rsid w:val="009B3FF4"/>
    <w:rsid w:val="009C36F2"/>
    <w:rsid w:val="009C71D2"/>
    <w:rsid w:val="009D1416"/>
    <w:rsid w:val="009D3B37"/>
    <w:rsid w:val="009D3B91"/>
    <w:rsid w:val="009D498E"/>
    <w:rsid w:val="009D5B45"/>
    <w:rsid w:val="009E1324"/>
    <w:rsid w:val="009E3729"/>
    <w:rsid w:val="009E4CCF"/>
    <w:rsid w:val="009F1F56"/>
    <w:rsid w:val="009F25F5"/>
    <w:rsid w:val="009F7723"/>
    <w:rsid w:val="00A00378"/>
    <w:rsid w:val="00A027E0"/>
    <w:rsid w:val="00A11177"/>
    <w:rsid w:val="00A1332F"/>
    <w:rsid w:val="00A142C3"/>
    <w:rsid w:val="00A20C0F"/>
    <w:rsid w:val="00A21527"/>
    <w:rsid w:val="00A23464"/>
    <w:rsid w:val="00A30513"/>
    <w:rsid w:val="00A3119E"/>
    <w:rsid w:val="00A3671F"/>
    <w:rsid w:val="00A42F99"/>
    <w:rsid w:val="00A430C0"/>
    <w:rsid w:val="00A44A53"/>
    <w:rsid w:val="00A45C43"/>
    <w:rsid w:val="00A61FE0"/>
    <w:rsid w:val="00A63898"/>
    <w:rsid w:val="00A67F68"/>
    <w:rsid w:val="00A720FD"/>
    <w:rsid w:val="00A80CA3"/>
    <w:rsid w:val="00A85761"/>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7A5D"/>
    <w:rsid w:val="00B00015"/>
    <w:rsid w:val="00B0559D"/>
    <w:rsid w:val="00B06822"/>
    <w:rsid w:val="00B219F9"/>
    <w:rsid w:val="00B22B99"/>
    <w:rsid w:val="00B3003C"/>
    <w:rsid w:val="00B34B1F"/>
    <w:rsid w:val="00B45B80"/>
    <w:rsid w:val="00B47C27"/>
    <w:rsid w:val="00B502A7"/>
    <w:rsid w:val="00B5198B"/>
    <w:rsid w:val="00B52651"/>
    <w:rsid w:val="00B54D6F"/>
    <w:rsid w:val="00B55F32"/>
    <w:rsid w:val="00B579E5"/>
    <w:rsid w:val="00B57CFE"/>
    <w:rsid w:val="00B60DD6"/>
    <w:rsid w:val="00B6394A"/>
    <w:rsid w:val="00B66D2F"/>
    <w:rsid w:val="00B70007"/>
    <w:rsid w:val="00B72D93"/>
    <w:rsid w:val="00B74065"/>
    <w:rsid w:val="00B82063"/>
    <w:rsid w:val="00B835A7"/>
    <w:rsid w:val="00B8766D"/>
    <w:rsid w:val="00B87F89"/>
    <w:rsid w:val="00B90860"/>
    <w:rsid w:val="00B9390A"/>
    <w:rsid w:val="00BA3E12"/>
    <w:rsid w:val="00BA41D6"/>
    <w:rsid w:val="00BB225B"/>
    <w:rsid w:val="00BB6845"/>
    <w:rsid w:val="00BC0B10"/>
    <w:rsid w:val="00BC37ED"/>
    <w:rsid w:val="00BD1CA5"/>
    <w:rsid w:val="00BD2550"/>
    <w:rsid w:val="00BD570D"/>
    <w:rsid w:val="00BE5C2C"/>
    <w:rsid w:val="00BE6BCF"/>
    <w:rsid w:val="00BF5146"/>
    <w:rsid w:val="00BF5FB4"/>
    <w:rsid w:val="00BF7C0E"/>
    <w:rsid w:val="00C01500"/>
    <w:rsid w:val="00C204E9"/>
    <w:rsid w:val="00C2217A"/>
    <w:rsid w:val="00C269D1"/>
    <w:rsid w:val="00C35708"/>
    <w:rsid w:val="00C40442"/>
    <w:rsid w:val="00C42AC3"/>
    <w:rsid w:val="00C44251"/>
    <w:rsid w:val="00C45988"/>
    <w:rsid w:val="00C5041B"/>
    <w:rsid w:val="00C54B5D"/>
    <w:rsid w:val="00C60803"/>
    <w:rsid w:val="00C621B7"/>
    <w:rsid w:val="00C62917"/>
    <w:rsid w:val="00C63027"/>
    <w:rsid w:val="00C70971"/>
    <w:rsid w:val="00C71829"/>
    <w:rsid w:val="00C760CF"/>
    <w:rsid w:val="00C76C0B"/>
    <w:rsid w:val="00C90D83"/>
    <w:rsid w:val="00C96F2F"/>
    <w:rsid w:val="00CA32D1"/>
    <w:rsid w:val="00CB2DB5"/>
    <w:rsid w:val="00CB78A0"/>
    <w:rsid w:val="00CD106D"/>
    <w:rsid w:val="00CD3676"/>
    <w:rsid w:val="00CD7BBA"/>
    <w:rsid w:val="00CF11DE"/>
    <w:rsid w:val="00CF5326"/>
    <w:rsid w:val="00D01046"/>
    <w:rsid w:val="00D024F4"/>
    <w:rsid w:val="00D0353D"/>
    <w:rsid w:val="00D06E6C"/>
    <w:rsid w:val="00D07876"/>
    <w:rsid w:val="00D123AA"/>
    <w:rsid w:val="00D14ED2"/>
    <w:rsid w:val="00D156E9"/>
    <w:rsid w:val="00D2520C"/>
    <w:rsid w:val="00D343CB"/>
    <w:rsid w:val="00D37E78"/>
    <w:rsid w:val="00D44519"/>
    <w:rsid w:val="00D44B8D"/>
    <w:rsid w:val="00D47683"/>
    <w:rsid w:val="00D511D2"/>
    <w:rsid w:val="00D534BA"/>
    <w:rsid w:val="00D550D0"/>
    <w:rsid w:val="00D812EA"/>
    <w:rsid w:val="00D843EF"/>
    <w:rsid w:val="00D855D5"/>
    <w:rsid w:val="00D93F6F"/>
    <w:rsid w:val="00D951F0"/>
    <w:rsid w:val="00D96174"/>
    <w:rsid w:val="00DA1E52"/>
    <w:rsid w:val="00DA2785"/>
    <w:rsid w:val="00DA3298"/>
    <w:rsid w:val="00DB2030"/>
    <w:rsid w:val="00DB51DB"/>
    <w:rsid w:val="00DC1C7F"/>
    <w:rsid w:val="00DC2367"/>
    <w:rsid w:val="00DC37CD"/>
    <w:rsid w:val="00DD6DC7"/>
    <w:rsid w:val="00DE7DFD"/>
    <w:rsid w:val="00DF434C"/>
    <w:rsid w:val="00E01963"/>
    <w:rsid w:val="00E01F09"/>
    <w:rsid w:val="00E11EFC"/>
    <w:rsid w:val="00E1239C"/>
    <w:rsid w:val="00E1624C"/>
    <w:rsid w:val="00E16530"/>
    <w:rsid w:val="00E21D0D"/>
    <w:rsid w:val="00E24478"/>
    <w:rsid w:val="00E27D91"/>
    <w:rsid w:val="00E334C7"/>
    <w:rsid w:val="00E36D27"/>
    <w:rsid w:val="00E40A44"/>
    <w:rsid w:val="00E45D1D"/>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C1AE7"/>
    <w:rsid w:val="00EC29D1"/>
    <w:rsid w:val="00EC5BC8"/>
    <w:rsid w:val="00EC6DC8"/>
    <w:rsid w:val="00ED1602"/>
    <w:rsid w:val="00EE1B94"/>
    <w:rsid w:val="00EE2AB2"/>
    <w:rsid w:val="00EF1BD7"/>
    <w:rsid w:val="00EF5541"/>
    <w:rsid w:val="00EF583B"/>
    <w:rsid w:val="00EF6001"/>
    <w:rsid w:val="00F0180B"/>
    <w:rsid w:val="00F052CF"/>
    <w:rsid w:val="00F06897"/>
    <w:rsid w:val="00F0748B"/>
    <w:rsid w:val="00F104DC"/>
    <w:rsid w:val="00F113DD"/>
    <w:rsid w:val="00F114D5"/>
    <w:rsid w:val="00F1577E"/>
    <w:rsid w:val="00F251D7"/>
    <w:rsid w:val="00F25244"/>
    <w:rsid w:val="00F31137"/>
    <w:rsid w:val="00F32008"/>
    <w:rsid w:val="00F40511"/>
    <w:rsid w:val="00F45354"/>
    <w:rsid w:val="00F46007"/>
    <w:rsid w:val="00F47D67"/>
    <w:rsid w:val="00F53DFF"/>
    <w:rsid w:val="00F57D2A"/>
    <w:rsid w:val="00F60BAA"/>
    <w:rsid w:val="00F66C46"/>
    <w:rsid w:val="00F678C6"/>
    <w:rsid w:val="00F76C58"/>
    <w:rsid w:val="00F83DF1"/>
    <w:rsid w:val="00F85303"/>
    <w:rsid w:val="00F87C0B"/>
    <w:rsid w:val="00F9186B"/>
    <w:rsid w:val="00F9233E"/>
    <w:rsid w:val="00F94224"/>
    <w:rsid w:val="00F9513D"/>
    <w:rsid w:val="00FA5344"/>
    <w:rsid w:val="00FA5484"/>
    <w:rsid w:val="00FB1319"/>
    <w:rsid w:val="00FB300E"/>
    <w:rsid w:val="00FC1A90"/>
    <w:rsid w:val="00FD1CEE"/>
    <w:rsid w:val="00FD3263"/>
    <w:rsid w:val="00FD7A01"/>
    <w:rsid w:val="00FE1464"/>
    <w:rsid w:val="00FE6BAB"/>
    <w:rsid w:val="00FF0343"/>
    <w:rsid w:val="00FF5573"/>
    <w:rsid w:val="00FF7F6D"/>
    <w:rsid w:val="3A930D83"/>
    <w:rsid w:val="493F3382"/>
    <w:rsid w:val="5C862CAD"/>
    <w:rsid w:val="5D882B50"/>
    <w:rsid w:val="6E073808"/>
    <w:rsid w:val="6FF83780"/>
    <w:rsid w:val="707D0A96"/>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15:docId w15:val="{1B70AA27-9992-451F-9D19-43EA54778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B891F2-D910-49B6-AE43-AF9D09B8C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4420</Words>
  <Characters>24313</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30</cp:revision>
  <cp:lastPrinted>2023-05-15T23:19:00Z</cp:lastPrinted>
  <dcterms:created xsi:type="dcterms:W3CDTF">2023-09-12T19:35:00Z</dcterms:created>
  <dcterms:modified xsi:type="dcterms:W3CDTF">2024-02-27T20:24:00Z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2058-12.2.0.13431</vt:lpwstr>
  </property>
  <property fmtid="{D5CDD505-2E9C-101B-9397-08002B2CF9AE}" pid="3" name="ICV">
    <vt:lpwstr>E38996FB398F476F9B81319AD9ADDA66_12</vt:lpwstr>
  </property>
</Properties>
</file>