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D68870" w14:textId="77777777" w:rsidR="00656139" w:rsidRPr="00B41164" w:rsidRDefault="00656139" w:rsidP="00656139">
      <w:pPr>
        <w:spacing w:line="360" w:lineRule="auto"/>
        <w:ind w:firstLine="708"/>
        <w:jc w:val="both"/>
        <w:rPr>
          <w:rFonts w:ascii="Arial" w:hAnsi="Arial" w:cs="Arial"/>
          <w:color w:val="323E4F" w:themeColor="text2" w:themeShade="BF"/>
          <w:sz w:val="22"/>
          <w:szCs w:val="22"/>
        </w:rPr>
      </w:pPr>
      <w:r w:rsidRPr="0032002E">
        <w:rPr>
          <w:rFonts w:ascii="Arial" w:hAnsi="Arial" w:cs="Arial"/>
          <w:b/>
          <w:color w:val="323E4F" w:themeColor="text2" w:themeShade="BF"/>
        </w:rPr>
        <w:t>Vi</w:t>
      </w:r>
      <w:r w:rsidRPr="00B41164">
        <w:rPr>
          <w:rFonts w:ascii="Arial" w:hAnsi="Arial" w:cs="Arial"/>
          <w:b/>
          <w:color w:val="323E4F" w:themeColor="text2" w:themeShade="BF"/>
          <w:sz w:val="22"/>
          <w:szCs w:val="22"/>
        </w:rPr>
        <w:t>sto</w:t>
      </w:r>
      <w:r w:rsidRPr="00B41164">
        <w:rPr>
          <w:rFonts w:ascii="Arial" w:hAnsi="Arial" w:cs="Arial"/>
          <w:color w:val="323E4F" w:themeColor="text2" w:themeShade="BF"/>
          <w:sz w:val="22"/>
          <w:szCs w:val="22"/>
        </w:rPr>
        <w:t xml:space="preserve"> el estado procesal que guarda el expediente citado al rubro; se procede a dictar Acuerdo, con base en los antecedentes y considerandos siguientes:</w:t>
      </w:r>
    </w:p>
    <w:p w14:paraId="0E3CF660" w14:textId="77777777" w:rsidR="00656139" w:rsidRPr="00B41164" w:rsidRDefault="00656139" w:rsidP="00656139">
      <w:pPr>
        <w:spacing w:line="360" w:lineRule="auto"/>
        <w:ind w:firstLine="708"/>
        <w:jc w:val="both"/>
        <w:rPr>
          <w:rFonts w:ascii="Arial" w:hAnsi="Arial" w:cs="Arial"/>
          <w:color w:val="323E4F" w:themeColor="text2" w:themeShade="BF"/>
          <w:sz w:val="22"/>
          <w:szCs w:val="22"/>
        </w:rPr>
      </w:pPr>
    </w:p>
    <w:p w14:paraId="53C47F4A" w14:textId="77777777" w:rsidR="00656139" w:rsidRPr="00B41164" w:rsidRDefault="00656139" w:rsidP="00656139">
      <w:pPr>
        <w:spacing w:line="360" w:lineRule="auto"/>
        <w:jc w:val="center"/>
        <w:rPr>
          <w:rFonts w:ascii="Arial" w:hAnsi="Arial" w:cs="Arial"/>
          <w:b/>
          <w:color w:val="323E4F" w:themeColor="text2" w:themeShade="BF"/>
          <w:sz w:val="22"/>
          <w:szCs w:val="22"/>
          <w:lang w:eastAsia="es-MX"/>
        </w:rPr>
      </w:pPr>
      <w:r w:rsidRPr="00B41164">
        <w:rPr>
          <w:rFonts w:ascii="Arial" w:hAnsi="Arial" w:cs="Arial"/>
          <w:b/>
          <w:color w:val="323E4F" w:themeColor="text2" w:themeShade="BF"/>
          <w:sz w:val="22"/>
          <w:szCs w:val="22"/>
          <w:lang w:eastAsia="es-MX"/>
        </w:rPr>
        <w:t xml:space="preserve">ANTECEDENTES: </w:t>
      </w:r>
    </w:p>
    <w:p w14:paraId="34541F7D" w14:textId="77777777" w:rsidR="00656139" w:rsidRPr="00B41164" w:rsidRDefault="00656139" w:rsidP="00656139">
      <w:pPr>
        <w:spacing w:line="360" w:lineRule="auto"/>
        <w:ind w:firstLine="708"/>
        <w:jc w:val="both"/>
        <w:rPr>
          <w:rFonts w:ascii="Arial" w:hAnsi="Arial" w:cs="Arial"/>
          <w:color w:val="323E4F" w:themeColor="text2" w:themeShade="BF"/>
          <w:sz w:val="22"/>
          <w:szCs w:val="22"/>
        </w:rPr>
      </w:pPr>
    </w:p>
    <w:p w14:paraId="1A48BD94" w14:textId="77B29904" w:rsidR="00656139" w:rsidRPr="00B41164" w:rsidRDefault="00656139" w:rsidP="00656139">
      <w:pPr>
        <w:spacing w:line="360" w:lineRule="auto"/>
        <w:ind w:firstLine="709"/>
        <w:jc w:val="both"/>
        <w:rPr>
          <w:rFonts w:ascii="Arial" w:hAnsi="Arial" w:cs="Arial"/>
          <w:color w:val="323E4F" w:themeColor="text2" w:themeShade="BF"/>
          <w:sz w:val="22"/>
          <w:szCs w:val="22"/>
        </w:rPr>
      </w:pPr>
      <w:r w:rsidRPr="00B41164">
        <w:rPr>
          <w:rFonts w:ascii="Arial" w:hAnsi="Arial" w:cs="Arial"/>
          <w:b/>
          <w:color w:val="323E4F" w:themeColor="text2" w:themeShade="BF"/>
          <w:sz w:val="22"/>
          <w:szCs w:val="22"/>
        </w:rPr>
        <w:t xml:space="preserve">PRIMERO. Resolución. </w:t>
      </w:r>
      <w:r w:rsidRPr="00B41164">
        <w:rPr>
          <w:rFonts w:ascii="Arial" w:hAnsi="Arial" w:cs="Arial"/>
          <w:color w:val="323E4F" w:themeColor="text2" w:themeShade="BF"/>
          <w:sz w:val="22"/>
          <w:szCs w:val="22"/>
        </w:rPr>
        <w:t xml:space="preserve">El </w:t>
      </w:r>
      <w:r w:rsidR="0056481C">
        <w:rPr>
          <w:rFonts w:ascii="Arial" w:hAnsi="Arial" w:cs="Arial"/>
          <w:color w:val="323E4F" w:themeColor="text2" w:themeShade="BF"/>
          <w:sz w:val="22"/>
          <w:szCs w:val="22"/>
        </w:rPr>
        <w:t xml:space="preserve">26 veintiséis de junio </w:t>
      </w:r>
      <w:r w:rsidR="00415B78" w:rsidRPr="00B41164">
        <w:rPr>
          <w:rFonts w:ascii="Arial" w:hAnsi="Arial" w:cs="Arial"/>
          <w:color w:val="323E4F" w:themeColor="text2" w:themeShade="BF"/>
          <w:sz w:val="22"/>
          <w:szCs w:val="22"/>
        </w:rPr>
        <w:t>de 2024 dos mil veinticuatro</w:t>
      </w:r>
      <w:r w:rsidRPr="00B41164">
        <w:rPr>
          <w:rFonts w:ascii="Arial" w:hAnsi="Arial" w:cs="Arial"/>
          <w:color w:val="323E4F" w:themeColor="text2" w:themeShade="BF"/>
          <w:sz w:val="22"/>
          <w:szCs w:val="22"/>
        </w:rPr>
        <w:t xml:space="preserve">, el Pleno de esta Comisión resolvió en definitiva el recurso de revisión citado al rubro, conminando al Sujeto Obligado para efecto de: </w:t>
      </w:r>
    </w:p>
    <w:p w14:paraId="739D8EF6" w14:textId="77777777" w:rsidR="00656139" w:rsidRPr="00B41164" w:rsidRDefault="00656139" w:rsidP="00656139">
      <w:pPr>
        <w:spacing w:line="360" w:lineRule="auto"/>
        <w:ind w:firstLine="708"/>
        <w:jc w:val="both"/>
        <w:rPr>
          <w:rFonts w:ascii="Arial" w:hAnsi="Arial" w:cs="Arial"/>
          <w:color w:val="323E4F" w:themeColor="text2" w:themeShade="BF"/>
          <w:sz w:val="22"/>
          <w:szCs w:val="22"/>
        </w:rPr>
      </w:pPr>
    </w:p>
    <w:p w14:paraId="186FAC3C" w14:textId="7C4F6743" w:rsidR="00D55131" w:rsidRPr="00D55131" w:rsidRDefault="00656139" w:rsidP="00841E25">
      <w:pPr>
        <w:ind w:left="1134" w:right="1183"/>
        <w:jc w:val="both"/>
        <w:rPr>
          <w:rFonts w:ascii="Arial" w:hAnsi="Arial" w:cs="Arial"/>
          <w:b/>
          <w:color w:val="323E4F" w:themeColor="text2" w:themeShade="BF"/>
          <w:sz w:val="22"/>
          <w:szCs w:val="22"/>
        </w:rPr>
      </w:pPr>
      <w:r w:rsidRPr="00B41164">
        <w:rPr>
          <w:rFonts w:ascii="Arial" w:hAnsi="Arial" w:cs="Arial"/>
          <w:b/>
          <w:color w:val="323E4F" w:themeColor="text2" w:themeShade="BF"/>
          <w:sz w:val="22"/>
          <w:szCs w:val="22"/>
        </w:rPr>
        <w:t>“</w:t>
      </w:r>
      <w:r w:rsidR="00841E25" w:rsidRPr="00841E25">
        <w:rPr>
          <w:rFonts w:ascii="Arial" w:hAnsi="Arial" w:cs="Arial"/>
          <w:b/>
          <w:color w:val="323E4F" w:themeColor="text2" w:themeShade="BF"/>
          <w:sz w:val="22"/>
          <w:szCs w:val="22"/>
        </w:rPr>
        <w:t xml:space="preserve">Por lo anteriormente expuesto, esta Comisión, con fundamento en lo dispuesto por el artículo 175 fracción III, de la Ley de Transparencia y Acceso a la Información Pública del Estado, </w:t>
      </w:r>
      <w:r w:rsidR="006F407C">
        <w:rPr>
          <w:rFonts w:ascii="Arial" w:hAnsi="Arial" w:cs="Arial"/>
          <w:b/>
          <w:color w:val="323E4F" w:themeColor="text2" w:themeShade="BF"/>
          <w:sz w:val="22"/>
          <w:szCs w:val="22"/>
        </w:rPr>
        <w:t>REVOCA</w:t>
      </w:r>
      <w:r w:rsidR="00841E25" w:rsidRPr="00841E25">
        <w:rPr>
          <w:rFonts w:ascii="Arial" w:hAnsi="Arial" w:cs="Arial"/>
          <w:b/>
          <w:color w:val="323E4F" w:themeColor="text2" w:themeShade="BF"/>
          <w:sz w:val="22"/>
          <w:szCs w:val="22"/>
        </w:rPr>
        <w:t xml:space="preserve"> la respuesta propor</w:t>
      </w:r>
      <w:r w:rsidR="00841E25">
        <w:rPr>
          <w:rFonts w:ascii="Arial" w:hAnsi="Arial" w:cs="Arial"/>
          <w:b/>
          <w:color w:val="323E4F" w:themeColor="text2" w:themeShade="BF"/>
          <w:sz w:val="22"/>
          <w:szCs w:val="22"/>
        </w:rPr>
        <w:t>cionada por el Sujeto Obligado</w:t>
      </w:r>
      <w:r w:rsidR="00D55131" w:rsidRPr="00D55131">
        <w:rPr>
          <w:rFonts w:ascii="Arial" w:hAnsi="Arial" w:cs="Arial"/>
          <w:b/>
          <w:color w:val="323E4F" w:themeColor="text2" w:themeShade="BF"/>
          <w:sz w:val="22"/>
          <w:szCs w:val="22"/>
        </w:rPr>
        <w:t>.</w:t>
      </w:r>
      <w:r w:rsidR="00D55131">
        <w:rPr>
          <w:rFonts w:ascii="Arial" w:hAnsi="Arial" w:cs="Arial"/>
          <w:b/>
          <w:color w:val="323E4F" w:themeColor="text2" w:themeShade="BF"/>
          <w:sz w:val="22"/>
          <w:szCs w:val="22"/>
        </w:rPr>
        <w:t>”</w:t>
      </w:r>
      <w:r w:rsidR="00D55131" w:rsidRPr="00D55131">
        <w:rPr>
          <w:rFonts w:ascii="Arial" w:hAnsi="Arial" w:cs="Arial"/>
          <w:b/>
          <w:color w:val="323E4F" w:themeColor="text2" w:themeShade="BF"/>
          <w:sz w:val="22"/>
          <w:szCs w:val="22"/>
        </w:rPr>
        <w:t xml:space="preserve"> </w:t>
      </w:r>
    </w:p>
    <w:p w14:paraId="0F2F3CF0" w14:textId="77777777" w:rsidR="00D55131" w:rsidRPr="00D55131" w:rsidRDefault="00D55131" w:rsidP="00D55131">
      <w:pPr>
        <w:ind w:left="1134" w:right="1183"/>
        <w:jc w:val="both"/>
        <w:rPr>
          <w:rFonts w:ascii="Arial" w:hAnsi="Arial" w:cs="Arial"/>
          <w:b/>
          <w:color w:val="323E4F" w:themeColor="text2" w:themeShade="BF"/>
          <w:sz w:val="22"/>
          <w:szCs w:val="22"/>
        </w:rPr>
      </w:pPr>
    </w:p>
    <w:p w14:paraId="5525FB88" w14:textId="77777777" w:rsidR="00656139" w:rsidRPr="00B41164" w:rsidRDefault="00656139" w:rsidP="00656139">
      <w:pPr>
        <w:ind w:left="1134" w:right="1183"/>
        <w:jc w:val="both"/>
        <w:rPr>
          <w:rFonts w:ascii="Arial" w:hAnsi="Arial" w:cs="Arial"/>
          <w:b/>
          <w:color w:val="323E4F" w:themeColor="text2" w:themeShade="BF"/>
          <w:sz w:val="22"/>
          <w:szCs w:val="22"/>
          <w:lang w:eastAsia="es-MX"/>
        </w:rPr>
      </w:pPr>
    </w:p>
    <w:p w14:paraId="2D2F6753" w14:textId="77777777" w:rsidR="00656139" w:rsidRPr="00B41164" w:rsidRDefault="00656139" w:rsidP="00656139">
      <w:pPr>
        <w:spacing w:line="360" w:lineRule="auto"/>
        <w:jc w:val="center"/>
        <w:rPr>
          <w:rFonts w:ascii="Arial" w:hAnsi="Arial" w:cs="Arial"/>
          <w:b/>
          <w:color w:val="323E4F" w:themeColor="text2" w:themeShade="BF"/>
          <w:sz w:val="22"/>
          <w:szCs w:val="22"/>
          <w:lang w:eastAsia="es-MX"/>
        </w:rPr>
      </w:pPr>
      <w:r w:rsidRPr="00B41164">
        <w:rPr>
          <w:rFonts w:ascii="Arial" w:hAnsi="Arial" w:cs="Arial"/>
          <w:b/>
          <w:color w:val="323E4F" w:themeColor="text2" w:themeShade="BF"/>
          <w:sz w:val="22"/>
          <w:szCs w:val="22"/>
          <w:lang w:eastAsia="es-MX"/>
        </w:rPr>
        <w:t>CONSIDERANDOS</w:t>
      </w:r>
    </w:p>
    <w:p w14:paraId="0E9BA99B" w14:textId="77777777" w:rsidR="00656139" w:rsidRPr="00B41164" w:rsidRDefault="00656139" w:rsidP="00656139">
      <w:pPr>
        <w:spacing w:line="360" w:lineRule="auto"/>
        <w:jc w:val="center"/>
        <w:rPr>
          <w:rFonts w:ascii="Arial" w:hAnsi="Arial" w:cs="Arial"/>
          <w:b/>
          <w:color w:val="323E4F" w:themeColor="text2" w:themeShade="BF"/>
          <w:sz w:val="22"/>
          <w:szCs w:val="22"/>
          <w:lang w:eastAsia="es-MX"/>
        </w:rPr>
      </w:pPr>
    </w:p>
    <w:p w14:paraId="04C6599B" w14:textId="77777777" w:rsidR="00656139" w:rsidRPr="00B41164" w:rsidRDefault="00656139" w:rsidP="00656139">
      <w:pPr>
        <w:spacing w:line="360" w:lineRule="auto"/>
        <w:ind w:firstLine="709"/>
        <w:jc w:val="both"/>
        <w:rPr>
          <w:rFonts w:ascii="Arial" w:eastAsia="Arial" w:hAnsi="Arial" w:cs="Arial"/>
          <w:spacing w:val="1"/>
          <w:sz w:val="22"/>
          <w:szCs w:val="22"/>
        </w:rPr>
      </w:pPr>
      <w:r w:rsidRPr="00B41164">
        <w:rPr>
          <w:rFonts w:ascii="Arial" w:eastAsia="Arial" w:hAnsi="Arial" w:cs="Arial"/>
          <w:b/>
          <w:spacing w:val="1"/>
          <w:sz w:val="22"/>
          <w:szCs w:val="22"/>
        </w:rPr>
        <w:t xml:space="preserve">PRIMERO. </w:t>
      </w:r>
      <w:r w:rsidRPr="00B41164">
        <w:rPr>
          <w:rFonts w:ascii="Arial" w:eastAsia="Arial" w:hAnsi="Arial" w:cs="Arial"/>
          <w:spacing w:val="1"/>
          <w:sz w:val="22"/>
          <w:szCs w:val="22"/>
        </w:rPr>
        <w:t>La Comisionada Ponente es competente para conocer el presente asunto,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48684EEC" w14:textId="77777777" w:rsidR="00656139" w:rsidRPr="00B41164" w:rsidRDefault="00656139" w:rsidP="00656139">
      <w:pPr>
        <w:spacing w:line="360" w:lineRule="auto"/>
        <w:ind w:firstLine="709"/>
        <w:jc w:val="both"/>
        <w:rPr>
          <w:rFonts w:ascii="Arial" w:eastAsia="Arial" w:hAnsi="Arial" w:cs="Arial"/>
          <w:spacing w:val="1"/>
          <w:sz w:val="22"/>
          <w:szCs w:val="22"/>
        </w:rPr>
      </w:pPr>
    </w:p>
    <w:p w14:paraId="64A895BD" w14:textId="77777777" w:rsidR="00656139" w:rsidRPr="00B41164" w:rsidRDefault="00656139" w:rsidP="00656139">
      <w:pPr>
        <w:spacing w:line="360" w:lineRule="auto"/>
        <w:ind w:firstLine="709"/>
        <w:jc w:val="both"/>
        <w:rPr>
          <w:rFonts w:ascii="Arial" w:eastAsia="Arial" w:hAnsi="Arial" w:cs="Arial"/>
          <w:spacing w:val="1"/>
          <w:sz w:val="22"/>
          <w:szCs w:val="22"/>
          <w:lang w:val="es-ES"/>
        </w:rPr>
      </w:pPr>
      <w:r w:rsidRPr="00B41164">
        <w:rPr>
          <w:rFonts w:ascii="Arial" w:eastAsia="Arial" w:hAnsi="Arial" w:cs="Arial"/>
          <w:b/>
          <w:spacing w:val="1"/>
          <w:sz w:val="22"/>
          <w:szCs w:val="22"/>
          <w:lang w:val="es-ES"/>
        </w:rPr>
        <w:t xml:space="preserve">SEGUNDO. </w:t>
      </w:r>
      <w:r w:rsidRPr="00B41164">
        <w:rPr>
          <w:rFonts w:ascii="Arial" w:eastAsia="Arial" w:hAnsi="Arial" w:cs="Arial"/>
          <w:spacing w:val="1"/>
          <w:sz w:val="22"/>
          <w:szCs w:val="22"/>
          <w:lang w:val="es-ES"/>
        </w:rPr>
        <w:t xml:space="preserve">La suscrita es competente para dictar el presente Acuerdo, de conformidad con lo establecido en los artículos 27 y 34 fracción I y II de la Ley de Transparencia y Acceso a la Información Pública del Estado de San Luis Potosí; así como los artículos 2°, 5º, 8º fracción II y 51 fracción VII del Reglamento Interno de la Comisión Estatal de Garantía de Acceso a la Información Pública, en correlación con el Acuerdo CEGAIP-738/2023, emitido por el Pleno de este Órgano Garante el 05 cinco de octubre de 2023 dos mil veintitrés y publicado en el Periódico Oficial del Estado el 01 primero de noviembre del mismo año.   </w:t>
      </w:r>
    </w:p>
    <w:p w14:paraId="328563FB" w14:textId="77777777" w:rsidR="00656139" w:rsidRPr="00B41164" w:rsidRDefault="00656139" w:rsidP="00656139">
      <w:pPr>
        <w:spacing w:line="360" w:lineRule="auto"/>
        <w:jc w:val="both"/>
        <w:rPr>
          <w:rFonts w:ascii="Arial" w:hAnsi="Arial" w:cs="Arial"/>
          <w:sz w:val="22"/>
          <w:szCs w:val="22"/>
        </w:rPr>
      </w:pPr>
    </w:p>
    <w:p w14:paraId="42595260" w14:textId="727F03AD" w:rsidR="00656139" w:rsidRPr="00B41164" w:rsidRDefault="00656139" w:rsidP="00656139">
      <w:pPr>
        <w:spacing w:line="360" w:lineRule="auto"/>
        <w:jc w:val="both"/>
        <w:rPr>
          <w:rFonts w:ascii="Arial" w:hAnsi="Arial" w:cs="Arial"/>
          <w:sz w:val="22"/>
          <w:szCs w:val="22"/>
        </w:rPr>
      </w:pPr>
      <w:r w:rsidRPr="00B41164">
        <w:rPr>
          <w:rFonts w:ascii="Arial" w:hAnsi="Arial" w:cs="Arial"/>
          <w:sz w:val="22"/>
          <w:szCs w:val="22"/>
        </w:rPr>
        <w:tab/>
      </w:r>
      <w:r w:rsidRPr="00B41164">
        <w:rPr>
          <w:rFonts w:ascii="Arial" w:hAnsi="Arial" w:cs="Arial"/>
          <w:b/>
          <w:sz w:val="22"/>
          <w:szCs w:val="22"/>
        </w:rPr>
        <w:t xml:space="preserve">TERCERO. </w:t>
      </w:r>
      <w:r w:rsidRPr="00B41164">
        <w:rPr>
          <w:rFonts w:ascii="Arial" w:hAnsi="Arial" w:cs="Arial"/>
          <w:sz w:val="22"/>
          <w:szCs w:val="22"/>
        </w:rPr>
        <w:t>Se tiene por precluído</w:t>
      </w:r>
      <w:r w:rsidR="0020139A">
        <w:rPr>
          <w:rFonts w:ascii="Arial" w:hAnsi="Arial" w:cs="Arial"/>
          <w:sz w:val="22"/>
          <w:szCs w:val="22"/>
        </w:rPr>
        <w:t>,</w:t>
      </w:r>
      <w:bookmarkStart w:id="0" w:name="_GoBack"/>
      <w:bookmarkEnd w:id="0"/>
      <w:r w:rsidRPr="00B41164">
        <w:rPr>
          <w:rFonts w:ascii="Arial" w:hAnsi="Arial" w:cs="Arial"/>
          <w:sz w:val="22"/>
          <w:szCs w:val="22"/>
        </w:rPr>
        <w:t xml:space="preserve"> el derecho de la parte recurrente para manifestar lo que a su derecho conviniera, en apego a lo previsto por el artículo 184 segundo párrafo de la Ley de Transparencia y Acceso a la Información Pública del Estado, sin que hubiera comparecido para tal efecto.</w:t>
      </w:r>
    </w:p>
    <w:p w14:paraId="77B9FD92" w14:textId="77777777" w:rsidR="00656139" w:rsidRPr="00B41164" w:rsidRDefault="00656139" w:rsidP="00656139">
      <w:pPr>
        <w:spacing w:line="360" w:lineRule="auto"/>
        <w:jc w:val="both"/>
        <w:rPr>
          <w:rFonts w:ascii="Arial" w:hAnsi="Arial" w:cs="Arial"/>
          <w:sz w:val="22"/>
          <w:szCs w:val="22"/>
        </w:rPr>
      </w:pPr>
    </w:p>
    <w:p w14:paraId="3541BBEE" w14:textId="48532F3F" w:rsidR="00656139" w:rsidRPr="00B41164" w:rsidRDefault="00656139" w:rsidP="00656139">
      <w:pPr>
        <w:spacing w:line="360" w:lineRule="auto"/>
        <w:jc w:val="both"/>
        <w:rPr>
          <w:rFonts w:ascii="Arial" w:hAnsi="Arial" w:cs="Arial"/>
          <w:sz w:val="22"/>
          <w:szCs w:val="22"/>
        </w:rPr>
      </w:pPr>
      <w:r w:rsidRPr="00B41164">
        <w:rPr>
          <w:rFonts w:ascii="Arial" w:hAnsi="Arial" w:cs="Arial"/>
          <w:sz w:val="22"/>
          <w:szCs w:val="22"/>
        </w:rPr>
        <w:lastRenderedPageBreak/>
        <w:tab/>
      </w:r>
      <w:r w:rsidRPr="00B41164">
        <w:rPr>
          <w:rFonts w:ascii="Arial" w:hAnsi="Arial" w:cs="Arial"/>
          <w:b/>
          <w:sz w:val="22"/>
          <w:szCs w:val="22"/>
        </w:rPr>
        <w:t xml:space="preserve">CUARTO. </w:t>
      </w:r>
      <w:r w:rsidRPr="00B41164">
        <w:rPr>
          <w:rFonts w:ascii="Arial" w:hAnsi="Arial" w:cs="Arial"/>
          <w:sz w:val="22"/>
          <w:szCs w:val="22"/>
        </w:rPr>
        <w:t>No habiendo cuestiones pendientes por acordar y al no existir diligencias pendientes por desahogar, con fundamento en lo dispuesto en el artículo 185 de la Ley de Transparencia y Acceso a la Información Pública del Estado,</w:t>
      </w:r>
      <w:r w:rsidRPr="00B41164">
        <w:rPr>
          <w:rFonts w:ascii="Arial" w:hAnsi="Arial" w:cs="Arial"/>
          <w:b/>
          <w:sz w:val="22"/>
          <w:szCs w:val="22"/>
        </w:rPr>
        <w:t xml:space="preserve"> </w:t>
      </w:r>
      <w:r w:rsidRPr="00B41164">
        <w:rPr>
          <w:rFonts w:ascii="Arial" w:hAnsi="Arial" w:cs="Arial"/>
          <w:sz w:val="22"/>
          <w:szCs w:val="22"/>
        </w:rPr>
        <w:t xml:space="preserve">este Organismo Garante procederá a analizar los autos que corren agregados al presente sumario, a fin de determinar el cumplimiento a la resolución de fecha </w:t>
      </w:r>
      <w:r w:rsidR="00AE21B0">
        <w:rPr>
          <w:rFonts w:ascii="Arial" w:hAnsi="Arial" w:cs="Arial"/>
          <w:color w:val="FF0000"/>
          <w:sz w:val="22"/>
          <w:szCs w:val="22"/>
        </w:rPr>
        <w:t xml:space="preserve">19 diecinueve de junio </w:t>
      </w:r>
      <w:r w:rsidR="00415B78" w:rsidRPr="00B41164">
        <w:rPr>
          <w:rFonts w:ascii="Arial" w:hAnsi="Arial" w:cs="Arial"/>
          <w:color w:val="FF0000"/>
          <w:sz w:val="22"/>
          <w:szCs w:val="22"/>
        </w:rPr>
        <w:t>de 2024 dos mil veinticuatro</w:t>
      </w:r>
      <w:r w:rsidRPr="00B41164">
        <w:rPr>
          <w:rFonts w:ascii="Arial" w:hAnsi="Arial" w:cs="Arial"/>
          <w:sz w:val="22"/>
          <w:szCs w:val="22"/>
        </w:rPr>
        <w:t>.</w:t>
      </w:r>
    </w:p>
    <w:p w14:paraId="35D376E6" w14:textId="77777777" w:rsidR="00656139" w:rsidRPr="00B41164" w:rsidRDefault="00656139" w:rsidP="00656139">
      <w:pPr>
        <w:spacing w:line="360" w:lineRule="auto"/>
        <w:ind w:firstLine="708"/>
        <w:jc w:val="both"/>
        <w:rPr>
          <w:rFonts w:ascii="Arial" w:hAnsi="Arial" w:cs="Arial"/>
          <w:b/>
          <w:color w:val="323E4F" w:themeColor="text2" w:themeShade="BF"/>
          <w:sz w:val="22"/>
          <w:szCs w:val="22"/>
          <w:lang w:eastAsia="es-MX"/>
        </w:rPr>
      </w:pPr>
    </w:p>
    <w:p w14:paraId="0C851C71"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r w:rsidRPr="00B41164">
        <w:rPr>
          <w:rFonts w:ascii="Arial" w:hAnsi="Arial" w:cs="Arial"/>
          <w:color w:val="323E4F" w:themeColor="text2" w:themeShade="BF"/>
          <w:sz w:val="22"/>
          <w:szCs w:val="22"/>
          <w:lang w:eastAsia="es-MX"/>
        </w:rPr>
        <w:t xml:space="preserve">De un análisis a las constancias que corren agregadas al presente procedimiento, es de precisarse que el recurrente no presentó inconformidad alguna respecto de la información notificada y entregada por el Obligado, a través del medio autorizado para recibir notificaciones, por lo que se colige que se muestra conforme con el contenido de la respuesta y sus demás extremos al no señalar agravio alguno al respecto. Sirve de apoyo la Tesis de VI.3o.C. J/60, Seminario Judicial de la Federación y su Gaceta, Novena Época, t. XXII, diciembre de 2005, p. 2365, cuyo rubro y texto señalan: </w:t>
      </w:r>
    </w:p>
    <w:p w14:paraId="69A0C815"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5828ADD6" w14:textId="77777777" w:rsidR="00656139" w:rsidRPr="00B41164" w:rsidRDefault="00656139" w:rsidP="00656139">
      <w:pPr>
        <w:ind w:left="1134" w:right="1183"/>
        <w:jc w:val="both"/>
        <w:rPr>
          <w:rFonts w:ascii="Arial" w:hAnsi="Arial" w:cs="Arial"/>
          <w:color w:val="323E4F" w:themeColor="text2" w:themeShade="BF"/>
          <w:sz w:val="22"/>
          <w:szCs w:val="22"/>
          <w:lang w:eastAsia="es-MX"/>
        </w:rPr>
      </w:pPr>
      <w:r w:rsidRPr="00B41164">
        <w:rPr>
          <w:rFonts w:ascii="Arial" w:hAnsi="Arial" w:cs="Arial"/>
          <w:b/>
          <w:color w:val="323E4F" w:themeColor="text2" w:themeShade="BF"/>
          <w:sz w:val="22"/>
          <w:szCs w:val="22"/>
          <w:lang w:eastAsia="es-MX"/>
        </w:rPr>
        <w:t>“ACTOS CONSENTIDOS. SON LOS QUE NO SE IMPUGNAN MEDIANTE EL RECURSO IDÓNEO.</w:t>
      </w:r>
      <w:r w:rsidRPr="00B41164">
        <w:rPr>
          <w:rFonts w:ascii="Arial" w:hAnsi="Arial" w:cs="Arial"/>
          <w:color w:val="323E4F" w:themeColor="text2" w:themeShade="BF"/>
          <w:sz w:val="22"/>
          <w:szCs w:val="22"/>
          <w:lang w:eastAsia="es-MX"/>
        </w:rPr>
        <w:t xml:space="preserve"> Debe reputarse como consentido el acto que no se impugnó por el medio establecido 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w:t>
      </w:r>
    </w:p>
    <w:p w14:paraId="2BA1CD46"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794CCACC"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r w:rsidRPr="00B41164">
        <w:rPr>
          <w:rFonts w:ascii="Arial" w:hAnsi="Arial" w:cs="Arial"/>
          <w:color w:val="323E4F" w:themeColor="text2" w:themeShade="BF"/>
          <w:sz w:val="22"/>
          <w:szCs w:val="22"/>
          <w:lang w:eastAsia="es-MX"/>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120CE22F"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134DD21C" w14:textId="77777777" w:rsidR="00656139" w:rsidRPr="00B41164" w:rsidRDefault="00656139" w:rsidP="00656139">
      <w:pPr>
        <w:ind w:left="1134" w:right="1183"/>
        <w:jc w:val="both"/>
        <w:rPr>
          <w:rFonts w:ascii="Arial" w:hAnsi="Arial" w:cs="Arial"/>
          <w:color w:val="323E4F" w:themeColor="text2" w:themeShade="BF"/>
          <w:sz w:val="22"/>
          <w:szCs w:val="22"/>
          <w:lang w:eastAsia="es-MX"/>
        </w:rPr>
      </w:pPr>
      <w:r w:rsidRPr="00B41164">
        <w:rPr>
          <w:rFonts w:ascii="Arial" w:hAnsi="Arial" w:cs="Arial"/>
          <w:bCs/>
          <w:color w:val="323E4F" w:themeColor="text2" w:themeShade="BF"/>
          <w:sz w:val="22"/>
          <w:szCs w:val="22"/>
          <w:lang w:eastAsia="es-MX"/>
        </w:rPr>
        <w:t>“</w:t>
      </w:r>
      <w:r w:rsidRPr="00B41164">
        <w:rPr>
          <w:rFonts w:ascii="Arial" w:hAnsi="Arial" w:cs="Arial"/>
          <w:b/>
          <w:bCs/>
          <w:color w:val="323E4F" w:themeColor="text2" w:themeShade="BF"/>
          <w:sz w:val="22"/>
          <w:szCs w:val="22"/>
          <w:lang w:eastAsia="es-MX"/>
        </w:rPr>
        <w:t>Actos consentidos tácitamente.</w:t>
      </w:r>
      <w:r w:rsidRPr="00B41164">
        <w:rPr>
          <w:rFonts w:ascii="Arial" w:hAnsi="Arial" w:cs="Arial"/>
          <w:bCs/>
          <w:color w:val="323E4F" w:themeColor="text2" w:themeShade="BF"/>
          <w:sz w:val="22"/>
          <w:szCs w:val="22"/>
          <w:lang w:eastAsia="es-MX"/>
        </w:rPr>
        <w:t xml:space="preserve"> Improcedencia de su análisis.</w:t>
      </w:r>
      <w:r w:rsidRPr="00B41164">
        <w:rPr>
          <w:rFonts w:ascii="Arial" w:hAnsi="Arial" w:cs="Arial"/>
          <w:color w:val="323E4F" w:themeColor="text2" w:themeShade="BF"/>
          <w:sz w:val="22"/>
          <w:szCs w:val="22"/>
          <w:lang w:eastAsia="es-MX"/>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B823605"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69679CF5" w14:textId="13C726AE"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r w:rsidRPr="00B41164">
        <w:rPr>
          <w:rFonts w:ascii="Arial" w:hAnsi="Arial" w:cs="Arial"/>
          <w:color w:val="323E4F" w:themeColor="text2" w:themeShade="BF"/>
          <w:sz w:val="22"/>
          <w:szCs w:val="22"/>
          <w:lang w:eastAsia="es-MX"/>
        </w:rPr>
        <w:t xml:space="preserve">Por lo anterior, a fin de comprender la respuesta que el Sujeto Obligado emitió en cumplimiento a la determinación que nos ocupa, se tiene que en </w:t>
      </w:r>
      <w:r w:rsidR="00AE21B0">
        <w:rPr>
          <w:rFonts w:ascii="Arial" w:hAnsi="Arial" w:cs="Arial"/>
          <w:color w:val="323E4F" w:themeColor="text2" w:themeShade="BF"/>
          <w:sz w:val="22"/>
          <w:szCs w:val="22"/>
          <w:lang w:eastAsia="es-MX"/>
        </w:rPr>
        <w:t xml:space="preserve">13 trece de agosto de </w:t>
      </w:r>
      <w:r w:rsidR="002E37B1" w:rsidRPr="00B41164">
        <w:rPr>
          <w:rFonts w:ascii="Arial" w:hAnsi="Arial" w:cs="Arial"/>
          <w:color w:val="323E4F" w:themeColor="text2" w:themeShade="BF"/>
          <w:sz w:val="22"/>
          <w:szCs w:val="22"/>
          <w:lang w:eastAsia="es-MX"/>
        </w:rPr>
        <w:t>2024 dos mil veinticuatro,</w:t>
      </w:r>
      <w:r w:rsidRPr="00B41164">
        <w:rPr>
          <w:rFonts w:ascii="Arial" w:hAnsi="Arial" w:cs="Arial"/>
          <w:color w:val="323E4F" w:themeColor="text2" w:themeShade="BF"/>
          <w:sz w:val="22"/>
          <w:szCs w:val="22"/>
          <w:lang w:eastAsia="es-MX"/>
        </w:rPr>
        <w:t xml:space="preserve"> se recibió el oficio </w:t>
      </w:r>
      <w:r w:rsidR="00875040">
        <w:rPr>
          <w:rFonts w:ascii="Arial" w:hAnsi="Arial" w:cs="Arial"/>
          <w:color w:val="323E4F" w:themeColor="text2" w:themeShade="BF"/>
          <w:sz w:val="22"/>
          <w:szCs w:val="22"/>
          <w:lang w:eastAsia="es-MX"/>
        </w:rPr>
        <w:t>UT-</w:t>
      </w:r>
      <w:r w:rsidR="00AE21B0">
        <w:rPr>
          <w:rFonts w:ascii="Arial" w:hAnsi="Arial" w:cs="Arial"/>
          <w:color w:val="323E4F" w:themeColor="text2" w:themeShade="BF"/>
          <w:sz w:val="22"/>
          <w:szCs w:val="22"/>
          <w:lang w:eastAsia="es-MX"/>
        </w:rPr>
        <w:t>109/2024</w:t>
      </w:r>
      <w:r w:rsidR="0056481C">
        <w:rPr>
          <w:rFonts w:ascii="Arial" w:hAnsi="Arial" w:cs="Arial"/>
          <w:color w:val="323E4F" w:themeColor="text2" w:themeShade="BF"/>
          <w:sz w:val="22"/>
          <w:szCs w:val="22"/>
          <w:lang w:eastAsia="es-MX"/>
        </w:rPr>
        <w:t xml:space="preserve">, </w:t>
      </w:r>
      <w:r w:rsidR="002E37B1" w:rsidRPr="00B41164">
        <w:rPr>
          <w:rFonts w:ascii="Arial" w:hAnsi="Arial" w:cs="Arial"/>
          <w:color w:val="323E4F" w:themeColor="text2" w:themeShade="BF"/>
          <w:sz w:val="22"/>
          <w:szCs w:val="22"/>
          <w:lang w:eastAsia="es-MX"/>
        </w:rPr>
        <w:t>suscrito por la Titular de la Unidad de Transparencia de</w:t>
      </w:r>
      <w:r w:rsidR="0056481C">
        <w:rPr>
          <w:rFonts w:ascii="Arial" w:hAnsi="Arial" w:cs="Arial"/>
          <w:color w:val="323E4F" w:themeColor="text2" w:themeShade="BF"/>
          <w:sz w:val="22"/>
          <w:szCs w:val="22"/>
          <w:lang w:eastAsia="es-MX"/>
        </w:rPr>
        <w:t xml:space="preserve"> </w:t>
      </w:r>
      <w:r w:rsidR="008955A7" w:rsidRPr="00B41164">
        <w:rPr>
          <w:rFonts w:ascii="Arial" w:hAnsi="Arial" w:cs="Arial"/>
          <w:color w:val="323E4F" w:themeColor="text2" w:themeShade="BF"/>
          <w:sz w:val="22"/>
          <w:szCs w:val="22"/>
          <w:lang w:eastAsia="es-MX"/>
        </w:rPr>
        <w:t>l</w:t>
      </w:r>
      <w:r w:rsidR="0056481C">
        <w:rPr>
          <w:rFonts w:ascii="Arial" w:hAnsi="Arial" w:cs="Arial"/>
          <w:color w:val="323E4F" w:themeColor="text2" w:themeShade="BF"/>
          <w:sz w:val="22"/>
          <w:szCs w:val="22"/>
          <w:lang w:eastAsia="es-MX"/>
        </w:rPr>
        <w:t xml:space="preserve">a </w:t>
      </w:r>
      <w:r w:rsidR="00AE21B0">
        <w:rPr>
          <w:rFonts w:ascii="Arial" w:hAnsi="Arial" w:cs="Arial"/>
          <w:color w:val="323E4F" w:themeColor="text2" w:themeShade="BF"/>
          <w:sz w:val="22"/>
          <w:szCs w:val="22"/>
          <w:lang w:eastAsia="es-MX"/>
        </w:rPr>
        <w:t>Comisión Estatal de Garantía de Acceso a la Información Pública del Estado</w:t>
      </w:r>
      <w:r w:rsidR="0056481C">
        <w:rPr>
          <w:rFonts w:ascii="Arial" w:hAnsi="Arial" w:cs="Arial"/>
          <w:color w:val="323E4F" w:themeColor="text2" w:themeShade="BF"/>
          <w:sz w:val="22"/>
          <w:szCs w:val="22"/>
          <w:lang w:eastAsia="es-MX"/>
        </w:rPr>
        <w:t xml:space="preserve">, </w:t>
      </w:r>
      <w:r w:rsidRPr="00B41164">
        <w:rPr>
          <w:rFonts w:ascii="Arial" w:hAnsi="Arial" w:cs="Arial"/>
          <w:color w:val="323E4F" w:themeColor="text2" w:themeShade="BF"/>
          <w:sz w:val="22"/>
          <w:szCs w:val="22"/>
          <w:lang w:eastAsia="es-MX"/>
        </w:rPr>
        <w:t xml:space="preserve">a través del cual acompaña diversos anexos de los </w:t>
      </w:r>
      <w:r w:rsidRPr="00B41164">
        <w:rPr>
          <w:rFonts w:ascii="Arial" w:hAnsi="Arial" w:cs="Arial"/>
          <w:color w:val="323E4F" w:themeColor="text2" w:themeShade="BF"/>
          <w:sz w:val="22"/>
          <w:szCs w:val="22"/>
          <w:lang w:eastAsia="es-MX"/>
        </w:rPr>
        <w:lastRenderedPageBreak/>
        <w:t xml:space="preserve">cuales se puede acreditar que realizó diversas gestiones ante las áreas señaladas en la revisión que se examina a cumplimiento. </w:t>
      </w:r>
    </w:p>
    <w:p w14:paraId="6418BEC2" w14:textId="245B1323"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314D1B80" w14:textId="77777777" w:rsidR="00AD4973" w:rsidRDefault="00656139" w:rsidP="00AD4973">
      <w:pPr>
        <w:spacing w:line="360" w:lineRule="auto"/>
        <w:ind w:firstLine="708"/>
        <w:jc w:val="both"/>
        <w:rPr>
          <w:rFonts w:ascii="Arial" w:hAnsi="Arial" w:cs="Arial"/>
          <w:color w:val="323E4F" w:themeColor="text2" w:themeShade="BF"/>
          <w:sz w:val="22"/>
          <w:szCs w:val="22"/>
          <w:lang w:eastAsia="es-MX"/>
        </w:rPr>
      </w:pPr>
      <w:r w:rsidRPr="00B41164">
        <w:rPr>
          <w:rFonts w:ascii="Arial" w:hAnsi="Arial" w:cs="Arial"/>
          <w:color w:val="323E4F" w:themeColor="text2" w:themeShade="BF"/>
          <w:sz w:val="22"/>
          <w:szCs w:val="22"/>
          <w:lang w:eastAsia="es-MX"/>
        </w:rPr>
        <w:t>De las constancias aportadas, es dable señalar que la Responsable da cumplimiento a lo establecido en</w:t>
      </w:r>
      <w:r w:rsidR="002E37B1" w:rsidRPr="00B41164">
        <w:rPr>
          <w:rFonts w:ascii="Arial" w:hAnsi="Arial" w:cs="Arial"/>
          <w:color w:val="323E4F" w:themeColor="text2" w:themeShade="BF"/>
          <w:sz w:val="22"/>
          <w:szCs w:val="22"/>
          <w:lang w:eastAsia="es-MX"/>
        </w:rPr>
        <w:t xml:space="preserve"> los efectos ordenados por el Pleno de esta Comisión, en razón de que de las constancias aportadas es posible advertir: </w:t>
      </w:r>
    </w:p>
    <w:p w14:paraId="7D01864F" w14:textId="77777777" w:rsidR="00AD4973" w:rsidRDefault="00AD4973" w:rsidP="00AD4973">
      <w:pPr>
        <w:spacing w:line="360" w:lineRule="auto"/>
        <w:ind w:firstLine="708"/>
        <w:jc w:val="both"/>
        <w:rPr>
          <w:rFonts w:ascii="Arial" w:hAnsi="Arial" w:cs="Arial"/>
          <w:color w:val="323E4F" w:themeColor="text2" w:themeShade="BF"/>
          <w:sz w:val="22"/>
          <w:szCs w:val="22"/>
          <w:lang w:eastAsia="es-MX"/>
        </w:rPr>
      </w:pPr>
    </w:p>
    <w:p w14:paraId="4B601AFF" w14:textId="69A4FE41" w:rsidR="006F407C" w:rsidRPr="006F407C" w:rsidRDefault="00AE21B0" w:rsidP="0020139A">
      <w:pPr>
        <w:spacing w:line="360" w:lineRule="auto"/>
        <w:ind w:firstLine="708"/>
        <w:jc w:val="both"/>
        <w:rPr>
          <w:rFonts w:ascii="Arial" w:hAnsi="Arial" w:cs="Arial"/>
          <w:bCs/>
          <w:iCs/>
          <w:color w:val="323E4F" w:themeColor="text2" w:themeShade="BF"/>
          <w:sz w:val="22"/>
          <w:szCs w:val="22"/>
          <w:lang w:eastAsia="es-MX"/>
        </w:rPr>
      </w:pPr>
      <w:r>
        <w:rPr>
          <w:rFonts w:ascii="Arial" w:hAnsi="Arial" w:cs="Arial"/>
          <w:bCs/>
          <w:iCs/>
          <w:color w:val="323E4F" w:themeColor="text2" w:themeShade="BF"/>
          <w:sz w:val="22"/>
          <w:szCs w:val="22"/>
          <w:lang w:eastAsia="es-MX"/>
        </w:rPr>
        <w:t xml:space="preserve">Se realizaron las gestiones de conformidad con lo establecido en el artículo 153 de la Ley de Transparencia y Acceso a la Información Pública del Estado, acorde a las facultades, competencias y atribuciones </w:t>
      </w:r>
      <w:r w:rsidR="0020139A">
        <w:rPr>
          <w:rFonts w:ascii="Arial" w:hAnsi="Arial" w:cs="Arial"/>
          <w:bCs/>
          <w:iCs/>
          <w:color w:val="323E4F" w:themeColor="text2" w:themeShade="BF"/>
          <w:sz w:val="22"/>
          <w:szCs w:val="22"/>
          <w:lang w:eastAsia="es-MX"/>
        </w:rPr>
        <w:t xml:space="preserve">señaladas en el </w:t>
      </w:r>
      <w:r w:rsidR="006F407C" w:rsidRPr="006F407C">
        <w:rPr>
          <w:rFonts w:ascii="Arial" w:hAnsi="Arial" w:cs="Arial"/>
          <w:bCs/>
          <w:iCs/>
          <w:color w:val="323E4F" w:themeColor="text2" w:themeShade="BF"/>
          <w:sz w:val="22"/>
          <w:szCs w:val="22"/>
          <w:lang w:eastAsia="es-MX"/>
        </w:rPr>
        <w:t xml:space="preserve">artículo 51 fracciones III y VIII del Reglamento Interior de esta Comisión, </w:t>
      </w:r>
      <w:r w:rsidR="0020139A">
        <w:rPr>
          <w:rFonts w:ascii="Arial" w:hAnsi="Arial" w:cs="Arial"/>
          <w:bCs/>
          <w:iCs/>
          <w:color w:val="323E4F" w:themeColor="text2" w:themeShade="BF"/>
          <w:sz w:val="22"/>
          <w:szCs w:val="22"/>
          <w:lang w:eastAsia="es-MX"/>
        </w:rPr>
        <w:t xml:space="preserve">en los que es posible advertir que las unidades administrativas de Ponencia señalan que no </w:t>
      </w:r>
      <w:r w:rsidR="006F407C" w:rsidRPr="006F407C">
        <w:rPr>
          <w:rFonts w:ascii="Arial" w:hAnsi="Arial" w:cs="Arial"/>
          <w:bCs/>
          <w:iCs/>
          <w:color w:val="323E4F" w:themeColor="text2" w:themeShade="BF"/>
          <w:sz w:val="22"/>
          <w:szCs w:val="22"/>
          <w:lang w:eastAsia="es-MX"/>
        </w:rPr>
        <w:t>cuenta</w:t>
      </w:r>
      <w:r w:rsidR="0020139A">
        <w:rPr>
          <w:rFonts w:ascii="Arial" w:hAnsi="Arial" w:cs="Arial"/>
          <w:bCs/>
          <w:iCs/>
          <w:color w:val="323E4F" w:themeColor="text2" w:themeShade="BF"/>
          <w:sz w:val="22"/>
          <w:szCs w:val="22"/>
          <w:lang w:eastAsia="es-MX"/>
        </w:rPr>
        <w:t>n</w:t>
      </w:r>
      <w:r w:rsidR="006F407C" w:rsidRPr="006F407C">
        <w:rPr>
          <w:rFonts w:ascii="Arial" w:hAnsi="Arial" w:cs="Arial"/>
          <w:bCs/>
          <w:iCs/>
          <w:color w:val="323E4F" w:themeColor="text2" w:themeShade="BF"/>
          <w:sz w:val="22"/>
          <w:szCs w:val="22"/>
          <w:lang w:eastAsia="es-MX"/>
        </w:rPr>
        <w:t xml:space="preserve"> con un registro estadístico </w:t>
      </w:r>
      <w:r w:rsidR="0020139A">
        <w:rPr>
          <w:rFonts w:ascii="Arial" w:hAnsi="Arial" w:cs="Arial"/>
          <w:bCs/>
          <w:iCs/>
          <w:color w:val="323E4F" w:themeColor="text2" w:themeShade="BF"/>
          <w:sz w:val="22"/>
          <w:szCs w:val="22"/>
          <w:lang w:eastAsia="es-MX"/>
        </w:rPr>
        <w:t>respecto de: c</w:t>
      </w:r>
      <w:r w:rsidR="006F407C" w:rsidRPr="006F407C">
        <w:rPr>
          <w:rFonts w:ascii="Arial" w:hAnsi="Arial" w:cs="Arial"/>
          <w:bCs/>
          <w:iCs/>
          <w:color w:val="323E4F" w:themeColor="text2" w:themeShade="BF"/>
          <w:sz w:val="22"/>
          <w:szCs w:val="22"/>
          <w:lang w:eastAsia="es-MX"/>
        </w:rPr>
        <w:t>antidad de recursos que se resolvieron en un pl</w:t>
      </w:r>
      <w:r w:rsidR="0020139A">
        <w:rPr>
          <w:rFonts w:ascii="Arial" w:hAnsi="Arial" w:cs="Arial"/>
          <w:bCs/>
          <w:iCs/>
          <w:color w:val="323E4F" w:themeColor="text2" w:themeShade="BF"/>
          <w:sz w:val="22"/>
          <w:szCs w:val="22"/>
          <w:lang w:eastAsia="es-MX"/>
        </w:rPr>
        <w:t>azo de 30 días y con ampliación; c</w:t>
      </w:r>
      <w:r w:rsidR="006F407C" w:rsidRPr="006F407C">
        <w:rPr>
          <w:rFonts w:ascii="Arial" w:hAnsi="Arial" w:cs="Arial"/>
          <w:bCs/>
          <w:iCs/>
          <w:color w:val="323E4F" w:themeColor="text2" w:themeShade="BF"/>
          <w:sz w:val="22"/>
          <w:szCs w:val="22"/>
          <w:lang w:eastAsia="es-MX"/>
        </w:rPr>
        <w:t>antidad de resoluciones en las que se aplicó la suplencia de la queja a favor del ciudadano-recurrente.</w:t>
      </w:r>
    </w:p>
    <w:p w14:paraId="40F87CA2" w14:textId="77777777" w:rsidR="006F407C" w:rsidRPr="006F407C" w:rsidRDefault="006F407C" w:rsidP="006F407C">
      <w:pPr>
        <w:spacing w:line="360" w:lineRule="auto"/>
        <w:ind w:firstLine="708"/>
        <w:jc w:val="both"/>
        <w:rPr>
          <w:rFonts w:ascii="Arial" w:hAnsi="Arial" w:cs="Arial"/>
          <w:bCs/>
          <w:iCs/>
          <w:color w:val="323E4F" w:themeColor="text2" w:themeShade="BF"/>
          <w:sz w:val="22"/>
          <w:szCs w:val="22"/>
          <w:lang w:eastAsia="es-MX"/>
        </w:rPr>
      </w:pPr>
    </w:p>
    <w:p w14:paraId="17D21E15" w14:textId="4CBF932B" w:rsidR="006F407C" w:rsidRPr="006F407C" w:rsidRDefault="006F407C" w:rsidP="006F407C">
      <w:pPr>
        <w:spacing w:line="360" w:lineRule="auto"/>
        <w:ind w:firstLine="708"/>
        <w:jc w:val="both"/>
        <w:rPr>
          <w:rFonts w:ascii="Arial" w:hAnsi="Arial" w:cs="Arial"/>
          <w:bCs/>
          <w:iCs/>
          <w:color w:val="323E4F" w:themeColor="text2" w:themeShade="BF"/>
          <w:sz w:val="22"/>
          <w:szCs w:val="22"/>
          <w:lang w:eastAsia="es-MX"/>
        </w:rPr>
      </w:pPr>
      <w:r w:rsidRPr="006F407C">
        <w:rPr>
          <w:rFonts w:ascii="Arial" w:hAnsi="Arial" w:cs="Arial"/>
          <w:bCs/>
          <w:iCs/>
          <w:color w:val="323E4F" w:themeColor="text2" w:themeShade="BF"/>
          <w:sz w:val="22"/>
          <w:szCs w:val="22"/>
          <w:lang w:eastAsia="es-MX"/>
        </w:rPr>
        <w:t xml:space="preserve">Asimismo, </w:t>
      </w:r>
      <w:r w:rsidR="0020139A">
        <w:rPr>
          <w:rFonts w:ascii="Arial" w:hAnsi="Arial" w:cs="Arial"/>
          <w:bCs/>
          <w:iCs/>
          <w:color w:val="323E4F" w:themeColor="text2" w:themeShade="BF"/>
          <w:sz w:val="22"/>
          <w:szCs w:val="22"/>
          <w:lang w:eastAsia="es-MX"/>
        </w:rPr>
        <w:t xml:space="preserve">las Unidades de Ponencia </w:t>
      </w:r>
      <w:r w:rsidRPr="006F407C">
        <w:rPr>
          <w:rFonts w:ascii="Arial" w:hAnsi="Arial" w:cs="Arial"/>
          <w:bCs/>
          <w:iCs/>
          <w:color w:val="323E4F" w:themeColor="text2" w:themeShade="BF"/>
          <w:sz w:val="22"/>
          <w:szCs w:val="22"/>
          <w:lang w:eastAsia="es-MX"/>
        </w:rPr>
        <w:t>efectuar</w:t>
      </w:r>
      <w:r w:rsidR="0020139A">
        <w:rPr>
          <w:rFonts w:ascii="Arial" w:hAnsi="Arial" w:cs="Arial"/>
          <w:bCs/>
          <w:iCs/>
          <w:color w:val="323E4F" w:themeColor="text2" w:themeShade="BF"/>
          <w:sz w:val="22"/>
          <w:szCs w:val="22"/>
          <w:lang w:eastAsia="es-MX"/>
        </w:rPr>
        <w:t>on</w:t>
      </w:r>
      <w:r w:rsidRPr="006F407C">
        <w:rPr>
          <w:rFonts w:ascii="Arial" w:hAnsi="Arial" w:cs="Arial"/>
          <w:bCs/>
          <w:iCs/>
          <w:color w:val="323E4F" w:themeColor="text2" w:themeShade="BF"/>
          <w:sz w:val="22"/>
          <w:szCs w:val="22"/>
          <w:lang w:eastAsia="es-MX"/>
        </w:rPr>
        <w:t xml:space="preserve"> una búsqueda en sus archivos físicos y electrónicos de las resoluciones recaídas a los Recursos de Inconformidad que se reportaron en el Informe Anual de Actividades de 2023 este Organismo Garante, </w:t>
      </w:r>
      <w:r w:rsidR="0020139A">
        <w:rPr>
          <w:rFonts w:ascii="Arial" w:hAnsi="Arial" w:cs="Arial"/>
          <w:bCs/>
          <w:iCs/>
          <w:color w:val="323E4F" w:themeColor="text2" w:themeShade="BF"/>
          <w:sz w:val="22"/>
          <w:szCs w:val="22"/>
          <w:lang w:eastAsia="es-MX"/>
        </w:rPr>
        <w:t xml:space="preserve">y en consecuencia ofrecieron </w:t>
      </w:r>
      <w:r w:rsidRPr="006F407C">
        <w:rPr>
          <w:rFonts w:ascii="Arial" w:hAnsi="Arial" w:cs="Arial"/>
          <w:bCs/>
          <w:iCs/>
          <w:color w:val="323E4F" w:themeColor="text2" w:themeShade="BF"/>
          <w:sz w:val="22"/>
          <w:szCs w:val="22"/>
          <w:lang w:eastAsia="es-MX"/>
        </w:rPr>
        <w:t>todas las modalidades posibles.</w:t>
      </w:r>
    </w:p>
    <w:p w14:paraId="72D8CD30" w14:textId="77777777" w:rsidR="006F407C" w:rsidRPr="006F407C" w:rsidRDefault="006F407C" w:rsidP="006F407C">
      <w:pPr>
        <w:spacing w:line="360" w:lineRule="auto"/>
        <w:ind w:firstLine="708"/>
        <w:jc w:val="both"/>
        <w:rPr>
          <w:rFonts w:ascii="Arial" w:hAnsi="Arial" w:cs="Arial"/>
          <w:bCs/>
          <w:iCs/>
          <w:color w:val="323E4F" w:themeColor="text2" w:themeShade="BF"/>
          <w:sz w:val="22"/>
          <w:szCs w:val="22"/>
          <w:lang w:eastAsia="es-MX"/>
        </w:rPr>
      </w:pPr>
    </w:p>
    <w:p w14:paraId="0244A82C" w14:textId="758D38AB" w:rsidR="006F407C" w:rsidRPr="006F407C" w:rsidRDefault="0020139A" w:rsidP="006F407C">
      <w:pPr>
        <w:spacing w:line="360" w:lineRule="auto"/>
        <w:ind w:firstLine="708"/>
        <w:jc w:val="both"/>
        <w:rPr>
          <w:rFonts w:ascii="Arial" w:hAnsi="Arial" w:cs="Arial"/>
          <w:bCs/>
          <w:iCs/>
          <w:color w:val="323E4F" w:themeColor="text2" w:themeShade="BF"/>
          <w:sz w:val="22"/>
          <w:szCs w:val="22"/>
          <w:lang w:eastAsia="es-MX"/>
        </w:rPr>
      </w:pPr>
      <w:r>
        <w:rPr>
          <w:rFonts w:ascii="Arial" w:hAnsi="Arial" w:cs="Arial"/>
          <w:bCs/>
          <w:iCs/>
          <w:color w:val="323E4F" w:themeColor="text2" w:themeShade="BF"/>
          <w:sz w:val="22"/>
          <w:szCs w:val="22"/>
          <w:lang w:eastAsia="es-MX"/>
        </w:rPr>
        <w:t xml:space="preserve">Finalmente, derivado de la </w:t>
      </w:r>
      <w:r w:rsidR="006F407C" w:rsidRPr="006F407C">
        <w:rPr>
          <w:rFonts w:ascii="Arial" w:hAnsi="Arial" w:cs="Arial"/>
          <w:bCs/>
          <w:iCs/>
          <w:color w:val="323E4F" w:themeColor="text2" w:themeShade="BF"/>
          <w:sz w:val="22"/>
          <w:szCs w:val="22"/>
          <w:lang w:eastAsia="es-MX"/>
        </w:rPr>
        <w:t xml:space="preserve">omisión de la publicación en el formato de aplicabilidad LTAIPSLP88IIIF, específicamente los RIAS, </w:t>
      </w:r>
      <w:r>
        <w:rPr>
          <w:rFonts w:ascii="Arial" w:hAnsi="Arial" w:cs="Arial"/>
          <w:bCs/>
          <w:iCs/>
          <w:color w:val="323E4F" w:themeColor="text2" w:themeShade="BF"/>
          <w:sz w:val="22"/>
          <w:szCs w:val="22"/>
          <w:lang w:eastAsia="es-MX"/>
        </w:rPr>
        <w:t xml:space="preserve">la Unidad de Transparencia </w:t>
      </w:r>
      <w:r w:rsidR="006F407C" w:rsidRPr="006F407C">
        <w:rPr>
          <w:rFonts w:ascii="Arial" w:hAnsi="Arial" w:cs="Arial"/>
          <w:bCs/>
          <w:iCs/>
          <w:color w:val="323E4F" w:themeColor="text2" w:themeShade="BF"/>
          <w:sz w:val="22"/>
          <w:szCs w:val="22"/>
          <w:lang w:eastAsia="es-MX"/>
        </w:rPr>
        <w:t>realiz</w:t>
      </w:r>
      <w:r>
        <w:rPr>
          <w:rFonts w:ascii="Arial" w:hAnsi="Arial" w:cs="Arial"/>
          <w:bCs/>
          <w:iCs/>
          <w:color w:val="323E4F" w:themeColor="text2" w:themeShade="BF"/>
          <w:sz w:val="22"/>
          <w:szCs w:val="22"/>
          <w:lang w:eastAsia="es-MX"/>
        </w:rPr>
        <w:t>ó l</w:t>
      </w:r>
      <w:r w:rsidR="006F407C" w:rsidRPr="006F407C">
        <w:rPr>
          <w:rFonts w:ascii="Arial" w:hAnsi="Arial" w:cs="Arial"/>
          <w:bCs/>
          <w:iCs/>
          <w:color w:val="323E4F" w:themeColor="text2" w:themeShade="BF"/>
          <w:sz w:val="22"/>
          <w:szCs w:val="22"/>
          <w:lang w:eastAsia="es-MX"/>
        </w:rPr>
        <w:t>os ajustes necesarios para publicitar de manera correcta la información contenida en el referido formato, acorde a lo previsto en el numeral 80 de la Ley de la materia, artículo 43 fracción V del Reglamento Interior y el Lineamiento Quinto y Séptimo de los Lineamientos estatales para la difusión, disposición y evaluación de las obligaciones de transparencia comunes y específicas.</w:t>
      </w:r>
    </w:p>
    <w:p w14:paraId="71CF16B0" w14:textId="7C904FF7" w:rsidR="006F407C" w:rsidRDefault="006F407C" w:rsidP="00875040">
      <w:pPr>
        <w:spacing w:line="360" w:lineRule="auto"/>
        <w:ind w:firstLine="708"/>
        <w:jc w:val="both"/>
        <w:rPr>
          <w:rFonts w:ascii="Arial" w:hAnsi="Arial" w:cs="Arial"/>
          <w:bCs/>
          <w:iCs/>
          <w:color w:val="323E4F" w:themeColor="text2" w:themeShade="BF"/>
          <w:sz w:val="22"/>
          <w:szCs w:val="22"/>
          <w:lang w:eastAsia="es-MX"/>
        </w:rPr>
      </w:pPr>
    </w:p>
    <w:p w14:paraId="1A22F435" w14:textId="15B61E26" w:rsidR="00B53715" w:rsidRPr="00B41164" w:rsidRDefault="00B53715" w:rsidP="00783AAA">
      <w:pPr>
        <w:spacing w:line="360" w:lineRule="auto"/>
        <w:ind w:firstLine="708"/>
        <w:jc w:val="both"/>
        <w:rPr>
          <w:rFonts w:ascii="Arial" w:eastAsia="Arial" w:hAnsi="Arial" w:cs="Arial"/>
          <w:spacing w:val="1"/>
          <w:sz w:val="22"/>
          <w:szCs w:val="22"/>
        </w:rPr>
      </w:pPr>
      <w:r w:rsidRPr="00B41164">
        <w:rPr>
          <w:rFonts w:ascii="Arial" w:eastAsia="Arial" w:hAnsi="Arial" w:cs="Arial"/>
          <w:spacing w:val="1"/>
          <w:sz w:val="22"/>
          <w:szCs w:val="22"/>
        </w:rPr>
        <w:t xml:space="preserve">De lo anterior, </w:t>
      </w:r>
      <w:r w:rsidR="00783AAA" w:rsidRPr="00B41164">
        <w:rPr>
          <w:rFonts w:ascii="Arial" w:eastAsia="Arial" w:hAnsi="Arial" w:cs="Arial"/>
          <w:spacing w:val="1"/>
          <w:sz w:val="22"/>
          <w:szCs w:val="22"/>
        </w:rPr>
        <w:t>se estima que la respuesta otorgada por el sujeto obligado atiende los efectos señalados en la determinación adoptada por el Pleno de esta comisión, ello así en virtud de que se atienden los puntos formu</w:t>
      </w:r>
      <w:r w:rsidR="00DB01C6" w:rsidRPr="00B41164">
        <w:rPr>
          <w:rFonts w:ascii="Arial" w:eastAsia="Arial" w:hAnsi="Arial" w:cs="Arial"/>
          <w:spacing w:val="1"/>
          <w:sz w:val="22"/>
          <w:szCs w:val="22"/>
        </w:rPr>
        <w:t>lados en la referida solicitud.</w:t>
      </w:r>
    </w:p>
    <w:p w14:paraId="60B2E9D2" w14:textId="77777777" w:rsidR="00B53715" w:rsidRPr="00B41164" w:rsidRDefault="00B53715" w:rsidP="00783AAA">
      <w:pPr>
        <w:spacing w:line="360" w:lineRule="auto"/>
        <w:ind w:firstLine="708"/>
        <w:jc w:val="both"/>
        <w:rPr>
          <w:rFonts w:ascii="Arial" w:eastAsia="Arial" w:hAnsi="Arial" w:cs="Arial"/>
          <w:spacing w:val="1"/>
          <w:sz w:val="22"/>
          <w:szCs w:val="22"/>
        </w:rPr>
      </w:pPr>
    </w:p>
    <w:p w14:paraId="56B334E9" w14:textId="1148E9FE" w:rsidR="00783AAA" w:rsidRPr="00B41164" w:rsidRDefault="00783AAA" w:rsidP="00783AAA">
      <w:pPr>
        <w:spacing w:line="360" w:lineRule="auto"/>
        <w:ind w:firstLine="708"/>
        <w:jc w:val="both"/>
        <w:rPr>
          <w:rFonts w:ascii="Arial" w:eastAsia="Arial" w:hAnsi="Arial" w:cs="Arial"/>
          <w:spacing w:val="1"/>
          <w:sz w:val="22"/>
          <w:szCs w:val="22"/>
          <w:lang w:val="es-ES"/>
        </w:rPr>
      </w:pPr>
      <w:r w:rsidRPr="00B41164">
        <w:rPr>
          <w:rFonts w:ascii="Arial" w:eastAsia="Arial" w:hAnsi="Arial" w:cs="Arial"/>
          <w:spacing w:val="1"/>
          <w:sz w:val="22"/>
          <w:szCs w:val="22"/>
          <w:lang w:val="es-ES"/>
        </w:rPr>
        <w:t xml:space="preserve">A este respecto, es necesario precisar que </w:t>
      </w:r>
      <w:r w:rsidR="00B53715" w:rsidRPr="00B41164">
        <w:rPr>
          <w:rFonts w:ascii="Arial" w:eastAsia="Arial" w:hAnsi="Arial" w:cs="Arial"/>
          <w:spacing w:val="1"/>
          <w:sz w:val="22"/>
          <w:szCs w:val="22"/>
          <w:lang w:val="es-ES"/>
        </w:rPr>
        <w:t>la responsable ha acreditado la notificación por la cual da cumplimiento a los extremos de la determinación del asunto que nos ocupa</w:t>
      </w:r>
      <w:r w:rsidRPr="00B41164">
        <w:rPr>
          <w:rFonts w:ascii="Arial" w:eastAsia="Arial" w:hAnsi="Arial" w:cs="Arial"/>
          <w:spacing w:val="1"/>
          <w:sz w:val="22"/>
          <w:szCs w:val="22"/>
          <w:lang w:val="es-ES"/>
        </w:rPr>
        <w:t xml:space="preserve">, misma que debe ser entendida como el acto mediante el cual se da a conocer al interesado a través de un medio remoto una decisión administrativa, y por ello debe contar con un documento que de manera fehaciente demuestre la notificación </w:t>
      </w:r>
      <w:r w:rsidRPr="00B41164">
        <w:rPr>
          <w:rFonts w:ascii="Arial" w:eastAsia="Arial" w:hAnsi="Arial" w:cs="Arial"/>
          <w:spacing w:val="1"/>
          <w:sz w:val="22"/>
          <w:szCs w:val="22"/>
          <w:lang w:val="es-ES"/>
        </w:rPr>
        <w:lastRenderedPageBreak/>
        <w:t xml:space="preserve">al destinario, ya que de otro modo se violentaría en perjuicio del solicitante la garantía de seguridad jurídica que le asiste. </w:t>
      </w:r>
    </w:p>
    <w:p w14:paraId="354566F4" w14:textId="77777777" w:rsidR="00B53715" w:rsidRPr="00B41164" w:rsidRDefault="00B53715" w:rsidP="00783AAA">
      <w:pPr>
        <w:spacing w:line="360" w:lineRule="auto"/>
        <w:ind w:firstLine="708"/>
        <w:jc w:val="both"/>
        <w:rPr>
          <w:rFonts w:ascii="Arial" w:eastAsia="Arial" w:hAnsi="Arial" w:cs="Arial"/>
          <w:spacing w:val="1"/>
          <w:sz w:val="22"/>
          <w:szCs w:val="22"/>
          <w:lang w:val="es-ES"/>
        </w:rPr>
      </w:pPr>
    </w:p>
    <w:p w14:paraId="3401BE24" w14:textId="77777777" w:rsidR="00783AAA" w:rsidRPr="00B41164" w:rsidRDefault="00783AAA" w:rsidP="00783AAA">
      <w:pPr>
        <w:spacing w:line="360" w:lineRule="auto"/>
        <w:ind w:firstLine="708"/>
        <w:jc w:val="both"/>
        <w:rPr>
          <w:rFonts w:ascii="Arial" w:eastAsia="Arial" w:hAnsi="Arial" w:cs="Arial"/>
          <w:spacing w:val="1"/>
          <w:sz w:val="22"/>
          <w:szCs w:val="22"/>
          <w:lang w:val="es-ES"/>
        </w:rPr>
      </w:pPr>
      <w:r w:rsidRPr="00B41164">
        <w:rPr>
          <w:rFonts w:ascii="Arial" w:eastAsia="Arial" w:hAnsi="Arial" w:cs="Arial"/>
          <w:spacing w:val="1"/>
          <w:sz w:val="22"/>
          <w:szCs w:val="22"/>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41E82958" w14:textId="77777777" w:rsidR="00783AAA" w:rsidRPr="00A5421E" w:rsidRDefault="00783AAA" w:rsidP="00783AAA">
      <w:pPr>
        <w:spacing w:line="360" w:lineRule="auto"/>
        <w:ind w:firstLine="708"/>
        <w:jc w:val="both"/>
        <w:rPr>
          <w:rFonts w:ascii="Arial" w:eastAsia="Arial" w:hAnsi="Arial" w:cs="Arial"/>
          <w:spacing w:val="1"/>
          <w:lang w:val="es-ES"/>
        </w:rPr>
      </w:pPr>
    </w:p>
    <w:p w14:paraId="0286ECA4" w14:textId="77777777" w:rsidR="00783AAA" w:rsidRPr="00A5421E" w:rsidRDefault="00783AAA" w:rsidP="00B53715">
      <w:pPr>
        <w:ind w:left="1134" w:right="1183"/>
        <w:jc w:val="both"/>
        <w:rPr>
          <w:rFonts w:ascii="Arial" w:eastAsia="Arial" w:hAnsi="Arial" w:cs="Arial"/>
          <w:b/>
          <w:spacing w:val="1"/>
          <w:sz w:val="22"/>
          <w:szCs w:val="22"/>
          <w:lang w:val="es-ES"/>
        </w:rPr>
      </w:pPr>
      <w:r w:rsidRPr="00A5421E">
        <w:rPr>
          <w:rFonts w:ascii="Arial" w:eastAsia="Arial" w:hAnsi="Arial" w:cs="Arial"/>
          <w:b/>
          <w:bCs/>
          <w:spacing w:val="1"/>
          <w:sz w:val="22"/>
          <w:szCs w:val="22"/>
          <w:lang w:val="es-ES"/>
        </w:rPr>
        <w:t xml:space="preserve">“NOTIFICACIÓN ELECTRÓNICA. AL PRACTICARLA, LA AUTORIDAD DEBE ANEXAR EN AUTOS DEL EXPEDIENTE ADMINISTRATIVO O JUDICIAL DEL QUE DERIVE, LA CONSTANCIA FEHACIENTE DE RECEPCIÓN POR SU DESTINATARIO. </w:t>
      </w:r>
      <w:r w:rsidRPr="00A5421E">
        <w:rPr>
          <w:rFonts w:ascii="Arial" w:eastAsia="Arial" w:hAnsi="Arial" w:cs="Arial"/>
          <w:spacing w:val="1"/>
          <w:sz w:val="22"/>
          <w:szCs w:val="22"/>
          <w:lang w:val="es-ES"/>
        </w:rPr>
        <w:t>La </w:t>
      </w:r>
      <w:r w:rsidRPr="00A5421E">
        <w:rPr>
          <w:rFonts w:ascii="Arial" w:eastAsia="Arial" w:hAnsi="Arial" w:cs="Arial"/>
          <w:bCs/>
          <w:spacing w:val="1"/>
          <w:sz w:val="22"/>
          <w:szCs w:val="22"/>
          <w:lang w:val="es-ES"/>
        </w:rPr>
        <w:t>notificación</w:t>
      </w:r>
      <w:r w:rsidRPr="00A5421E">
        <w:rPr>
          <w:rFonts w:ascii="Arial" w:eastAsia="Arial" w:hAnsi="Arial" w:cs="Arial"/>
          <w:spacing w:val="1"/>
          <w:sz w:val="22"/>
          <w:szCs w:val="22"/>
          <w:lang w:val="es-ES"/>
        </w:rPr>
        <w:t> </w:t>
      </w:r>
      <w:r w:rsidRPr="00A5421E">
        <w:rPr>
          <w:rFonts w:ascii="Arial" w:eastAsia="Arial" w:hAnsi="Arial" w:cs="Arial"/>
          <w:bCs/>
          <w:spacing w:val="1"/>
          <w:sz w:val="22"/>
          <w:szCs w:val="22"/>
          <w:lang w:val="es-ES"/>
        </w:rPr>
        <w:t>electrónica</w:t>
      </w:r>
      <w:r w:rsidRPr="00A5421E">
        <w:rPr>
          <w:rFonts w:ascii="Arial" w:eastAsia="Arial" w:hAnsi="Arial" w:cs="Arial"/>
          <w:spacing w:val="1"/>
          <w:sz w:val="22"/>
          <w:szCs w:val="22"/>
          <w:lang w:val="es-ES"/>
        </w:rPr>
        <w:t xml:space="preserve">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w:t>
      </w:r>
      <w:r w:rsidRPr="00A5421E">
        <w:rPr>
          <w:rFonts w:ascii="Arial" w:eastAsia="Arial" w:hAnsi="Arial" w:cs="Arial"/>
          <w:b/>
          <w:spacing w:val="1"/>
          <w:sz w:val="22"/>
          <w:szCs w:val="22"/>
          <w:lang w:val="es-ES"/>
        </w:rPr>
        <w:t>en la </w:t>
      </w:r>
      <w:hyperlink r:id="rId8" w:history="1">
        <w:r w:rsidRPr="00A5421E">
          <w:rPr>
            <w:rStyle w:val="Hipervnculo"/>
            <w:rFonts w:ascii="Arial" w:eastAsia="Arial" w:hAnsi="Arial" w:cs="Arial"/>
            <w:b/>
            <w:color w:val="auto"/>
            <w:spacing w:val="1"/>
            <w:sz w:val="22"/>
            <w:szCs w:val="22"/>
            <w:lang w:val="es-ES"/>
          </w:rPr>
          <w:t>fracción I del artículo 172 de la Ley de Amparo</w:t>
        </w:r>
      </w:hyperlink>
      <w:r w:rsidRPr="00A5421E">
        <w:rPr>
          <w:rFonts w:ascii="Arial" w:eastAsia="Arial" w:hAnsi="Arial" w:cs="Arial"/>
          <w:b/>
          <w:spacing w:val="1"/>
          <w:sz w:val="22"/>
          <w:szCs w:val="22"/>
          <w:lang w:val="es-ES"/>
        </w:rPr>
        <w:t>, vigente a partir del 3 de abril de 2013”.</w:t>
      </w:r>
    </w:p>
    <w:p w14:paraId="0D30F0A0" w14:textId="77777777" w:rsidR="00783AAA" w:rsidRPr="00A5421E" w:rsidRDefault="00783AAA" w:rsidP="00783AAA">
      <w:pPr>
        <w:spacing w:line="360" w:lineRule="auto"/>
        <w:ind w:firstLine="708"/>
        <w:jc w:val="both"/>
        <w:rPr>
          <w:rFonts w:ascii="Arial" w:eastAsia="Arial" w:hAnsi="Arial" w:cs="Arial"/>
          <w:b/>
          <w:spacing w:val="1"/>
          <w:lang w:val="es-ES"/>
        </w:rPr>
      </w:pPr>
    </w:p>
    <w:p w14:paraId="298BE193" w14:textId="3C9B266C" w:rsidR="00783AAA" w:rsidRPr="00B41164" w:rsidRDefault="00783AAA" w:rsidP="00783AAA">
      <w:pPr>
        <w:spacing w:line="360" w:lineRule="auto"/>
        <w:ind w:firstLine="708"/>
        <w:jc w:val="both"/>
        <w:rPr>
          <w:rFonts w:ascii="Arial" w:eastAsia="Arial" w:hAnsi="Arial" w:cs="Arial"/>
          <w:spacing w:val="1"/>
          <w:sz w:val="22"/>
          <w:szCs w:val="22"/>
          <w:lang w:val="es-ES"/>
        </w:rPr>
      </w:pPr>
      <w:r w:rsidRPr="00B41164">
        <w:rPr>
          <w:rFonts w:ascii="Arial" w:eastAsia="Arial" w:hAnsi="Arial" w:cs="Arial"/>
          <w:spacing w:val="1"/>
          <w:sz w:val="22"/>
          <w:szCs w:val="22"/>
          <w:lang w:val="es-ES"/>
        </w:rPr>
        <w:t xml:space="preserve">En razón de la tesis invocada y del análisis de las constancias que acompañó el sujeto obligado, se puede verificar a foja </w:t>
      </w:r>
      <w:r w:rsidR="00A5421E" w:rsidRPr="00B41164">
        <w:rPr>
          <w:rFonts w:ascii="Arial" w:eastAsia="Arial" w:hAnsi="Arial" w:cs="Arial"/>
          <w:spacing w:val="1"/>
          <w:sz w:val="22"/>
          <w:szCs w:val="22"/>
          <w:lang w:val="es-ES"/>
        </w:rPr>
        <w:t>96</w:t>
      </w:r>
      <w:r w:rsidRPr="00B41164">
        <w:rPr>
          <w:rFonts w:ascii="Arial" w:eastAsia="Arial" w:hAnsi="Arial" w:cs="Arial"/>
          <w:spacing w:val="1"/>
          <w:sz w:val="22"/>
          <w:szCs w:val="22"/>
          <w:lang w:val="es-ES"/>
        </w:rPr>
        <w:t>, que notificó la información generada al particular a través de</w:t>
      </w:r>
      <w:r w:rsidR="00A5421E" w:rsidRPr="00B41164">
        <w:rPr>
          <w:rFonts w:ascii="Arial" w:eastAsia="Arial" w:hAnsi="Arial" w:cs="Arial"/>
          <w:spacing w:val="1"/>
          <w:sz w:val="22"/>
          <w:szCs w:val="22"/>
          <w:lang w:val="es-ES"/>
        </w:rPr>
        <w:t xml:space="preserve">l medio señalado por la persona recurrente, </w:t>
      </w:r>
      <w:r w:rsidRPr="00B41164">
        <w:rPr>
          <w:rFonts w:ascii="Arial" w:eastAsia="Arial" w:hAnsi="Arial" w:cs="Arial"/>
          <w:spacing w:val="1"/>
          <w:sz w:val="22"/>
          <w:szCs w:val="22"/>
          <w:lang w:val="es-ES"/>
        </w:rPr>
        <w:t>tal y como se puede corroborar a foja 1 del presente sumario, lo cual permite apreciar que se le entregó la respuesta que emitió el área ante la cual se le gestionó la solicitud de información.</w:t>
      </w:r>
    </w:p>
    <w:p w14:paraId="76599EC1" w14:textId="77777777" w:rsidR="00783AAA" w:rsidRPr="00B41164" w:rsidRDefault="00783AAA" w:rsidP="00783AAA">
      <w:pPr>
        <w:spacing w:line="360" w:lineRule="auto"/>
        <w:ind w:firstLine="708"/>
        <w:jc w:val="both"/>
        <w:rPr>
          <w:rFonts w:ascii="Arial" w:eastAsia="Arial" w:hAnsi="Arial" w:cs="Arial"/>
          <w:spacing w:val="1"/>
          <w:sz w:val="22"/>
          <w:szCs w:val="22"/>
          <w:lang w:val="es-ES"/>
        </w:rPr>
      </w:pPr>
    </w:p>
    <w:p w14:paraId="672C4550" w14:textId="13170C0A"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spacing w:val="1"/>
          <w:sz w:val="22"/>
          <w:szCs w:val="22"/>
          <w:lang w:val="es-ES"/>
        </w:rPr>
        <w:t>Asimismo, de las constancias aportadas al presente sumario, se advie</w:t>
      </w:r>
      <w:r w:rsidR="0040210B">
        <w:rPr>
          <w:rFonts w:ascii="Arial" w:eastAsia="Arial" w:hAnsi="Arial" w:cs="Arial"/>
          <w:spacing w:val="1"/>
          <w:sz w:val="22"/>
          <w:szCs w:val="22"/>
          <w:lang w:val="es-ES"/>
        </w:rPr>
        <w:t>rte que el particular no realizó</w:t>
      </w:r>
      <w:r w:rsidRPr="00B41164">
        <w:rPr>
          <w:rFonts w:ascii="Arial" w:eastAsia="Arial" w:hAnsi="Arial" w:cs="Arial"/>
          <w:spacing w:val="1"/>
          <w:sz w:val="22"/>
          <w:szCs w:val="22"/>
          <w:lang w:val="es-ES"/>
        </w:rPr>
        <w:t xml:space="preserve"> manifestación alguna en sentido contrario al presente cumplimiento, por lo que es </w:t>
      </w:r>
      <w:r w:rsidRPr="00B41164">
        <w:rPr>
          <w:rFonts w:ascii="Arial" w:eastAsia="Arial" w:hAnsi="Arial" w:cs="Arial"/>
          <w:spacing w:val="1"/>
          <w:sz w:val="22"/>
          <w:szCs w:val="22"/>
        </w:rPr>
        <w:t>necesario señalar que el inconforme</w:t>
      </w:r>
      <w:r w:rsidR="00A5421E" w:rsidRPr="00B41164">
        <w:rPr>
          <w:rFonts w:ascii="Arial" w:eastAsia="Arial" w:hAnsi="Arial" w:cs="Arial"/>
          <w:spacing w:val="1"/>
          <w:sz w:val="22"/>
          <w:szCs w:val="22"/>
        </w:rPr>
        <w:t xml:space="preserve"> no se duele del contenido de</w:t>
      </w:r>
      <w:r w:rsidRPr="00B41164">
        <w:rPr>
          <w:rFonts w:ascii="Arial" w:eastAsia="Arial" w:hAnsi="Arial" w:cs="Arial"/>
          <w:spacing w:val="1"/>
          <w:sz w:val="22"/>
          <w:szCs w:val="22"/>
        </w:rPr>
        <w:t xml:space="preserve"> la información entregada, por lo que se colige que se mostraba conforme con la respuesta emitida por el sujeto obligado respecto de aquello que requirió y, por la otra, no se inconformó del contenido de aquello que se le entregó.</w:t>
      </w:r>
    </w:p>
    <w:p w14:paraId="58823DA6" w14:textId="77777777" w:rsidR="000F223D" w:rsidRPr="00B41164" w:rsidRDefault="000F223D" w:rsidP="00783AAA">
      <w:pPr>
        <w:spacing w:line="360" w:lineRule="auto"/>
        <w:ind w:firstLine="708"/>
        <w:jc w:val="both"/>
        <w:rPr>
          <w:rFonts w:ascii="Arial" w:eastAsia="Arial" w:hAnsi="Arial" w:cs="Arial"/>
          <w:spacing w:val="1"/>
          <w:sz w:val="22"/>
          <w:szCs w:val="22"/>
        </w:rPr>
      </w:pPr>
    </w:p>
    <w:p w14:paraId="286C0593" w14:textId="0AEA798C"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spacing w:val="1"/>
          <w:sz w:val="22"/>
          <w:szCs w:val="22"/>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B41164">
        <w:rPr>
          <w:rFonts w:ascii="Arial" w:eastAsia="Arial" w:hAnsi="Arial" w:cs="Arial"/>
          <w:b/>
          <w:spacing w:val="1"/>
          <w:sz w:val="22"/>
          <w:szCs w:val="22"/>
          <w:u w:val="single"/>
        </w:rPr>
        <w:t>cumplida</w:t>
      </w:r>
      <w:r w:rsidRPr="00B41164">
        <w:rPr>
          <w:rFonts w:ascii="Arial" w:eastAsia="Arial" w:hAnsi="Arial" w:cs="Arial"/>
          <w:b/>
          <w:spacing w:val="1"/>
          <w:sz w:val="22"/>
          <w:szCs w:val="22"/>
        </w:rPr>
        <w:t xml:space="preserve"> </w:t>
      </w:r>
      <w:r w:rsidRPr="00B41164">
        <w:rPr>
          <w:rFonts w:ascii="Arial" w:eastAsia="Arial" w:hAnsi="Arial" w:cs="Arial"/>
          <w:spacing w:val="1"/>
          <w:sz w:val="22"/>
          <w:szCs w:val="22"/>
        </w:rPr>
        <w:t xml:space="preserve">la presente resolución. </w:t>
      </w:r>
    </w:p>
    <w:p w14:paraId="38A1C589" w14:textId="77777777" w:rsidR="00A5421E" w:rsidRPr="00B41164" w:rsidRDefault="00A5421E" w:rsidP="00783AAA">
      <w:pPr>
        <w:spacing w:line="360" w:lineRule="auto"/>
        <w:ind w:firstLine="708"/>
        <w:jc w:val="both"/>
        <w:rPr>
          <w:rFonts w:ascii="Arial" w:eastAsia="Arial" w:hAnsi="Arial" w:cs="Arial"/>
          <w:spacing w:val="1"/>
          <w:sz w:val="22"/>
          <w:szCs w:val="22"/>
        </w:rPr>
      </w:pPr>
    </w:p>
    <w:p w14:paraId="531EA760" w14:textId="56EC0C54"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spacing w:val="1"/>
          <w:sz w:val="22"/>
          <w:szCs w:val="22"/>
        </w:rPr>
        <w:t>Por lo anteriormente expuesto y fundado, se emite el siguiente:</w:t>
      </w:r>
    </w:p>
    <w:p w14:paraId="5A07F8F2" w14:textId="77777777" w:rsidR="00783AAA" w:rsidRPr="00B41164" w:rsidRDefault="00783AAA" w:rsidP="00783AAA">
      <w:pPr>
        <w:spacing w:line="360" w:lineRule="auto"/>
        <w:ind w:firstLine="708"/>
        <w:jc w:val="both"/>
        <w:rPr>
          <w:rFonts w:ascii="Arial" w:eastAsia="Arial" w:hAnsi="Arial" w:cs="Arial"/>
          <w:spacing w:val="1"/>
          <w:sz w:val="22"/>
          <w:szCs w:val="22"/>
        </w:rPr>
      </w:pPr>
    </w:p>
    <w:p w14:paraId="7EE64B67" w14:textId="77777777" w:rsidR="00783AAA" w:rsidRPr="00B41164" w:rsidRDefault="00783AAA" w:rsidP="00A5421E">
      <w:pPr>
        <w:spacing w:line="360" w:lineRule="auto"/>
        <w:ind w:firstLine="708"/>
        <w:jc w:val="center"/>
        <w:rPr>
          <w:rFonts w:ascii="Arial" w:eastAsia="Arial" w:hAnsi="Arial" w:cs="Arial"/>
          <w:b/>
          <w:spacing w:val="1"/>
          <w:sz w:val="22"/>
          <w:szCs w:val="22"/>
        </w:rPr>
      </w:pPr>
      <w:r w:rsidRPr="00B41164">
        <w:rPr>
          <w:rFonts w:ascii="Arial" w:eastAsia="Arial" w:hAnsi="Arial" w:cs="Arial"/>
          <w:b/>
          <w:spacing w:val="1"/>
          <w:sz w:val="22"/>
          <w:szCs w:val="22"/>
        </w:rPr>
        <w:t>ACUERDO</w:t>
      </w:r>
    </w:p>
    <w:p w14:paraId="4C9A8B46" w14:textId="77777777" w:rsidR="00A5421E" w:rsidRPr="00B41164" w:rsidRDefault="00A5421E" w:rsidP="00783AAA">
      <w:pPr>
        <w:spacing w:line="360" w:lineRule="auto"/>
        <w:ind w:firstLine="708"/>
        <w:jc w:val="both"/>
        <w:rPr>
          <w:rFonts w:ascii="Arial" w:eastAsia="Arial" w:hAnsi="Arial" w:cs="Arial"/>
          <w:b/>
          <w:spacing w:val="1"/>
          <w:sz w:val="22"/>
          <w:szCs w:val="22"/>
        </w:rPr>
      </w:pPr>
    </w:p>
    <w:p w14:paraId="63E7B968" w14:textId="3123FC80"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b/>
          <w:spacing w:val="1"/>
          <w:sz w:val="22"/>
          <w:szCs w:val="22"/>
        </w:rPr>
        <w:t xml:space="preserve">PRIMERO. </w:t>
      </w:r>
      <w:r w:rsidRPr="00B41164">
        <w:rPr>
          <w:rFonts w:ascii="Arial" w:eastAsia="Arial" w:hAnsi="Arial" w:cs="Arial"/>
          <w:spacing w:val="1"/>
          <w:sz w:val="22"/>
          <w:szCs w:val="22"/>
        </w:rPr>
        <w:t xml:space="preserve">Con base en el artículo 185, fracción I de la Ley de Transparencia y Acceso a la Información Pública del Estado, declara </w:t>
      </w:r>
      <w:r w:rsidRPr="00B41164">
        <w:rPr>
          <w:rFonts w:ascii="Arial" w:eastAsia="Arial" w:hAnsi="Arial" w:cs="Arial"/>
          <w:b/>
          <w:spacing w:val="1"/>
          <w:sz w:val="22"/>
          <w:szCs w:val="22"/>
          <w:u w:val="single"/>
        </w:rPr>
        <w:t>cumplida</w:t>
      </w:r>
      <w:r w:rsidRPr="00B41164">
        <w:rPr>
          <w:rFonts w:ascii="Arial" w:eastAsia="Arial" w:hAnsi="Arial" w:cs="Arial"/>
          <w:spacing w:val="1"/>
          <w:sz w:val="22"/>
          <w:szCs w:val="22"/>
        </w:rPr>
        <w:t xml:space="preserve"> la resolución que en definitiva se dictó en el presente asunto.</w:t>
      </w:r>
    </w:p>
    <w:p w14:paraId="4BC0C8E3" w14:textId="77777777" w:rsidR="00783AAA" w:rsidRPr="00B41164" w:rsidRDefault="00783AAA" w:rsidP="00783AAA">
      <w:pPr>
        <w:spacing w:line="360" w:lineRule="auto"/>
        <w:ind w:firstLine="708"/>
        <w:jc w:val="both"/>
        <w:rPr>
          <w:rFonts w:ascii="Arial" w:eastAsia="Arial" w:hAnsi="Arial" w:cs="Arial"/>
          <w:spacing w:val="1"/>
          <w:sz w:val="22"/>
          <w:szCs w:val="22"/>
        </w:rPr>
      </w:pPr>
    </w:p>
    <w:p w14:paraId="3DE77AD7" w14:textId="77777777"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b/>
          <w:spacing w:val="1"/>
          <w:sz w:val="22"/>
          <w:szCs w:val="22"/>
        </w:rPr>
        <w:t xml:space="preserve">SEGUNDO. </w:t>
      </w:r>
      <w:r w:rsidRPr="00B41164">
        <w:rPr>
          <w:rFonts w:ascii="Arial" w:eastAsia="Arial" w:hAnsi="Arial" w:cs="Arial"/>
          <w:spacing w:val="1"/>
          <w:sz w:val="22"/>
          <w:szCs w:val="22"/>
        </w:rPr>
        <w:t>Con fundamento en los artículos 2 fracción XII y 9 de los Lineamientos para la Gestión de Archivos Administrativos y Resguardo de la Información Pública del Estado de San Luis Potosí, emitidos por esta Comisión,</w:t>
      </w:r>
      <w:r w:rsidRPr="00B41164">
        <w:rPr>
          <w:rFonts w:ascii="Arial" w:eastAsia="Arial" w:hAnsi="Arial" w:cs="Arial"/>
          <w:b/>
          <w:spacing w:val="1"/>
          <w:sz w:val="22"/>
          <w:szCs w:val="22"/>
        </w:rPr>
        <w:t xml:space="preserve"> se remite el presente asunto al Archivo de Concentración de este Órgano Garante, </w:t>
      </w:r>
      <w:r w:rsidRPr="00B41164">
        <w:rPr>
          <w:rFonts w:ascii="Arial" w:eastAsia="Arial" w:hAnsi="Arial" w:cs="Arial"/>
          <w:spacing w:val="1"/>
          <w:sz w:val="22"/>
          <w:szCs w:val="22"/>
        </w:rPr>
        <w:t>como asunto concluido.</w:t>
      </w:r>
    </w:p>
    <w:p w14:paraId="746063CB" w14:textId="77777777" w:rsidR="00783AAA" w:rsidRPr="00B41164" w:rsidRDefault="00783AAA" w:rsidP="00783AAA">
      <w:pPr>
        <w:spacing w:line="360" w:lineRule="auto"/>
        <w:ind w:firstLine="708"/>
        <w:jc w:val="both"/>
        <w:rPr>
          <w:rFonts w:ascii="Arial" w:eastAsia="Arial" w:hAnsi="Arial" w:cs="Arial"/>
          <w:b/>
          <w:spacing w:val="1"/>
          <w:sz w:val="22"/>
          <w:szCs w:val="22"/>
        </w:rPr>
      </w:pPr>
    </w:p>
    <w:p w14:paraId="30E14CD9" w14:textId="3BA86ECD"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b/>
          <w:spacing w:val="1"/>
          <w:sz w:val="22"/>
          <w:szCs w:val="22"/>
        </w:rPr>
        <w:t>TERCERO.</w:t>
      </w:r>
      <w:r w:rsidRPr="00B41164">
        <w:rPr>
          <w:rFonts w:ascii="Arial" w:eastAsia="Arial" w:hAnsi="Arial" w:cs="Arial"/>
          <w:spacing w:val="1"/>
          <w:sz w:val="22"/>
          <w:szCs w:val="22"/>
        </w:rPr>
        <w:t xml:space="preserve"> Notifíquese.</w:t>
      </w:r>
    </w:p>
    <w:p w14:paraId="3040206E" w14:textId="77777777" w:rsidR="00A5421E" w:rsidRPr="00B41164" w:rsidRDefault="00A5421E" w:rsidP="00A5421E">
      <w:pPr>
        <w:spacing w:line="360" w:lineRule="auto"/>
        <w:ind w:firstLine="708"/>
        <w:jc w:val="both"/>
        <w:rPr>
          <w:rFonts w:ascii="Arial" w:hAnsi="Arial" w:cs="Arial"/>
          <w:i/>
          <w:sz w:val="22"/>
          <w:szCs w:val="22"/>
          <w:lang w:eastAsia="es-MX"/>
        </w:rPr>
      </w:pPr>
    </w:p>
    <w:p w14:paraId="2728E04C" w14:textId="0DC5A607" w:rsidR="00A5421E" w:rsidRPr="00B41164" w:rsidRDefault="00A5421E" w:rsidP="00A5421E">
      <w:pPr>
        <w:spacing w:line="360" w:lineRule="auto"/>
        <w:ind w:firstLine="708"/>
        <w:jc w:val="both"/>
        <w:rPr>
          <w:rFonts w:ascii="Arial" w:hAnsi="Arial" w:cs="Arial"/>
          <w:sz w:val="22"/>
          <w:szCs w:val="22"/>
          <w:lang w:eastAsia="es-MX"/>
        </w:rPr>
      </w:pPr>
      <w:r w:rsidRPr="00B41164">
        <w:rPr>
          <w:rFonts w:ascii="Arial" w:hAnsi="Arial" w:cs="Arial"/>
          <w:sz w:val="22"/>
          <w:szCs w:val="22"/>
          <w:lang w:eastAsia="es-MX"/>
        </w:rPr>
        <w:t>Así lo proveyó y firma Adriana Berenice Capetillo Reyes, Proyectista Adscrita a la Ponencia 3 de la Comisión Estatal de Garantía de Acceso a la Información Pública, que actúa de conformidad con lo establecido en el artículo 51, fracción VII del Reglamento Interno de la Comisión Estatal de Garantía de Acceso a la Información Pública, en correlación con el Acuerdo CEGAIP-738/2023, emitido por el Pleno de este Órgano Garante, en la Ciudad de</w:t>
      </w:r>
      <w:r w:rsidR="0040210B">
        <w:rPr>
          <w:rFonts w:ascii="Arial" w:hAnsi="Arial" w:cs="Arial"/>
          <w:sz w:val="22"/>
          <w:szCs w:val="22"/>
          <w:lang w:eastAsia="es-MX"/>
        </w:rPr>
        <w:t xml:space="preserve"> San Luis Potosí, S. L. P., a </w:t>
      </w:r>
      <w:r w:rsidR="0020139A">
        <w:rPr>
          <w:rFonts w:ascii="Arial" w:hAnsi="Arial" w:cs="Arial"/>
          <w:sz w:val="22"/>
          <w:szCs w:val="22"/>
          <w:lang w:eastAsia="es-MX"/>
        </w:rPr>
        <w:t xml:space="preserve">21 veintiuno </w:t>
      </w:r>
      <w:r w:rsidR="0040210B">
        <w:rPr>
          <w:rFonts w:ascii="Arial" w:hAnsi="Arial" w:cs="Arial"/>
          <w:sz w:val="22"/>
          <w:szCs w:val="22"/>
          <w:lang w:eastAsia="es-MX"/>
        </w:rPr>
        <w:t xml:space="preserve">de </w:t>
      </w:r>
      <w:r w:rsidRPr="00B41164">
        <w:rPr>
          <w:rFonts w:ascii="Arial" w:hAnsi="Arial" w:cs="Arial"/>
          <w:sz w:val="22"/>
          <w:szCs w:val="22"/>
          <w:lang w:eastAsia="es-MX"/>
        </w:rPr>
        <w:t xml:space="preserve">agosto de 2024 dos mil veinticuatro. </w:t>
      </w:r>
    </w:p>
    <w:p w14:paraId="66319042" w14:textId="77777777" w:rsidR="00A5421E" w:rsidRPr="00A5421E" w:rsidRDefault="00A5421E" w:rsidP="00A5421E">
      <w:pPr>
        <w:spacing w:line="360" w:lineRule="auto"/>
        <w:ind w:firstLine="708"/>
        <w:jc w:val="both"/>
        <w:rPr>
          <w:rFonts w:ascii="Arial" w:hAnsi="Arial" w:cs="Arial"/>
          <w:b/>
          <w:lang w:eastAsia="es-MX"/>
        </w:rPr>
      </w:pPr>
    </w:p>
    <w:p w14:paraId="16782D37" w14:textId="77777777" w:rsidR="00A5421E" w:rsidRPr="0020139A" w:rsidRDefault="00A5421E" w:rsidP="00A5421E">
      <w:pPr>
        <w:spacing w:line="360" w:lineRule="auto"/>
        <w:ind w:firstLine="708"/>
        <w:jc w:val="both"/>
        <w:rPr>
          <w:rFonts w:ascii="Arial" w:hAnsi="Arial" w:cs="Arial"/>
          <w:b/>
          <w:sz w:val="22"/>
          <w:szCs w:val="22"/>
          <w:lang w:eastAsia="es-MX"/>
        </w:rPr>
      </w:pPr>
    </w:p>
    <w:p w14:paraId="1B6B466A" w14:textId="77777777" w:rsidR="00A5421E" w:rsidRPr="0020139A" w:rsidRDefault="00A5421E" w:rsidP="00A5421E">
      <w:pPr>
        <w:spacing w:line="360" w:lineRule="auto"/>
        <w:ind w:firstLine="708"/>
        <w:jc w:val="center"/>
        <w:rPr>
          <w:rFonts w:ascii="Arial" w:hAnsi="Arial" w:cs="Arial"/>
          <w:sz w:val="22"/>
          <w:szCs w:val="22"/>
          <w:lang w:eastAsia="es-MX"/>
        </w:rPr>
      </w:pPr>
      <w:r w:rsidRPr="0020139A">
        <w:rPr>
          <w:rFonts w:ascii="Arial" w:hAnsi="Arial" w:cs="Arial"/>
          <w:sz w:val="22"/>
          <w:szCs w:val="22"/>
          <w:lang w:eastAsia="es-MX"/>
        </w:rPr>
        <w:t>Adriana Berenice Capetillo Reyes</w:t>
      </w:r>
    </w:p>
    <w:p w14:paraId="7D790328" w14:textId="77777777" w:rsidR="00A5421E" w:rsidRPr="0020139A" w:rsidRDefault="00A5421E" w:rsidP="00A5421E">
      <w:pPr>
        <w:spacing w:line="360" w:lineRule="auto"/>
        <w:ind w:firstLine="708"/>
        <w:jc w:val="center"/>
        <w:rPr>
          <w:rFonts w:ascii="Arial" w:hAnsi="Arial" w:cs="Arial"/>
          <w:sz w:val="22"/>
          <w:szCs w:val="22"/>
          <w:lang w:eastAsia="es-MX"/>
        </w:rPr>
      </w:pPr>
      <w:r w:rsidRPr="0020139A">
        <w:rPr>
          <w:rFonts w:ascii="Arial" w:hAnsi="Arial" w:cs="Arial"/>
          <w:sz w:val="22"/>
          <w:szCs w:val="22"/>
          <w:lang w:eastAsia="es-MX"/>
        </w:rPr>
        <w:t>Proyectista Adscrita a Ponencia Tres</w:t>
      </w:r>
    </w:p>
    <w:p w14:paraId="267B0DA5" w14:textId="77777777" w:rsidR="00A5421E" w:rsidRPr="00A5421E" w:rsidRDefault="00A5421E" w:rsidP="00A5421E">
      <w:pPr>
        <w:spacing w:line="360" w:lineRule="auto"/>
        <w:ind w:firstLine="708"/>
        <w:jc w:val="center"/>
        <w:rPr>
          <w:rFonts w:ascii="Arial" w:hAnsi="Arial" w:cs="Arial"/>
          <w:lang w:eastAsia="es-MX"/>
        </w:rPr>
      </w:pPr>
    </w:p>
    <w:p w14:paraId="49169D29" w14:textId="77777777" w:rsidR="00A5421E" w:rsidRPr="00A5421E" w:rsidRDefault="00A5421E" w:rsidP="00A5421E">
      <w:pPr>
        <w:spacing w:line="360" w:lineRule="auto"/>
        <w:ind w:firstLine="708"/>
        <w:jc w:val="center"/>
        <w:rPr>
          <w:rFonts w:ascii="Arial" w:hAnsi="Arial" w:cs="Arial"/>
          <w:lang w:eastAsia="es-MX"/>
        </w:rPr>
      </w:pPr>
    </w:p>
    <w:p w14:paraId="03981C45" w14:textId="7854BB89" w:rsidR="00A5421E" w:rsidRPr="000F223D" w:rsidRDefault="0020139A" w:rsidP="00A5421E">
      <w:pPr>
        <w:spacing w:line="360" w:lineRule="auto"/>
        <w:ind w:firstLine="708"/>
        <w:jc w:val="both"/>
        <w:rPr>
          <w:rFonts w:ascii="Arial" w:hAnsi="Arial" w:cs="Arial"/>
          <w:sz w:val="22"/>
          <w:szCs w:val="22"/>
          <w:lang w:eastAsia="es-MX"/>
        </w:rPr>
      </w:pPr>
      <w:r w:rsidRPr="0020139A">
        <w:rPr>
          <w:rFonts w:ascii="Arial" w:hAnsi="Arial" w:cs="Arial"/>
          <w:noProof/>
          <w:sz w:val="16"/>
          <w:szCs w:val="16"/>
          <w:lang w:eastAsia="es-MX"/>
        </w:rPr>
        <w:drawing>
          <wp:anchor distT="0" distB="0" distL="114300" distR="114300" simplePos="0" relativeHeight="251659264" behindDoc="0" locked="0" layoutInCell="1" allowOverlap="1" wp14:anchorId="6733C020" wp14:editId="1CFD2E7A">
            <wp:simplePos x="0" y="0"/>
            <wp:positionH relativeFrom="page">
              <wp:posOffset>2818765</wp:posOffset>
            </wp:positionH>
            <wp:positionV relativeFrom="paragraph">
              <wp:posOffset>628015</wp:posOffset>
            </wp:positionV>
            <wp:extent cx="3620770" cy="65722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clrChange>
                        <a:clrFrom>
                          <a:srgbClr val="FEFEFE"/>
                        </a:clrFrom>
                        <a:clrTo>
                          <a:srgbClr val="FEFEFE">
                            <a:alpha val="0"/>
                          </a:srgbClr>
                        </a:clrTo>
                      </a:clrChange>
                      <a:extLst>
                        <a:ext uri="{28A0092B-C50C-407E-A947-70E740481C1C}">
                          <a14:useLocalDpi xmlns:a14="http://schemas.microsoft.com/office/drawing/2010/main" val="0"/>
                        </a:ext>
                      </a:extLst>
                    </a:blip>
                    <a:srcRect l="35302" t="44783" r="15479" b="36400"/>
                    <a:stretch/>
                  </pic:blipFill>
                  <pic:spPr bwMode="auto">
                    <a:xfrm>
                      <a:off x="0" y="0"/>
                      <a:ext cx="3620770" cy="657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5421E" w:rsidRPr="0020139A">
        <w:rPr>
          <w:rFonts w:ascii="Arial" w:hAnsi="Arial" w:cs="Arial"/>
          <w:sz w:val="16"/>
          <w:szCs w:val="16"/>
          <w:lang w:eastAsia="es-MX"/>
        </w:rPr>
        <w:t xml:space="preserve">A las ocho horas del día _____ de __________________ de _______,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w:t>
      </w:r>
      <w:r>
        <w:rPr>
          <w:rFonts w:ascii="Arial" w:hAnsi="Arial" w:cs="Arial"/>
          <w:sz w:val="16"/>
          <w:szCs w:val="16"/>
          <w:lang w:eastAsia="es-MX"/>
        </w:rPr>
        <w:t>--------------------</w:t>
      </w:r>
      <w:r w:rsidR="00A5421E" w:rsidRPr="0020139A">
        <w:rPr>
          <w:rFonts w:ascii="Arial" w:hAnsi="Arial" w:cs="Arial"/>
          <w:sz w:val="16"/>
          <w:szCs w:val="16"/>
          <w:lang w:eastAsia="es-MX"/>
        </w:rPr>
        <w:t xml:space="preserve">- - </w:t>
      </w:r>
      <w:r w:rsidR="000F223D" w:rsidRPr="0020139A">
        <w:rPr>
          <w:rFonts w:ascii="Arial" w:hAnsi="Arial" w:cs="Arial"/>
          <w:sz w:val="16"/>
          <w:szCs w:val="16"/>
          <w:lang w:eastAsia="es-MX"/>
        </w:rPr>
        <w:t>- - - - - - - - - -</w:t>
      </w:r>
      <w:r w:rsidR="00A5421E" w:rsidRPr="0020139A">
        <w:rPr>
          <w:rFonts w:ascii="Arial" w:hAnsi="Arial" w:cs="Arial"/>
          <w:sz w:val="16"/>
          <w:szCs w:val="16"/>
          <w:lang w:eastAsia="es-MX"/>
        </w:rPr>
        <w:t xml:space="preserve">- - DOY FE- - - </w:t>
      </w:r>
      <w:r w:rsidR="000F223D" w:rsidRPr="0020139A">
        <w:rPr>
          <w:rFonts w:ascii="Arial" w:hAnsi="Arial" w:cs="Arial"/>
          <w:sz w:val="16"/>
          <w:szCs w:val="16"/>
          <w:lang w:eastAsia="es-MX"/>
        </w:rPr>
        <w:t xml:space="preserve">- - - - - </w:t>
      </w:r>
      <w:r>
        <w:rPr>
          <w:rFonts w:ascii="Arial" w:hAnsi="Arial" w:cs="Arial"/>
          <w:sz w:val="16"/>
          <w:szCs w:val="16"/>
          <w:lang w:eastAsia="es-MX"/>
        </w:rPr>
        <w:t>- - - - - - - - - - - - - - - -----------------------------------</w:t>
      </w:r>
    </w:p>
    <w:p w14:paraId="7D812588" w14:textId="354377B9" w:rsidR="00A5421E" w:rsidRPr="00A5421E" w:rsidRDefault="00A5421E" w:rsidP="00A5421E">
      <w:pPr>
        <w:spacing w:line="360" w:lineRule="auto"/>
        <w:ind w:firstLine="708"/>
        <w:jc w:val="both"/>
        <w:rPr>
          <w:rFonts w:ascii="Arial" w:hAnsi="Arial" w:cs="Arial"/>
          <w:b/>
          <w:lang w:eastAsia="es-MX"/>
        </w:rPr>
      </w:pPr>
    </w:p>
    <w:p w14:paraId="5E89C186" w14:textId="77777777" w:rsidR="00A5421E" w:rsidRPr="00A5421E" w:rsidRDefault="00A5421E" w:rsidP="00A5421E">
      <w:pPr>
        <w:spacing w:line="360" w:lineRule="auto"/>
        <w:ind w:firstLine="708"/>
        <w:jc w:val="both"/>
        <w:rPr>
          <w:rFonts w:ascii="Arial" w:hAnsi="Arial" w:cs="Arial"/>
          <w:b/>
          <w:lang w:eastAsia="es-MX"/>
        </w:rPr>
      </w:pPr>
    </w:p>
    <w:p w14:paraId="65D219E7" w14:textId="77777777" w:rsidR="00A5421E" w:rsidRPr="00A5421E" w:rsidRDefault="00A5421E" w:rsidP="00A5421E">
      <w:pPr>
        <w:spacing w:line="360" w:lineRule="auto"/>
        <w:ind w:firstLine="708"/>
        <w:jc w:val="center"/>
        <w:rPr>
          <w:rFonts w:ascii="Arial" w:hAnsi="Arial" w:cs="Arial"/>
          <w:b/>
          <w:lang w:eastAsia="es-MX"/>
        </w:rPr>
      </w:pPr>
      <w:r w:rsidRPr="00A5421E">
        <w:rPr>
          <w:rFonts w:ascii="Arial" w:hAnsi="Arial" w:cs="Arial"/>
          <w:b/>
          <w:lang w:eastAsia="es-MX"/>
        </w:rPr>
        <w:t>Lic. Javier Pérez Limón</w:t>
      </w:r>
    </w:p>
    <w:p w14:paraId="5BC46FB5" w14:textId="58B86370" w:rsidR="0093541A" w:rsidRPr="000F223D" w:rsidRDefault="00A5421E" w:rsidP="000F223D">
      <w:pPr>
        <w:spacing w:line="360" w:lineRule="auto"/>
        <w:ind w:firstLine="708"/>
        <w:jc w:val="center"/>
        <w:rPr>
          <w:rFonts w:ascii="Arial" w:hAnsi="Arial" w:cs="Arial"/>
          <w:b/>
          <w:lang w:eastAsia="es-MX"/>
        </w:rPr>
      </w:pPr>
      <w:r w:rsidRPr="00A5421E">
        <w:rPr>
          <w:rFonts w:ascii="Arial" w:hAnsi="Arial" w:cs="Arial"/>
          <w:b/>
          <w:lang w:eastAsia="es-MX"/>
        </w:rPr>
        <w:t>Notificador</w:t>
      </w:r>
    </w:p>
    <w:sectPr w:rsidR="0093541A" w:rsidRPr="000F223D" w:rsidSect="00E0037E">
      <w:headerReference w:type="default" r:id="rId10"/>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C773AD" w14:textId="77777777" w:rsidR="008C0108" w:rsidRDefault="008C0108" w:rsidP="00BB58C4">
      <w:r>
        <w:separator/>
      </w:r>
    </w:p>
  </w:endnote>
  <w:endnote w:type="continuationSeparator" w:id="0">
    <w:p w14:paraId="6AB7E8F1" w14:textId="77777777" w:rsidR="008C0108" w:rsidRDefault="008C0108"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BCA781" w14:textId="77777777" w:rsidR="008C0108" w:rsidRDefault="008C0108" w:rsidP="00BB58C4">
      <w:r>
        <w:separator/>
      </w:r>
    </w:p>
  </w:footnote>
  <w:footnote w:type="continuationSeparator" w:id="0">
    <w:p w14:paraId="5B3C60DD" w14:textId="77777777" w:rsidR="008C0108" w:rsidRDefault="008C0108" w:rsidP="00BB58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7B5468F4" w:rsidR="00BD2B59" w:rsidRDefault="00BD2B5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E25AE4" w:rsidRDefault="00E25AE4">
    <w:pPr>
      <w:pStyle w:val="Encabezado"/>
      <w:jc w:val="center"/>
    </w:pPr>
  </w:p>
  <w:p w14:paraId="11A12D19" w14:textId="3F480893" w:rsidR="00E25AE4" w:rsidRDefault="0021422B" w:rsidP="0021422B">
    <w:pPr>
      <w:pStyle w:val="Encabezado"/>
      <w:tabs>
        <w:tab w:val="clear" w:pos="8504"/>
      </w:tabs>
    </w:pPr>
    <w:r>
      <w:tab/>
    </w:r>
    <w:r>
      <w:tab/>
    </w:r>
  </w:p>
  <w:p w14:paraId="3C5C0923" w14:textId="5099382A"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 xml:space="preserve">RR </w:t>
    </w:r>
    <w:r w:rsidR="006F407C">
      <w:rPr>
        <w:rFonts w:ascii="Arial" w:hAnsi="Arial" w:cs="Arial"/>
        <w:b/>
        <w:sz w:val="26"/>
        <w:szCs w:val="26"/>
      </w:rPr>
      <w:t>037</w:t>
    </w:r>
    <w:r w:rsidR="00AA103D">
      <w:rPr>
        <w:rFonts w:ascii="Arial" w:hAnsi="Arial" w:cs="Arial"/>
        <w:b/>
        <w:sz w:val="26"/>
        <w:szCs w:val="26"/>
      </w:rPr>
      <w:t>/202</w:t>
    </w:r>
    <w:r w:rsidR="004829C0">
      <w:rPr>
        <w:rFonts w:ascii="Arial" w:hAnsi="Arial" w:cs="Arial"/>
        <w:b/>
        <w:sz w:val="26"/>
        <w:szCs w:val="26"/>
      </w:rPr>
      <w:t>4</w:t>
    </w:r>
    <w:r w:rsidRPr="0021422B">
      <w:rPr>
        <w:rFonts w:ascii="Arial" w:hAnsi="Arial" w:cs="Arial"/>
        <w:b/>
        <w:sz w:val="26"/>
        <w:szCs w:val="26"/>
      </w:rPr>
      <w:t>-3</w:t>
    </w:r>
    <w:r w:rsidR="00AA103D">
      <w:rPr>
        <w:rFonts w:ascii="Arial" w:hAnsi="Arial" w:cs="Arial"/>
        <w:b/>
        <w:sz w:val="26"/>
        <w:szCs w:val="26"/>
      </w:rPr>
      <w:t xml:space="preserve"> OP</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F0393"/>
    <w:multiLevelType w:val="hybridMultilevel"/>
    <w:tmpl w:val="82383F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5E17A7D"/>
    <w:multiLevelType w:val="hybridMultilevel"/>
    <w:tmpl w:val="324866B8"/>
    <w:lvl w:ilvl="0" w:tplc="29309BF0">
      <w:start w:val="1"/>
      <w:numFmt w:val="upperRoman"/>
      <w:lvlText w:val="%1."/>
      <w:lvlJc w:val="left"/>
      <w:pPr>
        <w:ind w:left="436" w:hanging="720"/>
      </w:pPr>
      <w:rPr>
        <w:rFonts w:ascii="Arial" w:eastAsia="Arial Unicode MS" w:hAnsi="Arial" w:cs="Arial"/>
        <w:b w:val="0"/>
        <w:i w:val="0"/>
      </w:rPr>
    </w:lvl>
    <w:lvl w:ilvl="1" w:tplc="080A0019">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3"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E765156"/>
    <w:multiLevelType w:val="hybridMultilevel"/>
    <w:tmpl w:val="1E24D6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EC932FC"/>
    <w:multiLevelType w:val="hybridMultilevel"/>
    <w:tmpl w:val="4DD2CC3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15:restartNumberingAfterBreak="0">
    <w:nsid w:val="20B02631"/>
    <w:multiLevelType w:val="hybridMultilevel"/>
    <w:tmpl w:val="A7A4E632"/>
    <w:lvl w:ilvl="0" w:tplc="080A0001">
      <w:start w:val="1"/>
      <w:numFmt w:val="bullet"/>
      <w:lvlText w:val=""/>
      <w:lvlJc w:val="left"/>
      <w:pPr>
        <w:ind w:left="1494" w:hanging="360"/>
      </w:pPr>
      <w:rPr>
        <w:rFonts w:ascii="Symbol" w:hAnsi="Symbol" w:hint="default"/>
      </w:rPr>
    </w:lvl>
    <w:lvl w:ilvl="1" w:tplc="080A0003" w:tentative="1">
      <w:start w:val="1"/>
      <w:numFmt w:val="bullet"/>
      <w:lvlText w:val="o"/>
      <w:lvlJc w:val="left"/>
      <w:pPr>
        <w:ind w:left="2214" w:hanging="360"/>
      </w:pPr>
      <w:rPr>
        <w:rFonts w:ascii="Courier New" w:hAnsi="Courier New" w:cs="Courier New" w:hint="default"/>
      </w:rPr>
    </w:lvl>
    <w:lvl w:ilvl="2" w:tplc="080A0005" w:tentative="1">
      <w:start w:val="1"/>
      <w:numFmt w:val="bullet"/>
      <w:lvlText w:val=""/>
      <w:lvlJc w:val="left"/>
      <w:pPr>
        <w:ind w:left="2934" w:hanging="360"/>
      </w:pPr>
      <w:rPr>
        <w:rFonts w:ascii="Wingdings" w:hAnsi="Wingdings" w:hint="default"/>
      </w:rPr>
    </w:lvl>
    <w:lvl w:ilvl="3" w:tplc="080A0001" w:tentative="1">
      <w:start w:val="1"/>
      <w:numFmt w:val="bullet"/>
      <w:lvlText w:val=""/>
      <w:lvlJc w:val="left"/>
      <w:pPr>
        <w:ind w:left="3654" w:hanging="360"/>
      </w:pPr>
      <w:rPr>
        <w:rFonts w:ascii="Symbol" w:hAnsi="Symbol" w:hint="default"/>
      </w:rPr>
    </w:lvl>
    <w:lvl w:ilvl="4" w:tplc="080A0003" w:tentative="1">
      <w:start w:val="1"/>
      <w:numFmt w:val="bullet"/>
      <w:lvlText w:val="o"/>
      <w:lvlJc w:val="left"/>
      <w:pPr>
        <w:ind w:left="4374" w:hanging="360"/>
      </w:pPr>
      <w:rPr>
        <w:rFonts w:ascii="Courier New" w:hAnsi="Courier New" w:cs="Courier New" w:hint="default"/>
      </w:rPr>
    </w:lvl>
    <w:lvl w:ilvl="5" w:tplc="080A0005" w:tentative="1">
      <w:start w:val="1"/>
      <w:numFmt w:val="bullet"/>
      <w:lvlText w:val=""/>
      <w:lvlJc w:val="left"/>
      <w:pPr>
        <w:ind w:left="5094" w:hanging="360"/>
      </w:pPr>
      <w:rPr>
        <w:rFonts w:ascii="Wingdings" w:hAnsi="Wingdings" w:hint="default"/>
      </w:rPr>
    </w:lvl>
    <w:lvl w:ilvl="6" w:tplc="080A0001" w:tentative="1">
      <w:start w:val="1"/>
      <w:numFmt w:val="bullet"/>
      <w:lvlText w:val=""/>
      <w:lvlJc w:val="left"/>
      <w:pPr>
        <w:ind w:left="5814" w:hanging="360"/>
      </w:pPr>
      <w:rPr>
        <w:rFonts w:ascii="Symbol" w:hAnsi="Symbol" w:hint="default"/>
      </w:rPr>
    </w:lvl>
    <w:lvl w:ilvl="7" w:tplc="080A0003" w:tentative="1">
      <w:start w:val="1"/>
      <w:numFmt w:val="bullet"/>
      <w:lvlText w:val="o"/>
      <w:lvlJc w:val="left"/>
      <w:pPr>
        <w:ind w:left="6534" w:hanging="360"/>
      </w:pPr>
      <w:rPr>
        <w:rFonts w:ascii="Courier New" w:hAnsi="Courier New" w:cs="Courier New" w:hint="default"/>
      </w:rPr>
    </w:lvl>
    <w:lvl w:ilvl="8" w:tplc="080A0005" w:tentative="1">
      <w:start w:val="1"/>
      <w:numFmt w:val="bullet"/>
      <w:lvlText w:val=""/>
      <w:lvlJc w:val="left"/>
      <w:pPr>
        <w:ind w:left="7254" w:hanging="360"/>
      </w:pPr>
      <w:rPr>
        <w:rFonts w:ascii="Wingdings" w:hAnsi="Wingdings" w:hint="default"/>
      </w:r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31873A33"/>
    <w:multiLevelType w:val="hybridMultilevel"/>
    <w:tmpl w:val="047C7DFA"/>
    <w:lvl w:ilvl="0" w:tplc="E81E51F8">
      <w:start w:val="19"/>
      <w:numFmt w:val="bullet"/>
      <w:lvlText w:val="-"/>
      <w:lvlJc w:val="left"/>
      <w:pPr>
        <w:ind w:left="1068" w:hanging="360"/>
      </w:pPr>
      <w:rPr>
        <w:rFonts w:ascii="Arial" w:eastAsia="Arial Unicode MS"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0"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2" w15:restartNumberingAfterBreak="0">
    <w:nsid w:val="4FAE13A8"/>
    <w:multiLevelType w:val="hybridMultilevel"/>
    <w:tmpl w:val="7284B20A"/>
    <w:lvl w:ilvl="0" w:tplc="080A000B">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3" w15:restartNumberingAfterBreak="0">
    <w:nsid w:val="595B4FA8"/>
    <w:multiLevelType w:val="hybridMultilevel"/>
    <w:tmpl w:val="130AD3F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4"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15:restartNumberingAfterBreak="0">
    <w:nsid w:val="5FB1461A"/>
    <w:multiLevelType w:val="hybridMultilevel"/>
    <w:tmpl w:val="1D74560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733E6AA1"/>
    <w:multiLevelType w:val="hybridMultilevel"/>
    <w:tmpl w:val="1B70D6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56628D2"/>
    <w:multiLevelType w:val="hybridMultilevel"/>
    <w:tmpl w:val="5D68BA4E"/>
    <w:lvl w:ilvl="0" w:tplc="080A000F">
      <w:start w:val="1"/>
      <w:numFmt w:val="decimal"/>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8" w15:restartNumberingAfterBreak="0">
    <w:nsid w:val="7EBF3FC8"/>
    <w:multiLevelType w:val="hybridMultilevel"/>
    <w:tmpl w:val="2340A3F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F5236F5"/>
    <w:multiLevelType w:val="hybridMultilevel"/>
    <w:tmpl w:val="3168BBB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4"/>
  </w:num>
  <w:num w:numId="4">
    <w:abstractNumId w:val="1"/>
  </w:num>
  <w:num w:numId="5">
    <w:abstractNumId w:val="3"/>
  </w:num>
  <w:num w:numId="6">
    <w:abstractNumId w:val="2"/>
  </w:num>
  <w:num w:numId="7">
    <w:abstractNumId w:val="10"/>
  </w:num>
  <w:num w:numId="8">
    <w:abstractNumId w:val="14"/>
  </w:num>
  <w:num w:numId="9">
    <w:abstractNumId w:val="16"/>
  </w:num>
  <w:num w:numId="10">
    <w:abstractNumId w:val="19"/>
  </w:num>
  <w:num w:numId="11">
    <w:abstractNumId w:val="18"/>
  </w:num>
  <w:num w:numId="12">
    <w:abstractNumId w:val="15"/>
  </w:num>
  <w:num w:numId="13">
    <w:abstractNumId w:val="13"/>
  </w:num>
  <w:num w:numId="14">
    <w:abstractNumId w:val="9"/>
  </w:num>
  <w:num w:numId="15">
    <w:abstractNumId w:val="12"/>
  </w:num>
  <w:num w:numId="16">
    <w:abstractNumId w:val="0"/>
  </w:num>
  <w:num w:numId="17">
    <w:abstractNumId w:val="7"/>
  </w:num>
  <w:num w:numId="18">
    <w:abstractNumId w:val="5"/>
  </w:num>
  <w:num w:numId="19">
    <w:abstractNumId w:val="17"/>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A6F40"/>
    <w:rsid w:val="000B31BD"/>
    <w:rsid w:val="000E016B"/>
    <w:rsid w:val="000F223D"/>
    <w:rsid w:val="000F76BA"/>
    <w:rsid w:val="001646CB"/>
    <w:rsid w:val="001B442D"/>
    <w:rsid w:val="001B6E50"/>
    <w:rsid w:val="0020139A"/>
    <w:rsid w:val="0021422B"/>
    <w:rsid w:val="0024671F"/>
    <w:rsid w:val="00246B7B"/>
    <w:rsid w:val="002701E9"/>
    <w:rsid w:val="002B1ACA"/>
    <w:rsid w:val="002B6959"/>
    <w:rsid w:val="002E37B1"/>
    <w:rsid w:val="002E5CB5"/>
    <w:rsid w:val="003143BF"/>
    <w:rsid w:val="003153D3"/>
    <w:rsid w:val="0031704A"/>
    <w:rsid w:val="003D0E86"/>
    <w:rsid w:val="0040210B"/>
    <w:rsid w:val="00415B78"/>
    <w:rsid w:val="00461F00"/>
    <w:rsid w:val="00471043"/>
    <w:rsid w:val="004829C0"/>
    <w:rsid w:val="004861AD"/>
    <w:rsid w:val="00541994"/>
    <w:rsid w:val="005612AE"/>
    <w:rsid w:val="0056481C"/>
    <w:rsid w:val="005A54CC"/>
    <w:rsid w:val="005B557F"/>
    <w:rsid w:val="005E344F"/>
    <w:rsid w:val="005F3629"/>
    <w:rsid w:val="00616335"/>
    <w:rsid w:val="00617E9F"/>
    <w:rsid w:val="00632EB3"/>
    <w:rsid w:val="00656139"/>
    <w:rsid w:val="00662909"/>
    <w:rsid w:val="006B29A3"/>
    <w:rsid w:val="006E7021"/>
    <w:rsid w:val="006F407C"/>
    <w:rsid w:val="00737808"/>
    <w:rsid w:val="00760627"/>
    <w:rsid w:val="00777F6B"/>
    <w:rsid w:val="00783AAA"/>
    <w:rsid w:val="007957A2"/>
    <w:rsid w:val="0080725F"/>
    <w:rsid w:val="00821C56"/>
    <w:rsid w:val="0083083D"/>
    <w:rsid w:val="008374D4"/>
    <w:rsid w:val="00841E25"/>
    <w:rsid w:val="00847F9F"/>
    <w:rsid w:val="00875040"/>
    <w:rsid w:val="008955A7"/>
    <w:rsid w:val="008A2D5D"/>
    <w:rsid w:val="008C0108"/>
    <w:rsid w:val="008C3844"/>
    <w:rsid w:val="008C6604"/>
    <w:rsid w:val="00911D32"/>
    <w:rsid w:val="0093057A"/>
    <w:rsid w:val="00930BE0"/>
    <w:rsid w:val="0093541A"/>
    <w:rsid w:val="009459A4"/>
    <w:rsid w:val="00950688"/>
    <w:rsid w:val="00952E8B"/>
    <w:rsid w:val="00953DF5"/>
    <w:rsid w:val="009B792E"/>
    <w:rsid w:val="00A43468"/>
    <w:rsid w:val="00A43A1F"/>
    <w:rsid w:val="00A52F42"/>
    <w:rsid w:val="00A5421E"/>
    <w:rsid w:val="00A543D8"/>
    <w:rsid w:val="00A5546D"/>
    <w:rsid w:val="00A706BB"/>
    <w:rsid w:val="00A810E4"/>
    <w:rsid w:val="00A94ED6"/>
    <w:rsid w:val="00AA103D"/>
    <w:rsid w:val="00AD0240"/>
    <w:rsid w:val="00AD117D"/>
    <w:rsid w:val="00AD4973"/>
    <w:rsid w:val="00AE21B0"/>
    <w:rsid w:val="00B2223F"/>
    <w:rsid w:val="00B24175"/>
    <w:rsid w:val="00B41164"/>
    <w:rsid w:val="00B4223C"/>
    <w:rsid w:val="00B53715"/>
    <w:rsid w:val="00B60FFC"/>
    <w:rsid w:val="00B8327F"/>
    <w:rsid w:val="00B93195"/>
    <w:rsid w:val="00BB58C4"/>
    <w:rsid w:val="00BD26E6"/>
    <w:rsid w:val="00BD2B59"/>
    <w:rsid w:val="00BE7281"/>
    <w:rsid w:val="00BF6E0C"/>
    <w:rsid w:val="00BF76BC"/>
    <w:rsid w:val="00C51BA1"/>
    <w:rsid w:val="00C944A9"/>
    <w:rsid w:val="00CA0DED"/>
    <w:rsid w:val="00CA1F7C"/>
    <w:rsid w:val="00CC2CC1"/>
    <w:rsid w:val="00CC3B99"/>
    <w:rsid w:val="00CF245A"/>
    <w:rsid w:val="00D55131"/>
    <w:rsid w:val="00D62B6C"/>
    <w:rsid w:val="00DA5BF2"/>
    <w:rsid w:val="00DB01C6"/>
    <w:rsid w:val="00DD56C0"/>
    <w:rsid w:val="00DE096C"/>
    <w:rsid w:val="00DF0A91"/>
    <w:rsid w:val="00E0037E"/>
    <w:rsid w:val="00E014D4"/>
    <w:rsid w:val="00E25AE4"/>
    <w:rsid w:val="00EC5815"/>
    <w:rsid w:val="00EE640D"/>
    <w:rsid w:val="00F350F5"/>
    <w:rsid w:val="00F44A86"/>
    <w:rsid w:val="00F468F3"/>
    <w:rsid w:val="00F54907"/>
    <w:rsid w:val="00F736D2"/>
    <w:rsid w:val="00F812A8"/>
    <w:rsid w:val="00F83B11"/>
    <w:rsid w:val="00FB0927"/>
    <w:rsid w:val="00FB21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 w:type="paragraph" w:styleId="Textoindependiente">
    <w:name w:val="Body Text"/>
    <w:basedOn w:val="Normal"/>
    <w:link w:val="TextoindependienteCar"/>
    <w:uiPriority w:val="99"/>
    <w:semiHidden/>
    <w:unhideWhenUsed/>
    <w:rsid w:val="0040210B"/>
    <w:pPr>
      <w:spacing w:after="120"/>
    </w:pPr>
  </w:style>
  <w:style w:type="character" w:customStyle="1" w:styleId="TextoindependienteCar">
    <w:name w:val="Texto independiente Car"/>
    <w:basedOn w:val="Fuentedeprrafopredeter"/>
    <w:link w:val="Textoindependiente"/>
    <w:uiPriority w:val="99"/>
    <w:semiHidden/>
    <w:rsid w:val="0040210B"/>
    <w:rPr>
      <w:rFonts w:ascii="Times New Roman" w:eastAsia="Times New Roman" w:hAnsi="Times New Roman" w:cs="Times New Roman"/>
      <w:sz w:val="24"/>
      <w:szCs w:val="24"/>
      <w:lang w:val="es-MX" w:eastAsia="es-ES"/>
    </w:rPr>
  </w:style>
  <w:style w:type="paragraph" w:styleId="Textoindependienteprimerasangra">
    <w:name w:val="Body Text First Indent"/>
    <w:basedOn w:val="Textoindependiente"/>
    <w:link w:val="TextoindependienteprimerasangraCar"/>
    <w:uiPriority w:val="99"/>
    <w:semiHidden/>
    <w:unhideWhenUsed/>
    <w:rsid w:val="0040210B"/>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40210B"/>
    <w:rPr>
      <w:rFonts w:ascii="Times New Roman" w:eastAsia="Times New Roman" w:hAnsi="Times New Roman" w:cs="Times New Roman"/>
      <w:sz w:val="24"/>
      <w:szCs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804AF-1F5D-4494-A168-D653096B4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5</Pages>
  <Words>1784</Words>
  <Characters>9813</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Servicio social</cp:lastModifiedBy>
  <cp:revision>20</cp:revision>
  <cp:lastPrinted>2024-08-21T16:13:00Z</cp:lastPrinted>
  <dcterms:created xsi:type="dcterms:W3CDTF">2024-04-05T19:36:00Z</dcterms:created>
  <dcterms:modified xsi:type="dcterms:W3CDTF">2024-08-21T16:48:00Z</dcterms:modified>
</cp:coreProperties>
</file>