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FC0" w:rsidRPr="00361BDB" w:rsidRDefault="00004FC0" w:rsidP="00004FC0">
      <w:pPr>
        <w:spacing w:after="0" w:line="240" w:lineRule="auto"/>
        <w:ind w:left="3969"/>
        <w:jc w:val="both"/>
        <w:rPr>
          <w:rFonts w:ascii="Arial" w:eastAsia="Calibri" w:hAnsi="Arial" w:cs="Arial"/>
          <w:b/>
          <w:sz w:val="20"/>
          <w:szCs w:val="20"/>
        </w:rPr>
      </w:pPr>
      <w:r w:rsidRPr="00361BDB">
        <w:rPr>
          <w:rFonts w:ascii="Arial" w:eastAsia="Calibri" w:hAnsi="Arial" w:cs="Arial"/>
          <w:b/>
          <w:sz w:val="20"/>
          <w:szCs w:val="20"/>
        </w:rPr>
        <w:t>TRIBUNAL ESTATAL DE JUSTICIA ADMINISTRATIVA</w:t>
      </w:r>
    </w:p>
    <w:p w:rsidR="00004FC0" w:rsidRPr="00361BDB" w:rsidRDefault="00004FC0" w:rsidP="00004FC0">
      <w:pPr>
        <w:spacing w:after="0" w:line="240" w:lineRule="auto"/>
        <w:ind w:left="3969"/>
        <w:jc w:val="both"/>
        <w:rPr>
          <w:rFonts w:ascii="Arial" w:eastAsia="Calibri" w:hAnsi="Arial" w:cs="Arial"/>
          <w:b/>
          <w:sz w:val="20"/>
          <w:szCs w:val="20"/>
        </w:rPr>
      </w:pPr>
    </w:p>
    <w:p w:rsidR="00004FC0" w:rsidRPr="00361BDB" w:rsidRDefault="00004FC0" w:rsidP="00004FC0">
      <w:pPr>
        <w:spacing w:after="0" w:line="240" w:lineRule="auto"/>
        <w:ind w:left="3969"/>
        <w:jc w:val="both"/>
        <w:rPr>
          <w:rFonts w:ascii="Arial" w:eastAsia="Calibri" w:hAnsi="Arial" w:cs="Arial"/>
          <w:b/>
          <w:sz w:val="20"/>
          <w:szCs w:val="20"/>
        </w:rPr>
      </w:pPr>
      <w:r w:rsidRPr="00361BDB">
        <w:rPr>
          <w:rFonts w:ascii="Arial" w:eastAsia="Calibri" w:hAnsi="Arial" w:cs="Arial"/>
          <w:b/>
          <w:sz w:val="20"/>
          <w:szCs w:val="20"/>
        </w:rPr>
        <w:t>TERCERA SALA UNITARIA</w:t>
      </w:r>
    </w:p>
    <w:p w:rsidR="00004FC0" w:rsidRPr="00361BDB" w:rsidRDefault="00004FC0" w:rsidP="00004FC0">
      <w:pPr>
        <w:spacing w:after="0" w:line="240" w:lineRule="auto"/>
        <w:ind w:left="3969"/>
        <w:jc w:val="center"/>
        <w:rPr>
          <w:rFonts w:ascii="Arial" w:eastAsia="Calibri" w:hAnsi="Arial" w:cs="Arial"/>
          <w:b/>
          <w:sz w:val="20"/>
          <w:szCs w:val="20"/>
        </w:rPr>
      </w:pPr>
    </w:p>
    <w:p w:rsidR="00004FC0" w:rsidRPr="00361BDB" w:rsidRDefault="00004FC0" w:rsidP="00004FC0">
      <w:pPr>
        <w:spacing w:after="0" w:line="240" w:lineRule="auto"/>
        <w:ind w:left="3969"/>
        <w:jc w:val="both"/>
        <w:rPr>
          <w:rFonts w:ascii="Arial" w:eastAsia="Calibri" w:hAnsi="Arial" w:cs="Arial"/>
          <w:b/>
          <w:sz w:val="20"/>
          <w:szCs w:val="20"/>
        </w:rPr>
      </w:pPr>
      <w:r w:rsidRPr="00361BDB">
        <w:rPr>
          <w:rFonts w:ascii="Arial" w:eastAsia="Calibri" w:hAnsi="Arial" w:cs="Arial"/>
          <w:b/>
          <w:sz w:val="20"/>
          <w:szCs w:val="20"/>
        </w:rPr>
        <w:t xml:space="preserve">EXPEDIENTE: </w:t>
      </w:r>
      <w:r>
        <w:rPr>
          <w:rFonts w:ascii="Arial" w:eastAsia="Calibri" w:hAnsi="Arial" w:cs="Arial"/>
          <w:b/>
          <w:sz w:val="20"/>
          <w:szCs w:val="20"/>
        </w:rPr>
        <w:t>10</w:t>
      </w:r>
      <w:r w:rsidR="00B7287D">
        <w:rPr>
          <w:rFonts w:ascii="Arial" w:eastAsia="Calibri" w:hAnsi="Arial" w:cs="Arial"/>
          <w:b/>
          <w:sz w:val="20"/>
          <w:szCs w:val="20"/>
        </w:rPr>
        <w:t>09</w:t>
      </w:r>
      <w:r w:rsidRPr="00361BDB">
        <w:rPr>
          <w:rFonts w:ascii="Arial" w:eastAsia="Calibri" w:hAnsi="Arial" w:cs="Arial"/>
          <w:b/>
          <w:sz w:val="20"/>
          <w:szCs w:val="20"/>
        </w:rPr>
        <w:t>/20</w:t>
      </w:r>
      <w:r>
        <w:rPr>
          <w:rFonts w:ascii="Arial" w:eastAsia="Calibri" w:hAnsi="Arial" w:cs="Arial"/>
          <w:b/>
          <w:sz w:val="20"/>
          <w:szCs w:val="20"/>
        </w:rPr>
        <w:t>22</w:t>
      </w:r>
      <w:r w:rsidRPr="00361BDB">
        <w:rPr>
          <w:rFonts w:ascii="Arial" w:eastAsia="Calibri" w:hAnsi="Arial" w:cs="Arial"/>
          <w:b/>
          <w:sz w:val="20"/>
          <w:szCs w:val="20"/>
        </w:rPr>
        <w:t>-3</w:t>
      </w:r>
    </w:p>
    <w:p w:rsidR="00004FC0" w:rsidRPr="00361BDB" w:rsidRDefault="00004FC0" w:rsidP="00004FC0">
      <w:pPr>
        <w:spacing w:after="0" w:line="240" w:lineRule="auto"/>
        <w:ind w:left="3969"/>
        <w:jc w:val="both"/>
        <w:rPr>
          <w:rFonts w:ascii="Arial" w:eastAsia="Calibri" w:hAnsi="Arial" w:cs="Arial"/>
          <w:b/>
          <w:sz w:val="20"/>
          <w:szCs w:val="20"/>
        </w:rPr>
      </w:pPr>
    </w:p>
    <w:p w:rsidR="00004FC0" w:rsidRPr="00361BDB" w:rsidRDefault="00004FC0" w:rsidP="00004FC0">
      <w:pPr>
        <w:spacing w:after="0" w:line="240" w:lineRule="auto"/>
        <w:ind w:left="3969"/>
        <w:jc w:val="both"/>
        <w:rPr>
          <w:rFonts w:ascii="Arial" w:eastAsia="Calibri" w:hAnsi="Arial" w:cs="Arial"/>
          <w:b/>
          <w:sz w:val="20"/>
          <w:szCs w:val="20"/>
        </w:rPr>
      </w:pPr>
      <w:r w:rsidRPr="00361BDB">
        <w:rPr>
          <w:rFonts w:ascii="Arial" w:eastAsia="Calibri" w:hAnsi="Arial" w:cs="Arial"/>
          <w:b/>
          <w:sz w:val="20"/>
          <w:szCs w:val="20"/>
        </w:rPr>
        <w:t xml:space="preserve">PARTE ACTORA: </w:t>
      </w:r>
    </w:p>
    <w:p w:rsidR="00004FC0" w:rsidRPr="00361BDB" w:rsidRDefault="00484AD1" w:rsidP="00004FC0">
      <w:pPr>
        <w:spacing w:after="0" w:line="240" w:lineRule="auto"/>
        <w:ind w:left="3969"/>
        <w:jc w:val="both"/>
        <w:rPr>
          <w:rFonts w:ascii="Arial" w:eastAsia="Calibri" w:hAnsi="Arial" w:cs="Arial"/>
          <w:sz w:val="20"/>
          <w:szCs w:val="20"/>
        </w:rPr>
      </w:pPr>
      <w:r>
        <w:rPr>
          <w:rFonts w:ascii="Arial" w:eastAsia="Calibri" w:hAnsi="Arial" w:cs="Arial"/>
          <w:color w:val="FF0000"/>
          <w:sz w:val="20"/>
          <w:szCs w:val="20"/>
        </w:rPr>
        <w:t>**********</w:t>
      </w:r>
    </w:p>
    <w:p w:rsidR="00004FC0" w:rsidRPr="00361BDB" w:rsidRDefault="00004FC0" w:rsidP="00004FC0">
      <w:pPr>
        <w:spacing w:after="0" w:line="240" w:lineRule="auto"/>
        <w:ind w:left="3969"/>
        <w:jc w:val="both"/>
        <w:rPr>
          <w:rFonts w:ascii="Arial" w:eastAsia="Calibri" w:hAnsi="Arial" w:cs="Arial"/>
          <w:b/>
          <w:sz w:val="20"/>
          <w:szCs w:val="20"/>
        </w:rPr>
      </w:pPr>
      <w:r>
        <w:rPr>
          <w:rFonts w:ascii="Arial" w:eastAsia="Calibri" w:hAnsi="Arial" w:cs="Arial"/>
          <w:b/>
          <w:sz w:val="20"/>
          <w:szCs w:val="20"/>
        </w:rPr>
        <w:t>MAGISTRADO</w:t>
      </w:r>
      <w:r w:rsidRPr="00361BDB">
        <w:rPr>
          <w:rFonts w:ascii="Arial" w:eastAsia="Calibri" w:hAnsi="Arial" w:cs="Arial"/>
          <w:b/>
          <w:sz w:val="20"/>
          <w:szCs w:val="20"/>
        </w:rPr>
        <w:t>:</w:t>
      </w:r>
    </w:p>
    <w:p w:rsidR="00004FC0" w:rsidRPr="00361BDB" w:rsidRDefault="00004FC0" w:rsidP="00004FC0">
      <w:pPr>
        <w:spacing w:after="0" w:line="240" w:lineRule="auto"/>
        <w:ind w:left="3969"/>
        <w:jc w:val="both"/>
        <w:rPr>
          <w:rFonts w:ascii="Arial" w:eastAsia="Calibri" w:hAnsi="Arial" w:cs="Arial"/>
          <w:sz w:val="20"/>
          <w:szCs w:val="20"/>
        </w:rPr>
      </w:pPr>
      <w:r w:rsidRPr="00361BDB">
        <w:rPr>
          <w:rFonts w:ascii="Arial" w:eastAsia="Calibri" w:hAnsi="Arial" w:cs="Arial"/>
          <w:sz w:val="20"/>
          <w:szCs w:val="20"/>
        </w:rPr>
        <w:t>LICENCIAD</w:t>
      </w:r>
      <w:r>
        <w:rPr>
          <w:rFonts w:ascii="Arial" w:eastAsia="Calibri" w:hAnsi="Arial" w:cs="Arial"/>
          <w:sz w:val="20"/>
          <w:szCs w:val="20"/>
        </w:rPr>
        <w:t>O JORGE ALEJANDRO VERA NOYOLA</w:t>
      </w:r>
    </w:p>
    <w:p w:rsidR="00004FC0" w:rsidRPr="00361BDB" w:rsidRDefault="00004FC0" w:rsidP="00004FC0">
      <w:pPr>
        <w:spacing w:after="0" w:line="240" w:lineRule="auto"/>
        <w:ind w:left="3969"/>
        <w:jc w:val="both"/>
        <w:rPr>
          <w:rFonts w:ascii="Arial" w:eastAsia="Calibri" w:hAnsi="Arial" w:cs="Arial"/>
          <w:sz w:val="20"/>
          <w:szCs w:val="20"/>
        </w:rPr>
      </w:pPr>
    </w:p>
    <w:p w:rsidR="00004FC0" w:rsidRPr="00361BDB" w:rsidRDefault="00004FC0" w:rsidP="00004FC0">
      <w:pPr>
        <w:spacing w:after="0" w:line="240" w:lineRule="auto"/>
        <w:ind w:left="3969"/>
        <w:jc w:val="both"/>
        <w:rPr>
          <w:rFonts w:ascii="Arial" w:eastAsia="Calibri" w:hAnsi="Arial" w:cs="Arial"/>
          <w:b/>
          <w:sz w:val="20"/>
          <w:szCs w:val="20"/>
        </w:rPr>
      </w:pPr>
      <w:r w:rsidRPr="00361BDB">
        <w:rPr>
          <w:rFonts w:ascii="Arial" w:eastAsia="Calibri" w:hAnsi="Arial" w:cs="Arial"/>
          <w:b/>
          <w:sz w:val="20"/>
          <w:szCs w:val="20"/>
        </w:rPr>
        <w:t>SECRETARIO DE ESTUDIO Y CUENTA:</w:t>
      </w:r>
    </w:p>
    <w:p w:rsidR="00004FC0" w:rsidRPr="00361BDB" w:rsidRDefault="00004FC0" w:rsidP="00004FC0">
      <w:pPr>
        <w:spacing w:after="0" w:line="240" w:lineRule="auto"/>
        <w:ind w:left="3969"/>
        <w:jc w:val="both"/>
        <w:rPr>
          <w:rFonts w:ascii="Arial" w:eastAsia="Calibri" w:hAnsi="Arial" w:cs="Arial"/>
          <w:sz w:val="20"/>
          <w:szCs w:val="20"/>
        </w:rPr>
      </w:pPr>
      <w:r w:rsidRPr="00361BDB">
        <w:rPr>
          <w:rFonts w:ascii="Arial" w:eastAsia="Calibri" w:hAnsi="Arial" w:cs="Arial"/>
          <w:sz w:val="20"/>
          <w:szCs w:val="20"/>
        </w:rPr>
        <w:t xml:space="preserve">LICENCIADA DIANA CAROLINA MONTELONGO ORTIZ </w:t>
      </w:r>
    </w:p>
    <w:p w:rsidR="00004FC0" w:rsidRPr="007E2BF8" w:rsidRDefault="00004FC0" w:rsidP="00004FC0">
      <w:pPr>
        <w:tabs>
          <w:tab w:val="left" w:pos="567"/>
          <w:tab w:val="left" w:pos="5103"/>
          <w:tab w:val="left" w:pos="6804"/>
        </w:tabs>
        <w:spacing w:after="0" w:line="360" w:lineRule="auto"/>
        <w:ind w:left="4253"/>
        <w:rPr>
          <w:rFonts w:ascii="Arial Narrow" w:eastAsia="Arial Unicode MS" w:hAnsi="Arial Narrow" w:cs="Arial"/>
          <w:b/>
          <w:sz w:val="28"/>
          <w:szCs w:val="28"/>
        </w:rPr>
      </w:pPr>
    </w:p>
    <w:p w:rsidR="00004FC0" w:rsidRPr="00130F9A" w:rsidRDefault="00004FC0" w:rsidP="00004FC0">
      <w:pPr>
        <w:keepNext/>
        <w:spacing w:after="0" w:line="360" w:lineRule="auto"/>
        <w:ind w:firstLine="708"/>
        <w:jc w:val="both"/>
        <w:outlineLvl w:val="1"/>
        <w:rPr>
          <w:rFonts w:ascii="Arial" w:eastAsia="Calibri" w:hAnsi="Arial" w:cs="Arial"/>
          <w:sz w:val="26"/>
          <w:szCs w:val="26"/>
        </w:rPr>
      </w:pPr>
      <w:r w:rsidRPr="00130F9A">
        <w:rPr>
          <w:rFonts w:ascii="Arial" w:eastAsia="Calibri" w:hAnsi="Arial" w:cs="Arial"/>
          <w:sz w:val="26"/>
          <w:szCs w:val="26"/>
        </w:rPr>
        <w:t xml:space="preserve">San Luis Potosí, S.L.P., a </w:t>
      </w:r>
      <w:r w:rsidR="00B7287D">
        <w:rPr>
          <w:rFonts w:ascii="Arial" w:eastAsia="Calibri" w:hAnsi="Arial" w:cs="Arial"/>
          <w:sz w:val="26"/>
          <w:szCs w:val="26"/>
        </w:rPr>
        <w:t>diecisiete de abril de d</w:t>
      </w:r>
      <w:r>
        <w:rPr>
          <w:rFonts w:ascii="Arial" w:eastAsia="Calibri" w:hAnsi="Arial" w:cs="Arial"/>
          <w:sz w:val="26"/>
          <w:szCs w:val="26"/>
        </w:rPr>
        <w:t>os mil veinticuatro</w:t>
      </w:r>
      <w:r w:rsidRPr="00130F9A">
        <w:rPr>
          <w:rFonts w:ascii="Arial" w:eastAsia="Calibri" w:hAnsi="Arial" w:cs="Arial"/>
          <w:sz w:val="26"/>
          <w:szCs w:val="26"/>
        </w:rPr>
        <w:t>.</w:t>
      </w:r>
    </w:p>
    <w:p w:rsidR="00004FC0" w:rsidRPr="00130F9A" w:rsidRDefault="00004FC0" w:rsidP="00004FC0">
      <w:pPr>
        <w:spacing w:after="0" w:line="360" w:lineRule="auto"/>
        <w:rPr>
          <w:rFonts w:ascii="Arial" w:eastAsia="Calibri" w:hAnsi="Arial" w:cs="Arial"/>
          <w:sz w:val="26"/>
          <w:szCs w:val="26"/>
        </w:rPr>
      </w:pPr>
    </w:p>
    <w:p w:rsidR="00004FC0" w:rsidRPr="00130F9A" w:rsidRDefault="00004FC0" w:rsidP="00004FC0">
      <w:pPr>
        <w:spacing w:line="360" w:lineRule="auto"/>
        <w:jc w:val="both"/>
        <w:rPr>
          <w:rFonts w:ascii="Arial" w:eastAsia="Calibri" w:hAnsi="Arial" w:cs="Arial"/>
          <w:b/>
          <w:sz w:val="26"/>
          <w:szCs w:val="26"/>
        </w:rPr>
      </w:pPr>
      <w:r w:rsidRPr="00130F9A">
        <w:rPr>
          <w:rFonts w:ascii="Arial" w:eastAsia="Calibri" w:hAnsi="Arial" w:cs="Arial"/>
          <w:b/>
          <w:sz w:val="26"/>
          <w:szCs w:val="26"/>
        </w:rPr>
        <w:tab/>
        <w:t xml:space="preserve">V I S T O S </w:t>
      </w:r>
      <w:r w:rsidRPr="00130F9A">
        <w:rPr>
          <w:rFonts w:ascii="Arial" w:eastAsia="Calibri" w:hAnsi="Arial" w:cs="Arial"/>
          <w:sz w:val="26"/>
          <w:szCs w:val="26"/>
        </w:rPr>
        <w:t xml:space="preserve">para resolver en definitiva los autos del juicio  contencioso administrativo número </w:t>
      </w:r>
      <w:r w:rsidRPr="00565A21">
        <w:rPr>
          <w:rFonts w:ascii="Arial" w:eastAsia="Calibri" w:hAnsi="Arial" w:cs="Arial"/>
          <w:b/>
          <w:sz w:val="26"/>
          <w:szCs w:val="26"/>
        </w:rPr>
        <w:t>10</w:t>
      </w:r>
      <w:r w:rsidR="00B7287D">
        <w:rPr>
          <w:rFonts w:ascii="Arial" w:eastAsia="Calibri" w:hAnsi="Arial" w:cs="Arial"/>
          <w:b/>
          <w:sz w:val="26"/>
          <w:szCs w:val="26"/>
        </w:rPr>
        <w:t>09</w:t>
      </w:r>
      <w:r w:rsidRPr="00565A21">
        <w:rPr>
          <w:rFonts w:ascii="Arial" w:eastAsia="Calibri" w:hAnsi="Arial" w:cs="Arial"/>
          <w:b/>
          <w:sz w:val="26"/>
          <w:szCs w:val="26"/>
        </w:rPr>
        <w:t>/</w:t>
      </w:r>
      <w:r w:rsidRPr="00130F9A">
        <w:rPr>
          <w:rFonts w:ascii="Arial" w:eastAsia="Calibri" w:hAnsi="Arial" w:cs="Arial"/>
          <w:b/>
          <w:sz w:val="26"/>
          <w:szCs w:val="26"/>
        </w:rPr>
        <w:t>202</w:t>
      </w:r>
      <w:r>
        <w:rPr>
          <w:rFonts w:ascii="Arial" w:eastAsia="Calibri" w:hAnsi="Arial" w:cs="Arial"/>
          <w:b/>
          <w:sz w:val="26"/>
          <w:szCs w:val="26"/>
        </w:rPr>
        <w:t>2</w:t>
      </w:r>
      <w:r w:rsidRPr="00130F9A">
        <w:rPr>
          <w:rFonts w:ascii="Arial" w:eastAsia="Calibri" w:hAnsi="Arial" w:cs="Arial"/>
          <w:b/>
          <w:sz w:val="26"/>
          <w:szCs w:val="26"/>
        </w:rPr>
        <w:t xml:space="preserve">-3, </w:t>
      </w:r>
      <w:r w:rsidRPr="00130F9A">
        <w:rPr>
          <w:rFonts w:ascii="Arial" w:eastAsia="Calibri" w:hAnsi="Arial" w:cs="Arial"/>
          <w:sz w:val="26"/>
          <w:szCs w:val="26"/>
        </w:rPr>
        <w:t>promovido por</w:t>
      </w:r>
      <w:r w:rsidRPr="00130F9A">
        <w:rPr>
          <w:rFonts w:ascii="Arial" w:eastAsia="Calibri" w:hAnsi="Arial" w:cs="Arial"/>
          <w:b/>
          <w:sz w:val="26"/>
          <w:szCs w:val="26"/>
        </w:rPr>
        <w:t xml:space="preserve"> </w:t>
      </w:r>
      <w:r w:rsidR="00484AD1">
        <w:rPr>
          <w:rFonts w:ascii="Arial" w:eastAsia="Calibri" w:hAnsi="Arial" w:cs="Arial"/>
          <w:b/>
          <w:color w:val="FF0000"/>
          <w:sz w:val="26"/>
          <w:szCs w:val="26"/>
        </w:rPr>
        <w:t>**********</w:t>
      </w:r>
      <w:r>
        <w:rPr>
          <w:rFonts w:ascii="Arial" w:eastAsia="Calibri" w:hAnsi="Arial" w:cs="Arial"/>
          <w:b/>
          <w:sz w:val="26"/>
          <w:szCs w:val="26"/>
        </w:rPr>
        <w:t>,</w:t>
      </w:r>
      <w:r w:rsidR="00484AD1">
        <w:rPr>
          <w:rFonts w:ascii="Arial" w:eastAsia="Calibri" w:hAnsi="Arial" w:cs="Arial"/>
          <w:color w:val="FF0000"/>
          <w:sz w:val="26"/>
          <w:szCs w:val="26"/>
        </w:rPr>
        <w:t>**********</w:t>
      </w:r>
      <w:r w:rsidRPr="00130F9A">
        <w:rPr>
          <w:rFonts w:ascii="Arial" w:eastAsia="Calibri" w:hAnsi="Arial" w:cs="Arial"/>
          <w:sz w:val="26"/>
          <w:szCs w:val="26"/>
        </w:rPr>
        <w:t xml:space="preserve">contra actos del </w:t>
      </w:r>
      <w:r w:rsidR="00B7287D">
        <w:rPr>
          <w:rFonts w:ascii="Arial" w:eastAsia="Calibri" w:hAnsi="Arial" w:cs="Arial"/>
          <w:b/>
          <w:sz w:val="26"/>
          <w:szCs w:val="26"/>
        </w:rPr>
        <w:t xml:space="preserve">H. AYUNTAMIENTO DE SOLEDAD DE GRACIANO SANCHEZ, S.L.P., DIRECTOR GENERAL DE SEGURIDAD PUBLICA MUNICIPAL y DIRECTOR DE FUERZAS MUNICIPALES DE LA DIRECCION GENERAL DE SEGURIDAD PUBLICA del citado </w:t>
      </w:r>
      <w:r w:rsidR="0043079D">
        <w:rPr>
          <w:rFonts w:ascii="Arial" w:eastAsia="Calibri" w:hAnsi="Arial" w:cs="Arial"/>
          <w:b/>
          <w:sz w:val="26"/>
          <w:szCs w:val="26"/>
        </w:rPr>
        <w:t>Ayuntamiento</w:t>
      </w:r>
      <w:r w:rsidRPr="00130F9A">
        <w:rPr>
          <w:rFonts w:ascii="Arial" w:eastAsia="Calibri" w:hAnsi="Arial" w:cs="Arial"/>
          <w:sz w:val="26"/>
          <w:szCs w:val="26"/>
        </w:rPr>
        <w:t>; y</w:t>
      </w:r>
    </w:p>
    <w:p w:rsidR="00004FC0" w:rsidRPr="00130F9A" w:rsidRDefault="00004FC0" w:rsidP="00004FC0">
      <w:pPr>
        <w:keepNext/>
        <w:tabs>
          <w:tab w:val="left" w:pos="851"/>
          <w:tab w:val="left" w:pos="8389"/>
        </w:tabs>
        <w:spacing w:after="0" w:line="360" w:lineRule="auto"/>
        <w:jc w:val="center"/>
        <w:outlineLvl w:val="2"/>
        <w:rPr>
          <w:rFonts w:ascii="Arial" w:eastAsia="Calibri" w:hAnsi="Arial" w:cs="Arial"/>
          <w:b/>
          <w:sz w:val="26"/>
          <w:szCs w:val="26"/>
        </w:rPr>
      </w:pPr>
      <w:r w:rsidRPr="00130F9A">
        <w:rPr>
          <w:rFonts w:ascii="Arial" w:eastAsia="Calibri" w:hAnsi="Arial" w:cs="Arial"/>
          <w:b/>
          <w:sz w:val="26"/>
          <w:szCs w:val="26"/>
        </w:rPr>
        <w:t>R E S U L T A N D O:</w:t>
      </w:r>
    </w:p>
    <w:p w:rsidR="00004FC0" w:rsidRPr="00130F9A" w:rsidRDefault="00004FC0" w:rsidP="00004FC0">
      <w:pPr>
        <w:spacing w:after="0" w:line="360" w:lineRule="auto"/>
        <w:rPr>
          <w:rFonts w:ascii="Arial" w:eastAsia="Calibri" w:hAnsi="Arial" w:cs="Arial"/>
          <w:sz w:val="26"/>
          <w:szCs w:val="26"/>
        </w:rPr>
      </w:pPr>
    </w:p>
    <w:p w:rsidR="00004FC0" w:rsidRDefault="00004FC0" w:rsidP="00004FC0">
      <w:pPr>
        <w:spacing w:line="360" w:lineRule="auto"/>
        <w:ind w:firstLine="708"/>
        <w:jc w:val="both"/>
        <w:rPr>
          <w:rFonts w:ascii="Arial" w:eastAsia="Calibri" w:hAnsi="Arial" w:cs="Arial"/>
          <w:b/>
          <w:sz w:val="26"/>
          <w:szCs w:val="26"/>
        </w:rPr>
      </w:pPr>
      <w:r w:rsidRPr="00130F9A">
        <w:rPr>
          <w:rFonts w:ascii="Arial" w:eastAsia="Calibri" w:hAnsi="Arial" w:cs="Arial"/>
          <w:b/>
          <w:sz w:val="26"/>
          <w:szCs w:val="26"/>
        </w:rPr>
        <w:t xml:space="preserve">UNICO.- </w:t>
      </w:r>
      <w:r w:rsidRPr="00130F9A">
        <w:rPr>
          <w:rFonts w:ascii="Arial" w:eastAsia="Calibri" w:hAnsi="Arial" w:cs="Arial"/>
          <w:sz w:val="26"/>
          <w:szCs w:val="26"/>
          <w:lang w:val="es-ES_tradnl"/>
        </w:rPr>
        <w:t xml:space="preserve">Por escrito recibido en este Tribunal el día </w:t>
      </w:r>
      <w:r w:rsidR="0043079D">
        <w:rPr>
          <w:rFonts w:ascii="Arial" w:eastAsia="Calibri" w:hAnsi="Arial" w:cs="Arial"/>
          <w:sz w:val="26"/>
          <w:szCs w:val="26"/>
          <w:lang w:val="es-ES_tradnl"/>
        </w:rPr>
        <w:t>catorce de octubre de dos mil veintidós</w:t>
      </w:r>
      <w:r w:rsidRPr="00130F9A">
        <w:rPr>
          <w:rFonts w:ascii="Arial" w:eastAsia="Calibri" w:hAnsi="Arial" w:cs="Arial"/>
          <w:sz w:val="26"/>
          <w:szCs w:val="26"/>
          <w:lang w:val="es-ES_tradnl"/>
        </w:rPr>
        <w:t xml:space="preserve">, compareció </w:t>
      </w:r>
      <w:r w:rsidR="00484AD1">
        <w:rPr>
          <w:rFonts w:ascii="Arial" w:eastAsia="Calibri" w:hAnsi="Arial" w:cs="Arial"/>
          <w:color w:val="FF0000"/>
          <w:sz w:val="26"/>
          <w:szCs w:val="26"/>
          <w:lang w:val="es-ES_tradnl"/>
        </w:rPr>
        <w:t>**********</w:t>
      </w:r>
      <w:r w:rsidRPr="00130F9A">
        <w:rPr>
          <w:rFonts w:ascii="Arial" w:eastAsia="Calibri" w:hAnsi="Arial" w:cs="Arial"/>
          <w:sz w:val="26"/>
          <w:szCs w:val="26"/>
          <w:lang w:val="es-ES_tradnl"/>
        </w:rPr>
        <w:t xml:space="preserve">, a demandar del </w:t>
      </w:r>
      <w:r w:rsidR="0043079D">
        <w:rPr>
          <w:rFonts w:ascii="Arial" w:eastAsia="Calibri" w:hAnsi="Arial" w:cs="Arial"/>
          <w:sz w:val="26"/>
          <w:szCs w:val="26"/>
          <w:lang w:val="es-ES_tradnl"/>
        </w:rPr>
        <w:t>H. Ayuntamiento de Soledad de Graciano Sánchez, S.L.P., Director de Seguridad Pública Municipal y Director de Fuerzas Municipales de la Dirección General de Seguridad Pública del citado Ayuntamiento</w:t>
      </w:r>
      <w:r w:rsidRPr="00565A21">
        <w:rPr>
          <w:rFonts w:ascii="Arial" w:eastAsia="Calibri" w:hAnsi="Arial" w:cs="Arial"/>
          <w:sz w:val="26"/>
          <w:szCs w:val="26"/>
          <w:lang w:val="es-ES_tradnl"/>
        </w:rPr>
        <w:t xml:space="preserve">, por la </w:t>
      </w:r>
      <w:r w:rsidRPr="00130F9A">
        <w:rPr>
          <w:rFonts w:ascii="Arial" w:eastAsia="Calibri" w:hAnsi="Arial" w:cs="Arial"/>
          <w:sz w:val="26"/>
          <w:szCs w:val="26"/>
          <w:lang w:val="es-ES_tradnl"/>
        </w:rPr>
        <w:t xml:space="preserve">nulidad del ilegal cese del que fue objeto, con fecha </w:t>
      </w:r>
      <w:r w:rsidR="00717078">
        <w:rPr>
          <w:rFonts w:ascii="Arial" w:eastAsia="Calibri" w:hAnsi="Arial" w:cs="Arial"/>
          <w:sz w:val="26"/>
          <w:szCs w:val="26"/>
          <w:lang w:val="es-ES_tradnl"/>
        </w:rPr>
        <w:t>catorce de septiembre de dos mil veintidós</w:t>
      </w:r>
      <w:r w:rsidRPr="00130F9A">
        <w:rPr>
          <w:rFonts w:ascii="Arial" w:eastAsia="Calibri" w:hAnsi="Arial" w:cs="Arial"/>
          <w:sz w:val="26"/>
          <w:szCs w:val="26"/>
          <w:lang w:val="es-ES_tradnl"/>
        </w:rPr>
        <w:t xml:space="preserve">. Por proveído de </w:t>
      </w:r>
      <w:r w:rsidR="000E7F04">
        <w:rPr>
          <w:rFonts w:ascii="Arial" w:eastAsia="Calibri" w:hAnsi="Arial" w:cs="Arial"/>
          <w:sz w:val="26"/>
          <w:szCs w:val="26"/>
          <w:lang w:val="es-ES_tradnl"/>
        </w:rPr>
        <w:t>veintiséis de octubre de dos mil veintidós</w:t>
      </w:r>
      <w:r w:rsidRPr="00130F9A">
        <w:rPr>
          <w:rFonts w:ascii="Arial" w:eastAsia="Calibri" w:hAnsi="Arial" w:cs="Arial"/>
          <w:sz w:val="26"/>
          <w:szCs w:val="26"/>
          <w:lang w:val="es-ES_tradnl"/>
        </w:rPr>
        <w:t>, se</w:t>
      </w:r>
      <w:r w:rsidR="000E7F04">
        <w:rPr>
          <w:rFonts w:ascii="Arial" w:eastAsia="Calibri" w:hAnsi="Arial" w:cs="Arial"/>
          <w:sz w:val="26"/>
          <w:szCs w:val="26"/>
          <w:lang w:val="es-ES_tradnl"/>
        </w:rPr>
        <w:t xml:space="preserve"> requirió a la parte actora, para que dentro del término de cinco días hábiles, subsanara las omisiones contenidas en el auto de referencia, con el apercibimiento de ley. Mediante acuerdo de siete de diciembre de dos mil veintidós, se</w:t>
      </w:r>
      <w:r w:rsidRPr="00130F9A">
        <w:rPr>
          <w:rFonts w:ascii="Arial" w:eastAsia="Calibri" w:hAnsi="Arial" w:cs="Arial"/>
          <w:sz w:val="26"/>
          <w:szCs w:val="26"/>
          <w:lang w:val="es-ES_tradnl"/>
        </w:rPr>
        <w:t xml:space="preserve"> admitió la demanda en contra de las autoridades </w:t>
      </w:r>
      <w:r>
        <w:rPr>
          <w:rFonts w:ascii="Arial" w:eastAsia="Calibri" w:hAnsi="Arial" w:cs="Arial"/>
          <w:sz w:val="26"/>
          <w:szCs w:val="26"/>
          <w:lang w:val="es-ES_tradnl"/>
        </w:rPr>
        <w:t xml:space="preserve">señaladas como </w:t>
      </w:r>
      <w:r w:rsidRPr="00130F9A">
        <w:rPr>
          <w:rFonts w:ascii="Arial" w:eastAsia="Calibri" w:hAnsi="Arial" w:cs="Arial"/>
          <w:sz w:val="26"/>
          <w:szCs w:val="26"/>
          <w:lang w:val="es-ES_tradnl"/>
        </w:rPr>
        <w:t xml:space="preserve">demandadas, por lo que con las copias simples y anexos, se ordenó correr traslado a las autoridades demandadas, para que dentro del término de diez días hábiles contados a partir del día siguiente al que surtiera efectos la </w:t>
      </w:r>
      <w:r w:rsidRPr="00130F9A">
        <w:rPr>
          <w:rFonts w:ascii="Arial" w:eastAsia="Calibri" w:hAnsi="Arial" w:cs="Arial"/>
          <w:sz w:val="26"/>
          <w:szCs w:val="26"/>
          <w:lang w:val="es-ES_tradnl"/>
        </w:rPr>
        <w:lastRenderedPageBreak/>
        <w:t xml:space="preserve">notificación contestaran lo que a su interés conviniera. Mediante auto de </w:t>
      </w:r>
      <w:r w:rsidR="000E7F04">
        <w:rPr>
          <w:rFonts w:ascii="Arial" w:eastAsia="Calibri" w:hAnsi="Arial" w:cs="Arial"/>
          <w:sz w:val="26"/>
          <w:szCs w:val="26"/>
          <w:lang w:val="es-ES_tradnl"/>
        </w:rPr>
        <w:t xml:space="preserve">primero de febrero de dos mil veintitrés, se tuvo a las autoridades por contestada la demanda, por lo que </w:t>
      </w:r>
      <w:r w:rsidRPr="00130F9A">
        <w:rPr>
          <w:rFonts w:ascii="Arial" w:eastAsia="Calibri" w:hAnsi="Arial" w:cs="Arial"/>
          <w:sz w:val="26"/>
          <w:szCs w:val="26"/>
          <w:lang w:val="es-ES_tradnl"/>
        </w:rPr>
        <w:t xml:space="preserve">se ordenó correr traslado a la parte actora, para que dentro del término de cinco días hábiles manifestara lo que a su interés conviniera. Se tuvieron por admitidas a la parte actora, las pruebas documentales que acompañó a su escrito de demanda, así </w:t>
      </w:r>
      <w:r>
        <w:rPr>
          <w:rFonts w:ascii="Arial" w:eastAsia="Calibri" w:hAnsi="Arial" w:cs="Arial"/>
          <w:sz w:val="26"/>
          <w:szCs w:val="26"/>
          <w:lang w:val="es-ES_tradnl"/>
        </w:rPr>
        <w:t xml:space="preserve">como las </w:t>
      </w:r>
      <w:r w:rsidR="008C501D">
        <w:rPr>
          <w:rFonts w:ascii="Arial" w:eastAsia="Calibri" w:hAnsi="Arial" w:cs="Arial"/>
          <w:sz w:val="26"/>
          <w:szCs w:val="26"/>
          <w:lang w:val="es-ES_tradnl"/>
        </w:rPr>
        <w:t>testimoniales y el informe a cargo del Director del Centro de Sistemas Información y Monitoreo (CESIM) adscrito a la Dirección General de Seguridad Pública Municipal de Soledad de Graciano Sánchez y Secretariado Ejecutivo del Consejo Estatal de Seguridad Pública</w:t>
      </w:r>
      <w:r w:rsidR="00604B9C">
        <w:rPr>
          <w:rFonts w:ascii="Arial" w:eastAsia="Calibri" w:hAnsi="Arial" w:cs="Arial"/>
          <w:sz w:val="26"/>
          <w:szCs w:val="26"/>
          <w:lang w:val="es-ES_tradnl"/>
        </w:rPr>
        <w:t>; asimismo, se hizo efectivo e apercibimiento al actor en el auto de veintiséis de octubre de dos mil veintidós, y en consecuencia, se desecharon las pruebas documental privada primera y requerimiento primero, ofrecidas en su escrito inicial de demanda</w:t>
      </w:r>
      <w:r w:rsidR="004B4DB1">
        <w:rPr>
          <w:rFonts w:ascii="Arial" w:eastAsia="Calibri" w:hAnsi="Arial" w:cs="Arial"/>
          <w:sz w:val="26"/>
          <w:szCs w:val="26"/>
          <w:lang w:val="es-ES_tradnl"/>
        </w:rPr>
        <w:t xml:space="preserve">. Por otra parte, se tuvo a las autoridades demandadas </w:t>
      </w:r>
      <w:r w:rsidRPr="00130F9A">
        <w:rPr>
          <w:rFonts w:ascii="Arial" w:eastAsia="Calibri" w:hAnsi="Arial" w:cs="Arial"/>
          <w:sz w:val="26"/>
          <w:szCs w:val="26"/>
          <w:lang w:val="es-ES_tradnl"/>
        </w:rPr>
        <w:t xml:space="preserve">por ofrecidas y admitidas </w:t>
      </w:r>
      <w:r w:rsidR="00167E54">
        <w:rPr>
          <w:rFonts w:ascii="Arial" w:eastAsia="Calibri" w:hAnsi="Arial" w:cs="Arial"/>
          <w:sz w:val="26"/>
          <w:szCs w:val="26"/>
          <w:lang w:val="es-ES_tradnl"/>
        </w:rPr>
        <w:t>la presuncional legal y humana e instrumental de actuaciones</w:t>
      </w:r>
      <w:r w:rsidRPr="00130F9A">
        <w:rPr>
          <w:rFonts w:ascii="Arial" w:eastAsia="Calibri" w:hAnsi="Arial" w:cs="Arial"/>
          <w:sz w:val="26"/>
          <w:szCs w:val="26"/>
          <w:lang w:val="es-ES_tradnl"/>
        </w:rPr>
        <w:t xml:space="preserve">. </w:t>
      </w:r>
      <w:r w:rsidR="00167E54">
        <w:rPr>
          <w:rFonts w:ascii="Arial" w:eastAsia="Calibri" w:hAnsi="Arial" w:cs="Arial"/>
          <w:sz w:val="26"/>
          <w:szCs w:val="26"/>
          <w:lang w:val="es-ES_tradnl"/>
        </w:rPr>
        <w:t>En contra del auto de fecha primero de febrero de dos mil veintidós que tuvo por contestada la demanda al Director General de Seguridad Pública Municipal de Soledad de Graciano Sánchez, S.L.P., la parte actora promovió recurso de reclamación, el que fue admitido por auto de trece de abril de dos mil veintitrés, del cual se corrió traslado a las partes, a efecto de que manifestaran lo que a su interés conviniera, por lo que una vez hecho lo anterior, se citó para resolver el mismo, dictándose la interlocutoria correspondiente, con fecha ocho de septiembre de dos mil veintitrés la cual revocó el auto de primero de febrero de dos mil veintitrés, en la parte relativa que tuvo por contestada la demanda al Director General de Seguridad Púbica Municipal del H. Ayuntamiento de Soledad de Graciano Sánchez, S.L.P.</w:t>
      </w:r>
      <w:r w:rsidR="00600AB8">
        <w:rPr>
          <w:rFonts w:ascii="Arial" w:eastAsia="Calibri" w:hAnsi="Arial" w:cs="Arial"/>
          <w:sz w:val="26"/>
          <w:szCs w:val="26"/>
          <w:lang w:val="es-ES_tradnl"/>
        </w:rPr>
        <w:t xml:space="preserve"> Resolución que fue cumplimentada con auto de treinta y uno de octubre de dos mil veintitrés, donde se tuvo por no contestada la demanda al citado funcionario, teniéndolo por contestando la demanda en sentido afirmativo, salvo prueba en contrario y por precluído su derecho a ofrecer pruebas. En el mismo auto se fijó fecha y hora para la celebración de la audiencia de ley, misma que tuvo verificativo el veintiocho de noviembre de dos mil veintitrés, con la asistencia de la parte actora, haciéndose constar la inasistencia de las autoridades demandadas</w:t>
      </w:r>
      <w:r w:rsidRPr="00130F9A">
        <w:rPr>
          <w:rFonts w:ascii="Arial" w:eastAsia="Calibri" w:hAnsi="Arial" w:cs="Arial"/>
          <w:sz w:val="26"/>
          <w:szCs w:val="26"/>
          <w:lang w:val="es-ES_tradnl"/>
        </w:rPr>
        <w:t xml:space="preserve">; en período de pruebas se tuvieron por desahogadas las </w:t>
      </w:r>
      <w:r w:rsidRPr="00130F9A">
        <w:rPr>
          <w:rFonts w:ascii="Arial" w:eastAsia="Calibri" w:hAnsi="Arial" w:cs="Arial"/>
          <w:sz w:val="26"/>
          <w:szCs w:val="26"/>
          <w:lang w:val="es-ES_tradnl"/>
        </w:rPr>
        <w:lastRenderedPageBreak/>
        <w:t>pruebas documentales de las partes dada su propia naturaleza</w:t>
      </w:r>
      <w:r>
        <w:rPr>
          <w:rFonts w:ascii="Arial" w:eastAsia="Calibri" w:hAnsi="Arial" w:cs="Arial"/>
          <w:sz w:val="26"/>
          <w:szCs w:val="26"/>
          <w:lang w:val="es-ES_tradnl"/>
        </w:rPr>
        <w:t xml:space="preserve"> y las pruebas </w:t>
      </w:r>
      <w:r w:rsidR="00600AB8">
        <w:rPr>
          <w:rFonts w:ascii="Arial" w:eastAsia="Calibri" w:hAnsi="Arial" w:cs="Arial"/>
          <w:sz w:val="26"/>
          <w:szCs w:val="26"/>
          <w:lang w:val="es-ES_tradnl"/>
        </w:rPr>
        <w:t>testimoniales admitidas a la parte actora</w:t>
      </w:r>
      <w:r w:rsidRPr="00130F9A">
        <w:rPr>
          <w:rFonts w:ascii="Arial" w:eastAsia="Calibri" w:hAnsi="Arial" w:cs="Arial"/>
          <w:sz w:val="26"/>
          <w:szCs w:val="26"/>
          <w:lang w:val="es-ES_tradnl"/>
        </w:rPr>
        <w:t>. No existiendo pruebas por de</w:t>
      </w:r>
      <w:r>
        <w:rPr>
          <w:rFonts w:ascii="Arial" w:eastAsia="Calibri" w:hAnsi="Arial" w:cs="Arial"/>
          <w:sz w:val="26"/>
          <w:szCs w:val="26"/>
          <w:lang w:val="es-ES_tradnl"/>
        </w:rPr>
        <w:t xml:space="preserve">sahogar, en período de alegatos, se </w:t>
      </w:r>
      <w:r w:rsidR="003F65A9">
        <w:rPr>
          <w:rFonts w:ascii="Arial" w:eastAsia="Calibri" w:hAnsi="Arial" w:cs="Arial"/>
          <w:sz w:val="26"/>
          <w:szCs w:val="26"/>
          <w:lang w:val="es-ES_tradnl"/>
        </w:rPr>
        <w:t xml:space="preserve">dio cuenta con los que por escrito formuló la parte actora y se </w:t>
      </w:r>
      <w:r>
        <w:rPr>
          <w:rFonts w:ascii="Arial" w:eastAsia="Calibri" w:hAnsi="Arial" w:cs="Arial"/>
          <w:sz w:val="26"/>
          <w:szCs w:val="26"/>
          <w:lang w:val="es-ES_tradnl"/>
        </w:rPr>
        <w:t>certificó que estos no fueron formulados por las</w:t>
      </w:r>
      <w:r w:rsidR="003F65A9">
        <w:rPr>
          <w:rFonts w:ascii="Arial" w:eastAsia="Calibri" w:hAnsi="Arial" w:cs="Arial"/>
          <w:sz w:val="26"/>
          <w:szCs w:val="26"/>
          <w:lang w:val="es-ES_tradnl"/>
        </w:rPr>
        <w:t xml:space="preserve"> autoridades demandadas</w:t>
      </w:r>
      <w:r w:rsidRPr="00130F9A">
        <w:rPr>
          <w:rFonts w:ascii="Arial" w:eastAsia="Calibri" w:hAnsi="Arial" w:cs="Arial"/>
          <w:sz w:val="26"/>
          <w:szCs w:val="26"/>
          <w:lang w:val="es-ES_tradnl"/>
        </w:rPr>
        <w:t>, quedando así debidamente integrado el expediente en que se actúa, citándose para resolver.</w:t>
      </w:r>
      <w:r w:rsidRPr="00130F9A">
        <w:rPr>
          <w:rFonts w:ascii="Arial" w:eastAsia="Calibri" w:hAnsi="Arial" w:cs="Arial"/>
          <w:b/>
          <w:sz w:val="26"/>
          <w:szCs w:val="26"/>
        </w:rPr>
        <w:t xml:space="preserve"> </w:t>
      </w:r>
    </w:p>
    <w:p w:rsidR="00004FC0" w:rsidRPr="00130F9A" w:rsidRDefault="00004FC0" w:rsidP="00004FC0">
      <w:pPr>
        <w:keepNext/>
        <w:spacing w:after="0" w:line="360" w:lineRule="auto"/>
        <w:ind w:right="-1"/>
        <w:jc w:val="center"/>
        <w:outlineLvl w:val="3"/>
        <w:rPr>
          <w:rFonts w:ascii="Arial" w:eastAsia="Calibri" w:hAnsi="Arial" w:cs="Arial"/>
          <w:b/>
          <w:sz w:val="26"/>
          <w:szCs w:val="26"/>
        </w:rPr>
      </w:pPr>
      <w:r w:rsidRPr="00130F9A">
        <w:rPr>
          <w:rFonts w:ascii="Arial" w:eastAsia="Calibri" w:hAnsi="Arial" w:cs="Arial"/>
          <w:b/>
          <w:sz w:val="26"/>
          <w:szCs w:val="26"/>
        </w:rPr>
        <w:t>C O N S I D E R A N D O</w:t>
      </w:r>
    </w:p>
    <w:p w:rsidR="00004FC0" w:rsidRPr="00130F9A" w:rsidRDefault="00004FC0" w:rsidP="00004FC0">
      <w:pPr>
        <w:autoSpaceDE w:val="0"/>
        <w:autoSpaceDN w:val="0"/>
        <w:adjustRightInd w:val="0"/>
        <w:spacing w:after="0" w:line="360" w:lineRule="auto"/>
        <w:ind w:firstLine="709"/>
        <w:jc w:val="both"/>
        <w:rPr>
          <w:rFonts w:ascii="Arial" w:eastAsia="Calibri" w:hAnsi="Arial" w:cs="Arial"/>
          <w:b/>
          <w:sz w:val="26"/>
          <w:szCs w:val="26"/>
        </w:rPr>
      </w:pPr>
    </w:p>
    <w:p w:rsidR="00004FC0" w:rsidRDefault="00004FC0" w:rsidP="00004FC0">
      <w:pPr>
        <w:autoSpaceDE w:val="0"/>
        <w:autoSpaceDN w:val="0"/>
        <w:adjustRightInd w:val="0"/>
        <w:spacing w:after="0" w:line="360" w:lineRule="auto"/>
        <w:ind w:firstLine="709"/>
        <w:jc w:val="both"/>
        <w:rPr>
          <w:rFonts w:ascii="Arial" w:eastAsia="Times New Roman" w:hAnsi="Arial" w:cs="Arial"/>
          <w:sz w:val="26"/>
          <w:szCs w:val="26"/>
          <w:lang w:eastAsia="es-ES"/>
        </w:rPr>
      </w:pPr>
      <w:r w:rsidRPr="00130F9A">
        <w:rPr>
          <w:rFonts w:ascii="Arial" w:eastAsia="Calibri" w:hAnsi="Arial" w:cs="Arial"/>
          <w:b/>
          <w:sz w:val="26"/>
          <w:szCs w:val="26"/>
        </w:rPr>
        <w:t>PRIMERO.-</w:t>
      </w:r>
      <w:r w:rsidRPr="00130F9A">
        <w:rPr>
          <w:rFonts w:ascii="Arial" w:eastAsia="Calibri" w:hAnsi="Arial" w:cs="Arial"/>
          <w:sz w:val="26"/>
          <w:szCs w:val="26"/>
        </w:rPr>
        <w:t xml:space="preserve"> </w:t>
      </w:r>
      <w:r w:rsidRPr="00130F9A">
        <w:rPr>
          <w:rFonts w:ascii="Arial" w:eastAsia="Times New Roman" w:hAnsi="Arial" w:cs="Arial"/>
          <w:sz w:val="26"/>
          <w:szCs w:val="26"/>
          <w:lang w:eastAsia="es-ES"/>
        </w:rPr>
        <w:t xml:space="preserve">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w:t>
      </w:r>
      <w:r w:rsidRPr="00130F9A">
        <w:rPr>
          <w:rFonts w:ascii="Arial" w:eastAsia="Times New Roman" w:hAnsi="Arial" w:cs="Arial"/>
          <w:i/>
          <w:sz w:val="26"/>
          <w:szCs w:val="26"/>
          <w:lang w:eastAsia="es-ES"/>
        </w:rPr>
        <w:t>“Plan de San Luis”,</w:t>
      </w:r>
      <w:r w:rsidRPr="00130F9A">
        <w:rPr>
          <w:rFonts w:ascii="Arial" w:eastAsia="Times New Roman" w:hAnsi="Arial" w:cs="Arial"/>
          <w:sz w:val="26"/>
          <w:szCs w:val="26"/>
          <w:lang w:eastAsia="es-ES"/>
        </w:rPr>
        <w:t xml:space="preserve"> mediante Decreto número 603 del diez de abril de dos mil diecisiete;</w:t>
      </w:r>
      <w:r w:rsidRPr="00130F9A">
        <w:rPr>
          <w:rFonts w:ascii="Arial" w:eastAsia="Calibri" w:hAnsi="Arial" w:cs="Arial"/>
          <w:sz w:val="26"/>
          <w:szCs w:val="26"/>
        </w:rPr>
        <w:t xml:space="preserve"> </w:t>
      </w:r>
      <w:r w:rsidRPr="00130F9A">
        <w:rPr>
          <w:rFonts w:ascii="Arial" w:eastAsia="Times New Roman" w:hAnsi="Arial" w:cs="Arial"/>
          <w:sz w:val="26"/>
          <w:szCs w:val="26"/>
          <w:lang w:eastAsia="es-ES"/>
        </w:rPr>
        <w:t>y en el caso de este expediente, relativo a una controversia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w:t>
      </w:r>
    </w:p>
    <w:p w:rsidR="00004FC0" w:rsidRPr="00130F9A" w:rsidRDefault="00004FC0" w:rsidP="00004FC0">
      <w:pPr>
        <w:autoSpaceDE w:val="0"/>
        <w:autoSpaceDN w:val="0"/>
        <w:adjustRightInd w:val="0"/>
        <w:spacing w:after="0" w:line="360" w:lineRule="auto"/>
        <w:ind w:firstLine="709"/>
        <w:jc w:val="both"/>
        <w:rPr>
          <w:rFonts w:ascii="Arial" w:eastAsia="Calibri" w:hAnsi="Arial" w:cs="Arial"/>
          <w:sz w:val="26"/>
          <w:szCs w:val="26"/>
        </w:rPr>
      </w:pPr>
    </w:p>
    <w:p w:rsidR="00004FC0" w:rsidRPr="00130F9A" w:rsidRDefault="00004FC0" w:rsidP="00004FC0">
      <w:pPr>
        <w:spacing w:after="0" w:line="360" w:lineRule="auto"/>
        <w:ind w:firstLine="709"/>
        <w:jc w:val="both"/>
        <w:rPr>
          <w:rFonts w:ascii="Arial" w:eastAsia="Calibri" w:hAnsi="Arial" w:cs="Arial"/>
          <w:sz w:val="26"/>
          <w:szCs w:val="26"/>
        </w:rPr>
      </w:pPr>
      <w:r w:rsidRPr="00130F9A">
        <w:rPr>
          <w:rFonts w:ascii="Arial" w:eastAsia="Calibri" w:hAnsi="Arial" w:cs="Arial"/>
          <w:sz w:val="26"/>
          <w:szCs w:val="26"/>
        </w:rPr>
        <w:t>Competencia que además, fue reconocida en la Tesis de Jurisprudencia 23/96, aprobada por la Segunda Sala de la Suprema Corte de Justicia de la Nación, en sesión privada de veinticuatro de mayo de mil novecientos noventa y seis: Novena Época, Registro: 200587, Instancia: Segunda Sala, Jurisprudencia, Fuente: Semanario Judicial de la Federación y su Gaceta, III, Junio de 1996, Materia(s): Constitucional, Administrativa, Laboral, Tesis: 2a./J. 23/96, Página: 244; que establece:</w:t>
      </w:r>
    </w:p>
    <w:p w:rsidR="00004FC0" w:rsidRPr="00085E24" w:rsidRDefault="00004FC0" w:rsidP="00004FC0">
      <w:pPr>
        <w:spacing w:after="0" w:line="240" w:lineRule="auto"/>
        <w:ind w:firstLine="709"/>
        <w:jc w:val="both"/>
        <w:rPr>
          <w:rFonts w:ascii="Arial Narrow" w:eastAsia="Calibri" w:hAnsi="Arial Narrow" w:cs="Arial"/>
          <w:i/>
          <w:sz w:val="23"/>
          <w:szCs w:val="23"/>
        </w:rPr>
      </w:pPr>
      <w:r w:rsidRPr="00085E24">
        <w:rPr>
          <w:rFonts w:ascii="Arial Narrow" w:eastAsia="Calibri" w:hAnsi="Arial Narrow" w:cs="Arial"/>
          <w:b/>
          <w:i/>
          <w:sz w:val="23"/>
          <w:szCs w:val="23"/>
        </w:rPr>
        <w:t xml:space="preserve">“COMPETENCIA PARA CONOCER DE LOS CONFLICTOS DERIVADOS DE LA PRESTACION DE SERVICIOS DE LOS POLICIAS. CORRESPONDE AL TRIBUNAL DE LO </w:t>
      </w:r>
      <w:r w:rsidRPr="00085E24">
        <w:rPr>
          <w:rFonts w:ascii="Arial Narrow" w:eastAsia="Calibri" w:hAnsi="Arial Narrow" w:cs="Arial"/>
          <w:b/>
          <w:i/>
          <w:sz w:val="23"/>
          <w:szCs w:val="23"/>
        </w:rPr>
        <w:lastRenderedPageBreak/>
        <w:t>CONTENCIOSO ADMINISTRATIVO. (ESTADO DE SAN LUIS POTOSI).</w:t>
      </w:r>
      <w:r w:rsidRPr="00085E24">
        <w:rPr>
          <w:rFonts w:ascii="Arial Narrow" w:eastAsia="Calibri" w:hAnsi="Arial Narrow" w:cs="Arial"/>
          <w:i/>
          <w:sz w:val="23"/>
          <w:szCs w:val="23"/>
        </w:rPr>
        <w:t xml:space="preserve"> De lo dispuesto por las fracciones XIII, del apartado B, del artículo 123 y V, del 116 de la Constitución Política de los Estados Unidos Mexicanos, se desprende que la naturaleza del vínculo jurídico existente entre los agentes de seguridad pública y el Estado, es de naturaleza administrativa y no laboral. Asimismo, el Estatuto Jurídico de los Trabajadores al Servicio de las Autoridades de San Luis Potosí, tampoco reconoce como laboral el vínculo que une a los agentes de seguridad pública con el Estado. Por ello, resulta competente para conocer de los litigios que se generen con motivo de la prestación del servicio, el Tribunal de lo Contencioso Administrativo del Estado, tal como lo dispone el artículo 2 de la Ley de Justicia Administrativa de dicha entidad federativa, que faculta a este órgano para conocer de las controversias de naturaleza administrativa entre las autoridades del Estado y los gobernados, sin dejar de tomar en consideración que las prestaciones demandadas no son sino una consecuencia de la acción de nulidad promovida en contra de la orden de baja del actor. Este criterio se ve fortalecido por diversas tesis aisladas y de jurisprudencia, dentro de las que destacan las tesis jurisprudenciales números 24/1995 del Tribunal Pleno y 77/95 de la Segunda Sala, publicadas en el Tomo II del Semanario Judicial de la Federación (Novena Época), la primera en el mes de septiembre de mil novecientos noventa y cinco, página cuarenta y tres, y la segunda en el mes de diciembre siguiente, página doscientos noventa, y aunque se refiere a los policías en el Estado de México, guardan analogía con lo que acontece en San Luis Potosí y no viene sino a fortalecer el carácter administrativo de la relación que sostienen los agentes de seguridad pública con el propio Estado….”</w:t>
      </w:r>
    </w:p>
    <w:p w:rsidR="00004FC0" w:rsidRDefault="00004FC0" w:rsidP="00004FC0">
      <w:pPr>
        <w:spacing w:line="360" w:lineRule="auto"/>
        <w:ind w:firstLine="709"/>
        <w:contextualSpacing/>
        <w:jc w:val="both"/>
        <w:rPr>
          <w:rFonts w:ascii="Arial" w:eastAsia="Calibri" w:hAnsi="Arial" w:cs="Arial"/>
          <w:b/>
          <w:sz w:val="24"/>
          <w:szCs w:val="24"/>
        </w:rPr>
      </w:pPr>
    </w:p>
    <w:p w:rsidR="00004FC0" w:rsidRPr="00827E48" w:rsidRDefault="00004FC0" w:rsidP="00004FC0">
      <w:pPr>
        <w:spacing w:line="360" w:lineRule="auto"/>
        <w:ind w:firstLine="709"/>
        <w:contextualSpacing/>
        <w:jc w:val="both"/>
        <w:rPr>
          <w:rFonts w:ascii="Arial" w:eastAsia="Times New Roman" w:hAnsi="Arial" w:cs="Arial"/>
          <w:sz w:val="26"/>
          <w:szCs w:val="26"/>
          <w:lang w:eastAsia="es-ES"/>
        </w:rPr>
      </w:pPr>
      <w:r w:rsidRPr="00827E48">
        <w:rPr>
          <w:rFonts w:ascii="Arial" w:eastAsia="Calibri" w:hAnsi="Arial" w:cs="Arial"/>
          <w:b/>
          <w:sz w:val="26"/>
          <w:szCs w:val="26"/>
        </w:rPr>
        <w:t xml:space="preserve">SEGUNDO.- </w:t>
      </w:r>
      <w:r w:rsidRPr="00827E48">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004FC0" w:rsidRPr="00827E48" w:rsidRDefault="00004FC0" w:rsidP="00004FC0">
      <w:pPr>
        <w:autoSpaceDE w:val="0"/>
        <w:autoSpaceDN w:val="0"/>
        <w:adjustRightInd w:val="0"/>
        <w:spacing w:after="0" w:line="360" w:lineRule="auto"/>
        <w:ind w:firstLine="709"/>
        <w:jc w:val="both"/>
        <w:rPr>
          <w:rFonts w:ascii="Arial" w:eastAsia="Times New Roman" w:hAnsi="Arial" w:cs="Arial"/>
          <w:sz w:val="26"/>
          <w:szCs w:val="26"/>
          <w:lang w:eastAsia="es-ES"/>
        </w:rPr>
      </w:pPr>
    </w:p>
    <w:p w:rsidR="00004FC0" w:rsidRDefault="00004FC0" w:rsidP="00B936FC">
      <w:pPr>
        <w:spacing w:line="360" w:lineRule="auto"/>
        <w:ind w:firstLine="709"/>
        <w:jc w:val="both"/>
        <w:rPr>
          <w:rFonts w:ascii="Arial" w:eastAsia="Calibri" w:hAnsi="Arial" w:cs="Arial"/>
          <w:sz w:val="26"/>
          <w:szCs w:val="26"/>
        </w:rPr>
      </w:pPr>
      <w:r w:rsidRPr="00827E48">
        <w:rPr>
          <w:rFonts w:ascii="Arial" w:eastAsia="Calibri" w:hAnsi="Arial" w:cs="Arial"/>
          <w:sz w:val="26"/>
          <w:szCs w:val="26"/>
        </w:rPr>
        <w:t>La parte actora compareció por derecho propio; acreditando su interés jurídico en términos del artículo 231 del Código Procesal Administrativo para el Estado de San Luis Potosí, al demostrar la relación jurídico administrativa que le unía con la parte demandada, con l</w:t>
      </w:r>
      <w:r w:rsidR="001E190B">
        <w:rPr>
          <w:rFonts w:ascii="Arial" w:eastAsia="Calibri" w:hAnsi="Arial" w:cs="Arial"/>
          <w:sz w:val="26"/>
          <w:szCs w:val="26"/>
        </w:rPr>
        <w:t xml:space="preserve">as documentales en original, consistentes en las credenciales expedidas a nombre de </w:t>
      </w:r>
      <w:r w:rsidR="00484AD1">
        <w:rPr>
          <w:rFonts w:ascii="Arial" w:eastAsia="Calibri" w:hAnsi="Arial" w:cs="Arial"/>
          <w:color w:val="FF0000"/>
          <w:sz w:val="26"/>
          <w:szCs w:val="26"/>
        </w:rPr>
        <w:t>**********</w:t>
      </w:r>
      <w:r w:rsidR="001E190B">
        <w:rPr>
          <w:rFonts w:ascii="Arial" w:eastAsia="Calibri" w:hAnsi="Arial" w:cs="Arial"/>
          <w:sz w:val="26"/>
          <w:szCs w:val="26"/>
        </w:rPr>
        <w:t>, por la Dirección General de Seguridad Pública de Soledad de Graciano Sánchez, S.L.P. , así como por la Secretaría de Seguridad Púbica del Estado, que lo acreditan como Policía Municipal de Soledad de Graciano Sánchez, S.L.P.</w:t>
      </w:r>
      <w:r w:rsidR="00B936FC">
        <w:rPr>
          <w:rFonts w:ascii="Arial" w:eastAsia="Calibri" w:hAnsi="Arial" w:cs="Arial"/>
          <w:sz w:val="26"/>
          <w:szCs w:val="26"/>
        </w:rPr>
        <w:t>, mismas que obran a fojas 11 de autos</w:t>
      </w:r>
      <w:r w:rsidRPr="00827E48">
        <w:rPr>
          <w:rFonts w:ascii="Arial" w:eastAsia="Calibri" w:hAnsi="Arial" w:cs="Arial"/>
          <w:sz w:val="26"/>
          <w:szCs w:val="26"/>
        </w:rPr>
        <w:t>.</w:t>
      </w:r>
    </w:p>
    <w:p w:rsidR="00AE7C7E" w:rsidRDefault="00AE7C7E" w:rsidP="00004FC0">
      <w:pPr>
        <w:autoSpaceDE w:val="0"/>
        <w:autoSpaceDN w:val="0"/>
        <w:adjustRightInd w:val="0"/>
        <w:spacing w:before="240" w:after="240" w:line="360" w:lineRule="auto"/>
        <w:ind w:firstLine="709"/>
        <w:jc w:val="both"/>
        <w:rPr>
          <w:rFonts w:ascii="Arial" w:eastAsia="Calibri" w:hAnsi="Arial" w:cs="Arial"/>
          <w:color w:val="000000"/>
          <w:sz w:val="26"/>
          <w:szCs w:val="26"/>
        </w:rPr>
      </w:pPr>
    </w:p>
    <w:p w:rsidR="00AC3F37" w:rsidRDefault="00AE7C7E" w:rsidP="00004FC0">
      <w:pPr>
        <w:autoSpaceDE w:val="0"/>
        <w:autoSpaceDN w:val="0"/>
        <w:adjustRightInd w:val="0"/>
        <w:spacing w:before="240" w:after="240" w:line="360" w:lineRule="auto"/>
        <w:ind w:firstLine="709"/>
        <w:jc w:val="both"/>
        <w:rPr>
          <w:rFonts w:ascii="Arial" w:eastAsia="Calibri" w:hAnsi="Arial" w:cs="Arial"/>
          <w:color w:val="000000"/>
          <w:sz w:val="26"/>
          <w:szCs w:val="26"/>
        </w:rPr>
      </w:pPr>
      <w:r>
        <w:rPr>
          <w:rFonts w:ascii="Arial" w:eastAsia="Calibri" w:hAnsi="Arial" w:cs="Arial"/>
          <w:color w:val="000000"/>
          <w:sz w:val="26"/>
          <w:szCs w:val="26"/>
        </w:rPr>
        <w:t>Re</w:t>
      </w:r>
      <w:r w:rsidR="00004FC0">
        <w:rPr>
          <w:rFonts w:ascii="Arial" w:eastAsia="Calibri" w:hAnsi="Arial" w:cs="Arial"/>
          <w:color w:val="000000"/>
          <w:sz w:val="26"/>
          <w:szCs w:val="26"/>
        </w:rPr>
        <w:t xml:space="preserve">specto a las </w:t>
      </w:r>
      <w:r w:rsidR="00004FC0" w:rsidRPr="00130F9A">
        <w:rPr>
          <w:rFonts w:ascii="Arial" w:eastAsia="Calibri" w:hAnsi="Arial" w:cs="Arial"/>
          <w:color w:val="000000"/>
          <w:sz w:val="26"/>
          <w:szCs w:val="26"/>
        </w:rPr>
        <w:t>autoridades demandadas</w:t>
      </w:r>
      <w:r w:rsidR="00004FC0">
        <w:rPr>
          <w:rFonts w:ascii="Arial" w:eastAsia="Calibri" w:hAnsi="Arial" w:cs="Arial"/>
          <w:color w:val="000000"/>
          <w:sz w:val="26"/>
          <w:szCs w:val="26"/>
        </w:rPr>
        <w:t>,</w:t>
      </w:r>
      <w:r w:rsidR="00004FC0" w:rsidRPr="00130F9A">
        <w:rPr>
          <w:rFonts w:ascii="Arial" w:eastAsia="Calibri" w:hAnsi="Arial" w:cs="Arial"/>
          <w:color w:val="000000"/>
          <w:sz w:val="26"/>
          <w:szCs w:val="26"/>
        </w:rPr>
        <w:t xml:space="preserve"> acreditaron su personalidad en términos del numeral 220 párrafo segundo</w:t>
      </w:r>
      <w:r w:rsidR="00AC3F37">
        <w:rPr>
          <w:rFonts w:ascii="Arial" w:eastAsia="Calibri" w:hAnsi="Arial" w:cs="Arial"/>
          <w:color w:val="000000"/>
          <w:sz w:val="26"/>
          <w:szCs w:val="26"/>
        </w:rPr>
        <w:t xml:space="preserve"> y tercero</w:t>
      </w:r>
      <w:r w:rsidR="00004FC0" w:rsidRPr="00130F9A">
        <w:rPr>
          <w:rFonts w:ascii="Arial" w:eastAsia="Calibri" w:hAnsi="Arial" w:cs="Arial"/>
          <w:color w:val="000000"/>
          <w:sz w:val="26"/>
          <w:szCs w:val="26"/>
        </w:rPr>
        <w:t xml:space="preserve"> del Código Procesal Administrativo para el Estado de San Luis Potosí, </w:t>
      </w:r>
      <w:r w:rsidR="00004FC0">
        <w:rPr>
          <w:rFonts w:ascii="Arial" w:eastAsia="Calibri" w:hAnsi="Arial" w:cs="Arial"/>
          <w:color w:val="000000"/>
          <w:sz w:val="26"/>
          <w:szCs w:val="26"/>
        </w:rPr>
        <w:t xml:space="preserve">al exhibir </w:t>
      </w:r>
      <w:r w:rsidR="00AC3F37">
        <w:rPr>
          <w:rFonts w:ascii="Arial" w:eastAsia="Calibri" w:hAnsi="Arial" w:cs="Arial"/>
          <w:color w:val="000000"/>
          <w:sz w:val="26"/>
          <w:szCs w:val="26"/>
        </w:rPr>
        <w:t xml:space="preserve">la Representante Legal del H. Ayuntamiento de Soledad de Graciano Sánchez, S.L.P., la fecha de la publicación en el Periódico Oficial donde consta su nombramiento y respecto del Director </w:t>
      </w:r>
      <w:r w:rsidR="00575C9F">
        <w:rPr>
          <w:rFonts w:ascii="Arial" w:eastAsia="Calibri" w:hAnsi="Arial" w:cs="Arial"/>
          <w:color w:val="000000"/>
          <w:sz w:val="26"/>
          <w:szCs w:val="26"/>
        </w:rPr>
        <w:t xml:space="preserve">de Fuerzas Municipales de la Dirección General de Seguridad Pública </w:t>
      </w:r>
      <w:r w:rsidR="00575C9F">
        <w:rPr>
          <w:rFonts w:ascii="Arial" w:eastAsia="Calibri" w:hAnsi="Arial" w:cs="Arial"/>
          <w:color w:val="000000"/>
          <w:sz w:val="26"/>
          <w:szCs w:val="26"/>
        </w:rPr>
        <w:lastRenderedPageBreak/>
        <w:t>Municipal del citado Ayuntamiento, acreditó su personalidad con la copia certificada del nombramiento expedido a su favor, el cual obra a fojas 59 de autos.</w:t>
      </w:r>
    </w:p>
    <w:p w:rsidR="004D521E" w:rsidRDefault="004D521E" w:rsidP="00A00C47">
      <w:pPr>
        <w:autoSpaceDE w:val="0"/>
        <w:autoSpaceDN w:val="0"/>
        <w:adjustRightInd w:val="0"/>
        <w:spacing w:before="240" w:after="240" w:line="360" w:lineRule="auto"/>
        <w:ind w:firstLine="709"/>
        <w:jc w:val="both"/>
        <w:rPr>
          <w:rFonts w:ascii="Arial" w:eastAsia="Calibri" w:hAnsi="Arial" w:cs="Arial"/>
          <w:color w:val="000000"/>
          <w:sz w:val="26"/>
          <w:szCs w:val="26"/>
        </w:rPr>
      </w:pPr>
    </w:p>
    <w:p w:rsidR="00A00C47" w:rsidRPr="00130F9A" w:rsidRDefault="00A00C47" w:rsidP="00A00C47">
      <w:pPr>
        <w:autoSpaceDE w:val="0"/>
        <w:autoSpaceDN w:val="0"/>
        <w:adjustRightInd w:val="0"/>
        <w:spacing w:before="240" w:after="240" w:line="360" w:lineRule="auto"/>
        <w:ind w:firstLine="709"/>
        <w:jc w:val="both"/>
        <w:rPr>
          <w:rFonts w:ascii="Arial" w:eastAsia="Calibri" w:hAnsi="Arial" w:cs="Arial"/>
          <w:color w:val="000000"/>
          <w:sz w:val="26"/>
          <w:szCs w:val="26"/>
        </w:rPr>
      </w:pPr>
      <w:r w:rsidRPr="00130F9A">
        <w:rPr>
          <w:rFonts w:ascii="Arial" w:eastAsia="Calibri" w:hAnsi="Arial" w:cs="Arial"/>
          <w:color w:val="000000"/>
          <w:sz w:val="26"/>
          <w:szCs w:val="26"/>
        </w:rPr>
        <w:t>Documentales a la que se les otorga valor probatorio pleno, en términos de la fracción I del artículo 72</w:t>
      </w:r>
      <w:r>
        <w:rPr>
          <w:rFonts w:ascii="Arial" w:eastAsia="Calibri" w:hAnsi="Arial" w:cs="Arial"/>
          <w:color w:val="000000"/>
          <w:sz w:val="26"/>
          <w:szCs w:val="26"/>
        </w:rPr>
        <w:t>, 74 y 91</w:t>
      </w:r>
      <w:r w:rsidRPr="00130F9A">
        <w:rPr>
          <w:rFonts w:ascii="Arial" w:eastAsia="Calibri" w:hAnsi="Arial" w:cs="Arial"/>
          <w:color w:val="000000"/>
          <w:sz w:val="26"/>
          <w:szCs w:val="26"/>
        </w:rPr>
        <w:t xml:space="preserve"> del Código Procesal Administrativo para el Estado de San Luis Potosí.</w:t>
      </w:r>
    </w:p>
    <w:p w:rsidR="004D521E" w:rsidRDefault="004D521E" w:rsidP="00004FC0">
      <w:pPr>
        <w:autoSpaceDE w:val="0"/>
        <w:autoSpaceDN w:val="0"/>
        <w:adjustRightInd w:val="0"/>
        <w:spacing w:before="240" w:after="240" w:line="360" w:lineRule="auto"/>
        <w:ind w:firstLine="709"/>
        <w:jc w:val="both"/>
        <w:rPr>
          <w:rFonts w:ascii="Arial" w:eastAsia="Calibri" w:hAnsi="Arial" w:cs="Arial"/>
          <w:color w:val="000000"/>
          <w:sz w:val="26"/>
          <w:szCs w:val="26"/>
        </w:rPr>
      </w:pPr>
    </w:p>
    <w:p w:rsidR="00A00C47" w:rsidRDefault="00575C9F" w:rsidP="00004FC0">
      <w:pPr>
        <w:autoSpaceDE w:val="0"/>
        <w:autoSpaceDN w:val="0"/>
        <w:adjustRightInd w:val="0"/>
        <w:spacing w:before="240" w:after="240" w:line="360" w:lineRule="auto"/>
        <w:ind w:firstLine="709"/>
        <w:jc w:val="both"/>
        <w:rPr>
          <w:rFonts w:ascii="Arial" w:eastAsia="Calibri" w:hAnsi="Arial" w:cs="Arial"/>
          <w:color w:val="000000"/>
          <w:sz w:val="26"/>
          <w:szCs w:val="26"/>
        </w:rPr>
      </w:pPr>
      <w:r>
        <w:rPr>
          <w:rFonts w:ascii="Arial" w:eastAsia="Calibri" w:hAnsi="Arial" w:cs="Arial"/>
          <w:color w:val="000000"/>
          <w:sz w:val="26"/>
          <w:szCs w:val="26"/>
        </w:rPr>
        <w:t xml:space="preserve">En cuanto al Director General de Seguridad Pública Municipal de Soledad de Graciano Sánchez, S.L.P., por auto de treinta y uno de octubre de dos mil veintitrés, se le tuvo por no contestada la demanda, en </w:t>
      </w:r>
      <w:r w:rsidR="00A00C47">
        <w:rPr>
          <w:rFonts w:ascii="Arial" w:eastAsia="Calibri" w:hAnsi="Arial" w:cs="Arial"/>
          <w:color w:val="000000"/>
          <w:sz w:val="26"/>
          <w:szCs w:val="26"/>
        </w:rPr>
        <w:t>cumplimiento a la resolución interlocutoria  de ocho de septiembre de dos mil veintitrés.</w:t>
      </w:r>
    </w:p>
    <w:p w:rsidR="00004FC0" w:rsidRPr="00130F9A" w:rsidRDefault="00004FC0" w:rsidP="00004FC0">
      <w:pPr>
        <w:spacing w:line="360" w:lineRule="auto"/>
        <w:ind w:firstLine="709"/>
        <w:jc w:val="both"/>
        <w:rPr>
          <w:rFonts w:ascii="Arial" w:eastAsia="Calibri" w:hAnsi="Arial" w:cs="Arial"/>
          <w:b/>
          <w:sz w:val="26"/>
          <w:szCs w:val="26"/>
        </w:rPr>
      </w:pPr>
    </w:p>
    <w:p w:rsidR="00004FC0" w:rsidRDefault="00004FC0" w:rsidP="007D2B18">
      <w:pPr>
        <w:spacing w:line="360" w:lineRule="auto"/>
        <w:ind w:firstLine="709"/>
        <w:jc w:val="both"/>
        <w:rPr>
          <w:rFonts w:ascii="Arial" w:eastAsia="Calibri" w:hAnsi="Arial" w:cs="Arial"/>
          <w:sz w:val="26"/>
          <w:szCs w:val="26"/>
        </w:rPr>
      </w:pPr>
      <w:r w:rsidRPr="00130F9A">
        <w:rPr>
          <w:rFonts w:ascii="Arial" w:eastAsia="Calibri" w:hAnsi="Arial" w:cs="Arial"/>
          <w:b/>
          <w:sz w:val="26"/>
          <w:szCs w:val="26"/>
        </w:rPr>
        <w:t>TERCERO.-</w:t>
      </w:r>
      <w:r w:rsidRPr="00130F9A">
        <w:rPr>
          <w:rFonts w:ascii="Arial" w:eastAsia="Calibri" w:hAnsi="Arial" w:cs="Arial"/>
          <w:sz w:val="26"/>
          <w:szCs w:val="26"/>
        </w:rPr>
        <w:t xml:space="preserve"> El acto impugnado, lo constituye la ilegal baja o cese, de que fue objeto </w:t>
      </w:r>
      <w:r w:rsidR="00484AD1">
        <w:rPr>
          <w:rFonts w:ascii="Arial" w:eastAsia="Calibri" w:hAnsi="Arial" w:cs="Arial"/>
          <w:color w:val="FF0000"/>
          <w:sz w:val="26"/>
          <w:szCs w:val="26"/>
        </w:rPr>
        <w:t>**********</w:t>
      </w:r>
      <w:r w:rsidRPr="00130F9A">
        <w:rPr>
          <w:rFonts w:ascii="Arial" w:eastAsia="Calibri" w:hAnsi="Arial" w:cs="Arial"/>
          <w:sz w:val="26"/>
          <w:szCs w:val="26"/>
        </w:rPr>
        <w:t xml:space="preserve">, </w:t>
      </w:r>
      <w:r>
        <w:rPr>
          <w:rFonts w:ascii="Arial" w:eastAsia="Calibri" w:hAnsi="Arial" w:cs="Arial"/>
          <w:sz w:val="26"/>
          <w:szCs w:val="26"/>
        </w:rPr>
        <w:t xml:space="preserve">con fecha </w:t>
      </w:r>
      <w:r w:rsidR="0096047B">
        <w:rPr>
          <w:rFonts w:ascii="Arial" w:eastAsia="Calibri" w:hAnsi="Arial" w:cs="Arial"/>
          <w:sz w:val="26"/>
          <w:szCs w:val="26"/>
        </w:rPr>
        <w:t>catorce</w:t>
      </w:r>
      <w:r>
        <w:rPr>
          <w:rFonts w:ascii="Arial" w:eastAsia="Calibri" w:hAnsi="Arial" w:cs="Arial"/>
          <w:sz w:val="26"/>
          <w:szCs w:val="26"/>
        </w:rPr>
        <w:t xml:space="preserve"> de septiembre de dos mil veintidós, </w:t>
      </w:r>
      <w:r w:rsidR="007D2B18">
        <w:rPr>
          <w:rFonts w:ascii="Arial" w:eastAsia="Calibri" w:hAnsi="Arial" w:cs="Arial"/>
          <w:sz w:val="26"/>
          <w:szCs w:val="26"/>
        </w:rPr>
        <w:t>en el cargo que venía desempeñando como Policía en la Dirección General de Seguridad Pública del Municipio de Soledad de Graciano Sánchez, S.L.P.</w:t>
      </w:r>
      <w:r w:rsidR="007A46E3">
        <w:rPr>
          <w:rFonts w:ascii="Arial" w:eastAsia="Calibri" w:hAnsi="Arial" w:cs="Arial"/>
          <w:sz w:val="26"/>
          <w:szCs w:val="26"/>
        </w:rPr>
        <w:t>,</w:t>
      </w:r>
      <w:r w:rsidRPr="00130F9A">
        <w:rPr>
          <w:rFonts w:ascii="Arial" w:eastAsia="Calibri" w:hAnsi="Arial" w:cs="Arial"/>
          <w:sz w:val="26"/>
          <w:szCs w:val="26"/>
        </w:rPr>
        <w:t xml:space="preserve"> lo que determina la litis en la presente controversia</w:t>
      </w:r>
      <w:r>
        <w:rPr>
          <w:rFonts w:ascii="Arial" w:eastAsia="Calibri" w:hAnsi="Arial" w:cs="Arial"/>
          <w:sz w:val="26"/>
          <w:szCs w:val="26"/>
        </w:rPr>
        <w:t>.</w:t>
      </w:r>
    </w:p>
    <w:p w:rsidR="00004FC0" w:rsidRPr="00130F9A" w:rsidRDefault="00004FC0" w:rsidP="00004FC0">
      <w:pPr>
        <w:spacing w:line="360" w:lineRule="auto"/>
        <w:ind w:firstLine="709"/>
        <w:jc w:val="both"/>
        <w:rPr>
          <w:rFonts w:ascii="Arial" w:eastAsia="Calibri" w:hAnsi="Arial" w:cs="Arial"/>
          <w:sz w:val="26"/>
          <w:szCs w:val="26"/>
        </w:rPr>
      </w:pPr>
    </w:p>
    <w:p w:rsidR="00004FC0" w:rsidRPr="00130F9A" w:rsidRDefault="00004FC0" w:rsidP="00004FC0">
      <w:pPr>
        <w:spacing w:after="0" w:line="360" w:lineRule="auto"/>
        <w:ind w:firstLine="708"/>
        <w:jc w:val="both"/>
        <w:rPr>
          <w:rFonts w:ascii="Arial" w:eastAsia="Calibri" w:hAnsi="Arial" w:cs="Arial"/>
          <w:sz w:val="26"/>
          <w:szCs w:val="26"/>
        </w:rPr>
      </w:pPr>
      <w:r w:rsidRPr="00130F9A">
        <w:rPr>
          <w:rFonts w:ascii="Arial" w:eastAsia="Calibri" w:hAnsi="Arial" w:cs="Arial"/>
          <w:b/>
          <w:sz w:val="26"/>
          <w:szCs w:val="26"/>
        </w:rPr>
        <w:t xml:space="preserve">CUARTO.- </w:t>
      </w:r>
      <w:r w:rsidRPr="00130F9A">
        <w:rPr>
          <w:rFonts w:ascii="Arial" w:eastAsia="Calibri" w:hAnsi="Arial" w:cs="Arial"/>
          <w:sz w:val="26"/>
          <w:szCs w:val="26"/>
        </w:rPr>
        <w:t xml:space="preserve">La parte actora hizo valer los conceptos de impugnación que obran en fojas </w:t>
      </w:r>
      <w:r w:rsidR="00A85BAB">
        <w:rPr>
          <w:rFonts w:ascii="Arial" w:eastAsia="Calibri" w:hAnsi="Arial" w:cs="Arial"/>
          <w:sz w:val="26"/>
          <w:szCs w:val="26"/>
        </w:rPr>
        <w:t>3</w:t>
      </w:r>
      <w:r w:rsidRPr="00130F9A">
        <w:rPr>
          <w:rFonts w:ascii="Arial" w:eastAsia="Calibri" w:hAnsi="Arial" w:cs="Arial"/>
          <w:sz w:val="26"/>
          <w:szCs w:val="26"/>
        </w:rPr>
        <w:t xml:space="preserve"> a </w:t>
      </w:r>
      <w:r>
        <w:rPr>
          <w:rFonts w:ascii="Arial" w:eastAsia="Calibri" w:hAnsi="Arial" w:cs="Arial"/>
          <w:sz w:val="26"/>
          <w:szCs w:val="26"/>
        </w:rPr>
        <w:t>4</w:t>
      </w:r>
      <w:r w:rsidR="00A85BAB">
        <w:rPr>
          <w:rFonts w:ascii="Arial" w:eastAsia="Calibri" w:hAnsi="Arial" w:cs="Arial"/>
          <w:sz w:val="26"/>
          <w:szCs w:val="26"/>
        </w:rPr>
        <w:t xml:space="preserve"> vuelta</w:t>
      </w:r>
      <w:r w:rsidRPr="00130F9A">
        <w:rPr>
          <w:rFonts w:ascii="Arial" w:eastAsia="Calibri" w:hAnsi="Arial" w:cs="Arial"/>
          <w:sz w:val="26"/>
          <w:szCs w:val="26"/>
        </w:rPr>
        <w:t xml:space="preserve"> de autos; argumentos que no se trascriben y se tienen por reproducidos como si se insertaren a la letra, para que surtan los efectos legales que correspondan. </w:t>
      </w:r>
    </w:p>
    <w:p w:rsidR="00004FC0" w:rsidRPr="00130F9A" w:rsidRDefault="00004FC0" w:rsidP="00004FC0">
      <w:pPr>
        <w:spacing w:after="0" w:line="360" w:lineRule="auto"/>
        <w:ind w:firstLine="708"/>
        <w:jc w:val="both"/>
        <w:rPr>
          <w:rFonts w:ascii="Arial" w:eastAsia="Calibri" w:hAnsi="Arial" w:cs="Arial"/>
          <w:sz w:val="26"/>
          <w:szCs w:val="26"/>
        </w:rPr>
      </w:pPr>
    </w:p>
    <w:p w:rsidR="00004FC0" w:rsidRDefault="00004FC0" w:rsidP="00004FC0">
      <w:pPr>
        <w:spacing w:after="0" w:line="360" w:lineRule="auto"/>
        <w:ind w:firstLine="708"/>
        <w:jc w:val="both"/>
        <w:rPr>
          <w:rFonts w:ascii="Arial" w:eastAsia="Calibri" w:hAnsi="Arial" w:cs="Arial"/>
          <w:sz w:val="26"/>
          <w:szCs w:val="26"/>
        </w:rPr>
      </w:pPr>
      <w:r w:rsidRPr="00130F9A">
        <w:rPr>
          <w:rFonts w:ascii="Arial" w:eastAsia="Calibri" w:hAnsi="Arial" w:cs="Arial"/>
          <w:sz w:val="26"/>
          <w:szCs w:val="26"/>
        </w:rPr>
        <w:t>Resulta aplicable por analogía la Tesis de Jurisprudencia emitida por el Segundo Tribunal Colegiado del Sexto Circuito, publicada  en la página 414, Tomo VI, Común, Jurisprudencia  TCC, del Apéndice 2000, Novena Época, que a la letra dice lo siguiente:</w:t>
      </w:r>
    </w:p>
    <w:p w:rsidR="00004FC0" w:rsidRPr="00130F9A" w:rsidRDefault="00004FC0" w:rsidP="00004FC0">
      <w:pPr>
        <w:spacing w:after="0" w:line="360" w:lineRule="auto"/>
        <w:ind w:firstLine="708"/>
        <w:jc w:val="both"/>
        <w:rPr>
          <w:rFonts w:ascii="Arial" w:eastAsia="Calibri" w:hAnsi="Arial" w:cs="Arial"/>
          <w:sz w:val="26"/>
          <w:szCs w:val="26"/>
        </w:rPr>
      </w:pPr>
    </w:p>
    <w:p w:rsidR="00004FC0" w:rsidRPr="00085E24" w:rsidRDefault="00004FC0" w:rsidP="00004FC0">
      <w:pPr>
        <w:spacing w:after="0"/>
        <w:ind w:firstLine="709"/>
        <w:jc w:val="both"/>
        <w:rPr>
          <w:rFonts w:ascii="Arial" w:eastAsia="Calibri" w:hAnsi="Arial" w:cs="Arial"/>
          <w:i/>
          <w:sz w:val="23"/>
          <w:szCs w:val="23"/>
        </w:rPr>
      </w:pPr>
      <w:r w:rsidRPr="00085E24">
        <w:rPr>
          <w:rFonts w:ascii="Arial" w:eastAsia="Calibri" w:hAnsi="Arial" w:cs="Arial"/>
          <w:b/>
          <w:i/>
          <w:sz w:val="23"/>
          <w:szCs w:val="23"/>
        </w:rPr>
        <w:lastRenderedPageBreak/>
        <w:t>“CONCEPTOS DE VIOLACIÓN. EL JUEZ NO ESTÁ OBLIGADO A TRANSCRIBIRLOS.-</w:t>
      </w:r>
      <w:r w:rsidRPr="00085E24">
        <w:rPr>
          <w:rFonts w:ascii="Arial" w:eastAsia="Calibri" w:hAnsi="Arial" w:cs="Arial"/>
          <w:i/>
          <w:sz w:val="23"/>
          <w:szCs w:val="23"/>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04FC0" w:rsidRPr="00E463F7" w:rsidRDefault="00004FC0" w:rsidP="00004FC0">
      <w:pPr>
        <w:spacing w:after="0" w:line="360" w:lineRule="auto"/>
        <w:ind w:firstLine="708"/>
        <w:jc w:val="both"/>
        <w:rPr>
          <w:rFonts w:ascii="Arial" w:eastAsia="Calibri" w:hAnsi="Arial" w:cs="Arial"/>
        </w:rPr>
      </w:pPr>
    </w:p>
    <w:p w:rsidR="00004FC0" w:rsidRDefault="00004FC0" w:rsidP="00004FC0">
      <w:pPr>
        <w:spacing w:after="0" w:line="360" w:lineRule="auto"/>
        <w:ind w:firstLine="708"/>
        <w:jc w:val="both"/>
        <w:rPr>
          <w:rFonts w:ascii="Arial" w:eastAsia="Calibri" w:hAnsi="Arial" w:cs="Arial"/>
          <w:sz w:val="26"/>
          <w:szCs w:val="26"/>
        </w:rPr>
      </w:pPr>
      <w:r w:rsidRPr="00130F9A">
        <w:rPr>
          <w:rFonts w:ascii="Arial" w:eastAsia="Calibri" w:hAnsi="Arial" w:cs="Arial"/>
          <w:b/>
          <w:sz w:val="26"/>
          <w:szCs w:val="26"/>
        </w:rPr>
        <w:t>QUINTO.-</w:t>
      </w:r>
      <w:r w:rsidRPr="00130F9A">
        <w:rPr>
          <w:rFonts w:ascii="Arial" w:eastAsia="Calibri" w:hAnsi="Arial" w:cs="Arial"/>
          <w:sz w:val="26"/>
          <w:szCs w:val="26"/>
        </w:rPr>
        <w:t xml:space="preserve"> Previo al examen de los conceptos de impugnación que hace valer la actora, es deber de esta Sala Unitaria, analizar las causales de Improcedencia, sea que las partes lo aleguen o no,</w:t>
      </w:r>
      <w:r w:rsidRPr="00130F9A">
        <w:rPr>
          <w:rFonts w:ascii="Arial" w:eastAsia="Calibri" w:hAnsi="Arial" w:cs="Arial"/>
          <w:color w:val="000000"/>
          <w:sz w:val="26"/>
          <w:szCs w:val="26"/>
        </w:rPr>
        <w:t xml:space="preserve"> en razón de que el estudio de las mismas es de orden público y preferente a las cuestiones de fondo de la contienda planteada, </w:t>
      </w:r>
      <w:r w:rsidRPr="00130F9A">
        <w:rPr>
          <w:rFonts w:ascii="Arial" w:eastAsia="Calibri" w:hAnsi="Arial" w:cs="Arial"/>
          <w:sz w:val="26"/>
          <w:szCs w:val="26"/>
        </w:rPr>
        <w:t xml:space="preserve">conforme a lo previsto en el último párrafo del artículo 228 del Código Procesal Administrativo para el Estado de San Luis Potosí; habida cuenta que, </w:t>
      </w:r>
      <w:r w:rsidRPr="00130F9A">
        <w:rPr>
          <w:rFonts w:ascii="Arial" w:eastAsia="Calibri" w:hAnsi="Arial" w:cs="Arial"/>
          <w:bCs/>
          <w:iCs/>
          <w:sz w:val="26"/>
          <w:szCs w:val="26"/>
        </w:rPr>
        <w:t xml:space="preserve">la improcedencia de la acción se traduce en la imposibilidad jurídica de que el órgano jurisdiccional estudie y decida dicha cuestión, absteniéndose obligatoriamente a resolver sobre el fondo de la controversia. </w:t>
      </w:r>
      <w:r w:rsidRPr="00130F9A">
        <w:rPr>
          <w:rFonts w:ascii="Arial" w:eastAsia="Calibri" w:hAnsi="Arial" w:cs="Arial"/>
          <w:sz w:val="26"/>
          <w:szCs w:val="26"/>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004FC0" w:rsidRPr="00130F9A" w:rsidRDefault="00004FC0" w:rsidP="00004FC0">
      <w:pPr>
        <w:spacing w:after="0" w:line="360" w:lineRule="auto"/>
        <w:ind w:firstLine="708"/>
        <w:jc w:val="both"/>
        <w:rPr>
          <w:rFonts w:ascii="Arial" w:eastAsia="Calibri" w:hAnsi="Arial" w:cs="Arial"/>
          <w:sz w:val="26"/>
          <w:szCs w:val="26"/>
        </w:rPr>
      </w:pPr>
    </w:p>
    <w:p w:rsidR="00004FC0" w:rsidRPr="00085E24" w:rsidRDefault="00004FC0" w:rsidP="00004FC0">
      <w:pPr>
        <w:spacing w:after="0"/>
        <w:ind w:firstLine="709"/>
        <w:jc w:val="both"/>
        <w:rPr>
          <w:rFonts w:ascii="Arial" w:eastAsia="Calibri" w:hAnsi="Arial" w:cs="Arial"/>
          <w:bCs/>
          <w:i/>
          <w:iCs/>
          <w:sz w:val="23"/>
          <w:szCs w:val="23"/>
        </w:rPr>
      </w:pPr>
      <w:r w:rsidRPr="00085E24">
        <w:rPr>
          <w:rFonts w:ascii="Arial" w:eastAsia="Calibri" w:hAnsi="Arial" w:cs="Arial"/>
          <w:b/>
          <w:bCs/>
          <w:i/>
          <w:sz w:val="23"/>
          <w:szCs w:val="23"/>
        </w:rPr>
        <w:t>“CONTENCIOSO ADMINISTRATIVO, IMPROCEDENCIA DEL JUICIO, ANTE EL TRIBUNAL FISCAL. CONCEPTO JURIDICO.</w:t>
      </w:r>
      <w:r w:rsidRPr="00085E24">
        <w:rPr>
          <w:rFonts w:ascii="Arial" w:eastAsia="Calibri" w:hAnsi="Arial" w:cs="Arial"/>
          <w:i/>
          <w:sz w:val="23"/>
          <w:szCs w:val="23"/>
        </w:rPr>
        <w:t xml:space="preserve"> Las causas de improcedencia que determina la ley de la materia, ven o se refieren a la procedencia del juicio mismo, esto es, los motivos de improcedencia son en cuanto a que </w:t>
      </w:r>
      <w:r w:rsidRPr="00085E24">
        <w:rPr>
          <w:rFonts w:ascii="Arial" w:eastAsia="Calibri" w:hAnsi="Arial" w:cs="Arial"/>
          <w:bCs/>
          <w:i/>
          <w:iCs/>
          <w:sz w:val="23"/>
          <w:szCs w:val="23"/>
        </w:rPr>
        <w:t>la acción en sí misma considerada no procede por las causas específicas consignadas en la ley;</w:t>
      </w:r>
      <w:r w:rsidRPr="00085E24">
        <w:rPr>
          <w:rFonts w:ascii="Arial" w:eastAsia="Calibri" w:hAnsi="Arial" w:cs="Arial"/>
          <w:i/>
          <w:sz w:val="23"/>
          <w:szCs w:val="23"/>
        </w:rPr>
        <w:t xml:space="preserve"> es verdad que las causas de improcedencia dan lugar al </w:t>
      </w:r>
      <w:r w:rsidRPr="00085E24">
        <w:rPr>
          <w:rFonts w:ascii="Arial" w:eastAsia="Calibri" w:hAnsi="Arial" w:cs="Arial"/>
          <w:bCs/>
          <w:i/>
          <w:iCs/>
          <w:sz w:val="23"/>
          <w:szCs w:val="23"/>
        </w:rPr>
        <w:t>sobreseimiento,</w:t>
      </w:r>
      <w:r w:rsidRPr="00085E24">
        <w:rPr>
          <w:rFonts w:ascii="Arial" w:eastAsia="Calibri" w:hAnsi="Arial" w:cs="Arial"/>
          <w:i/>
          <w:sz w:val="23"/>
          <w:szCs w:val="23"/>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085E24">
        <w:rPr>
          <w:rFonts w:ascii="Arial" w:eastAsia="Calibri" w:hAnsi="Arial" w:cs="Arial"/>
          <w:bCs/>
          <w:i/>
          <w:iCs/>
          <w:sz w:val="23"/>
          <w:szCs w:val="23"/>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085E24">
        <w:rPr>
          <w:rFonts w:ascii="Arial" w:eastAsia="Calibri" w:hAnsi="Arial" w:cs="Arial"/>
          <w:bCs/>
          <w:i/>
          <w:sz w:val="23"/>
          <w:szCs w:val="23"/>
        </w:rPr>
        <w:t xml:space="preserve"> y principalmente </w:t>
      </w:r>
      <w:r w:rsidRPr="00085E24">
        <w:rPr>
          <w:rFonts w:ascii="Arial" w:eastAsia="Calibri" w:hAnsi="Arial" w:cs="Arial"/>
          <w:bCs/>
          <w:i/>
          <w:iCs/>
          <w:sz w:val="23"/>
          <w:szCs w:val="23"/>
        </w:rPr>
        <w:t>por existir un impedimento</w:t>
      </w:r>
      <w:r w:rsidRPr="00085E24">
        <w:rPr>
          <w:rFonts w:ascii="Arial" w:eastAsia="Calibri" w:hAnsi="Arial" w:cs="Arial"/>
          <w:i/>
          <w:sz w:val="23"/>
          <w:szCs w:val="23"/>
        </w:rPr>
        <w:t xml:space="preserve"> para que el órgano jurisdiccional competente analice y resuelva sobre la cuestión debatida. </w:t>
      </w:r>
      <w:r w:rsidRPr="00085E24">
        <w:rPr>
          <w:rFonts w:ascii="Arial" w:eastAsia="Calibri" w:hAnsi="Arial" w:cs="Arial"/>
          <w:bCs/>
          <w:i/>
          <w:iCs/>
          <w:sz w:val="23"/>
          <w:szCs w:val="23"/>
        </w:rPr>
        <w:t xml:space="preserve">En resumen, la improcedencia de la acción se </w:t>
      </w:r>
      <w:r w:rsidRPr="00085E24">
        <w:rPr>
          <w:rFonts w:ascii="Arial" w:eastAsia="Calibri" w:hAnsi="Arial" w:cs="Arial"/>
          <w:bCs/>
          <w:i/>
          <w:iCs/>
          <w:sz w:val="23"/>
          <w:szCs w:val="23"/>
        </w:rPr>
        <w:lastRenderedPageBreak/>
        <w:t>traduce en la imposibilidad jurídica de que el órgano jurisdiccional estudie y decida dicha cuestión, absteniéndose obligatoriamente a resolver sobre el fondo de la controversia.”</w:t>
      </w:r>
    </w:p>
    <w:p w:rsidR="00004FC0" w:rsidRPr="00E463F7" w:rsidRDefault="00004FC0" w:rsidP="00004FC0">
      <w:pPr>
        <w:spacing w:after="0" w:line="360" w:lineRule="auto"/>
        <w:ind w:firstLine="708"/>
        <w:jc w:val="both"/>
        <w:rPr>
          <w:rFonts w:ascii="Arial" w:hAnsi="Arial" w:cs="Arial"/>
          <w:sz w:val="26"/>
          <w:szCs w:val="26"/>
        </w:rPr>
      </w:pPr>
    </w:p>
    <w:p w:rsidR="00DC0CA4" w:rsidRDefault="00004FC0" w:rsidP="00DC0CA4">
      <w:pPr>
        <w:spacing w:after="0" w:line="360" w:lineRule="auto"/>
        <w:ind w:firstLine="709"/>
        <w:jc w:val="both"/>
        <w:rPr>
          <w:rFonts w:ascii="Arial" w:eastAsia="Times New Roman" w:hAnsi="Arial" w:cs="Arial"/>
          <w:sz w:val="26"/>
          <w:szCs w:val="26"/>
          <w:lang w:val="es-ES" w:eastAsia="es-ES"/>
        </w:rPr>
      </w:pPr>
      <w:r w:rsidRPr="00F75003">
        <w:rPr>
          <w:rFonts w:ascii="Arial" w:eastAsia="Times New Roman" w:hAnsi="Arial" w:cs="Arial"/>
          <w:sz w:val="26"/>
          <w:szCs w:val="26"/>
          <w:lang w:val="es-ES" w:eastAsia="es-ES"/>
        </w:rPr>
        <w:t xml:space="preserve">En ese tenor, se advierte que las autoridades demandadas, al producir su respectiva contestación </w:t>
      </w:r>
      <w:r w:rsidRPr="009B036B">
        <w:rPr>
          <w:rFonts w:ascii="Arial" w:eastAsia="Times New Roman" w:hAnsi="Arial" w:cs="Arial"/>
          <w:sz w:val="26"/>
          <w:szCs w:val="26"/>
          <w:lang w:val="es-ES" w:eastAsia="es-ES"/>
        </w:rPr>
        <w:t>opusieron la</w:t>
      </w:r>
      <w:r w:rsidR="00C63AEA">
        <w:rPr>
          <w:rFonts w:ascii="Arial" w:eastAsia="Times New Roman" w:hAnsi="Arial" w:cs="Arial"/>
          <w:sz w:val="26"/>
          <w:szCs w:val="26"/>
          <w:lang w:val="es-ES" w:eastAsia="es-ES"/>
        </w:rPr>
        <w:t>s</w:t>
      </w:r>
      <w:r w:rsidRPr="009B036B">
        <w:rPr>
          <w:rFonts w:ascii="Arial" w:eastAsia="Times New Roman" w:hAnsi="Arial" w:cs="Arial"/>
          <w:sz w:val="26"/>
          <w:szCs w:val="26"/>
          <w:lang w:val="es-ES" w:eastAsia="es-ES"/>
        </w:rPr>
        <w:t xml:space="preserve"> excepci</w:t>
      </w:r>
      <w:r w:rsidR="00C63AEA">
        <w:rPr>
          <w:rFonts w:ascii="Arial" w:eastAsia="Times New Roman" w:hAnsi="Arial" w:cs="Arial"/>
          <w:sz w:val="26"/>
          <w:szCs w:val="26"/>
          <w:lang w:val="es-ES" w:eastAsia="es-ES"/>
        </w:rPr>
        <w:t>ones</w:t>
      </w:r>
      <w:r w:rsidRPr="009B036B">
        <w:rPr>
          <w:rFonts w:ascii="Arial" w:eastAsia="Times New Roman" w:hAnsi="Arial" w:cs="Arial"/>
          <w:sz w:val="26"/>
          <w:szCs w:val="26"/>
          <w:lang w:val="es-ES" w:eastAsia="es-ES"/>
        </w:rPr>
        <w:t xml:space="preserve"> de sine actione agis, </w:t>
      </w:r>
      <w:r w:rsidR="00C63AEA">
        <w:rPr>
          <w:rFonts w:ascii="Arial" w:eastAsia="Times New Roman" w:hAnsi="Arial" w:cs="Arial"/>
          <w:sz w:val="26"/>
          <w:szCs w:val="26"/>
          <w:lang w:val="es-ES" w:eastAsia="es-ES"/>
        </w:rPr>
        <w:t>falta de acción y derecho, excepciones innominadas, engaño y falsedad</w:t>
      </w:r>
      <w:r w:rsidR="00DC0CA4">
        <w:rPr>
          <w:rFonts w:ascii="Arial" w:eastAsia="Times New Roman" w:hAnsi="Arial" w:cs="Arial"/>
          <w:sz w:val="26"/>
          <w:szCs w:val="26"/>
          <w:lang w:val="es-ES" w:eastAsia="es-ES"/>
        </w:rPr>
        <w:t xml:space="preserve">, así como la excepción de prescripción, </w:t>
      </w:r>
      <w:r w:rsidRPr="009B036B">
        <w:rPr>
          <w:rFonts w:ascii="Arial" w:eastAsia="Times New Roman" w:hAnsi="Arial" w:cs="Arial"/>
          <w:sz w:val="26"/>
          <w:szCs w:val="26"/>
          <w:lang w:val="es-ES" w:eastAsia="es-ES"/>
        </w:rPr>
        <w:t>los cuales basan en que no existen los actos que reclama el demandante, ni fueron emitidos por dichas autoridades</w:t>
      </w:r>
      <w:r w:rsidR="00DC0CA4">
        <w:rPr>
          <w:rFonts w:ascii="Arial" w:eastAsia="Times New Roman" w:hAnsi="Arial" w:cs="Arial"/>
          <w:sz w:val="26"/>
          <w:szCs w:val="26"/>
          <w:lang w:val="es-ES" w:eastAsia="es-ES"/>
        </w:rPr>
        <w:t>, y que respecto a la suspensión de pago de salarios</w:t>
      </w:r>
      <w:r w:rsidR="009C5E6B">
        <w:rPr>
          <w:rFonts w:ascii="Arial" w:eastAsia="Times New Roman" w:hAnsi="Arial" w:cs="Arial"/>
          <w:sz w:val="26"/>
          <w:szCs w:val="26"/>
          <w:lang w:val="es-ES" w:eastAsia="es-ES"/>
        </w:rPr>
        <w:t>,</w:t>
      </w:r>
      <w:r w:rsidR="00DC0CA4">
        <w:rPr>
          <w:rFonts w:ascii="Arial" w:eastAsia="Times New Roman" w:hAnsi="Arial" w:cs="Arial"/>
          <w:sz w:val="26"/>
          <w:szCs w:val="26"/>
          <w:lang w:val="es-ES" w:eastAsia="es-ES"/>
        </w:rPr>
        <w:t xml:space="preserve"> efectuada al aquí actor ocurrió desde el pasado 5 de septiembre de 2021, sin que se hubiera desempeñado en favor de dich</w:t>
      </w:r>
      <w:r w:rsidR="009C5E6B">
        <w:rPr>
          <w:rFonts w:ascii="Arial" w:eastAsia="Times New Roman" w:hAnsi="Arial" w:cs="Arial"/>
          <w:sz w:val="26"/>
          <w:szCs w:val="26"/>
          <w:lang w:val="es-ES" w:eastAsia="es-ES"/>
        </w:rPr>
        <w:t>a autoridad con fecha posterior, por lo tanto resulta falso que a la fecha en que tuvo conocimiento del acto combatido, hubiera sido el 14de septiembre de 2022 ya que la suspensión de actividades y salarios en su favor, se efectuó desde el 5 de septiembre de 2021.</w:t>
      </w:r>
    </w:p>
    <w:p w:rsidR="00DC0CA4" w:rsidRDefault="00DC0CA4" w:rsidP="00DC0CA4">
      <w:pPr>
        <w:spacing w:after="0" w:line="360" w:lineRule="auto"/>
        <w:ind w:firstLine="709"/>
        <w:jc w:val="both"/>
        <w:rPr>
          <w:rFonts w:ascii="Arial" w:eastAsia="Times New Roman" w:hAnsi="Arial" w:cs="Arial"/>
          <w:sz w:val="26"/>
          <w:szCs w:val="26"/>
          <w:lang w:val="es-ES" w:eastAsia="es-ES"/>
        </w:rPr>
      </w:pPr>
    </w:p>
    <w:p w:rsidR="00004FC0" w:rsidRPr="00F75003" w:rsidRDefault="00004FC0" w:rsidP="00DC0CA4">
      <w:pPr>
        <w:spacing w:after="0" w:line="360" w:lineRule="auto"/>
        <w:ind w:firstLine="709"/>
        <w:jc w:val="both"/>
        <w:rPr>
          <w:rFonts w:ascii="Arial" w:eastAsia="Times New Roman" w:hAnsi="Arial" w:cs="Arial"/>
          <w:sz w:val="26"/>
          <w:szCs w:val="26"/>
          <w:lang w:val="es-ES" w:eastAsia="es-ES"/>
        </w:rPr>
      </w:pPr>
      <w:r w:rsidRPr="00F75003">
        <w:rPr>
          <w:rFonts w:ascii="Arial" w:eastAsia="Times New Roman" w:hAnsi="Arial" w:cs="Arial"/>
          <w:sz w:val="26"/>
          <w:szCs w:val="26"/>
          <w:lang w:val="es-ES" w:eastAsia="es-ES"/>
        </w:rPr>
        <w:t>A ese respecto, cabe señalar que dicho argumento es un razonamiento que involucra cuestiones que son materia de análisis del fondo del juicio, estrechamente vinculadas con el análisis de la ilegalid</w:t>
      </w:r>
      <w:r w:rsidR="009C5E6B">
        <w:rPr>
          <w:rFonts w:ascii="Arial" w:eastAsia="Times New Roman" w:hAnsi="Arial" w:cs="Arial"/>
          <w:sz w:val="26"/>
          <w:szCs w:val="26"/>
          <w:lang w:val="es-ES" w:eastAsia="es-ES"/>
        </w:rPr>
        <w:t>ad que reclama la parte actora y por tanto se desestiman.</w:t>
      </w:r>
    </w:p>
    <w:p w:rsidR="00004FC0" w:rsidRPr="00F75003" w:rsidRDefault="00004FC0" w:rsidP="00004FC0">
      <w:pPr>
        <w:spacing w:after="0" w:line="360" w:lineRule="auto"/>
        <w:ind w:firstLine="709"/>
        <w:jc w:val="both"/>
        <w:rPr>
          <w:rFonts w:ascii="Arial" w:eastAsia="Times New Roman" w:hAnsi="Arial" w:cs="Arial"/>
          <w:sz w:val="26"/>
          <w:szCs w:val="26"/>
          <w:lang w:val="es-ES" w:eastAsia="es-ES"/>
        </w:rPr>
      </w:pPr>
    </w:p>
    <w:p w:rsidR="00004FC0" w:rsidRPr="00F75003" w:rsidRDefault="00004FC0" w:rsidP="00004FC0">
      <w:pPr>
        <w:spacing w:after="0" w:line="360" w:lineRule="auto"/>
        <w:ind w:firstLine="708"/>
        <w:jc w:val="both"/>
        <w:rPr>
          <w:rFonts w:ascii="Arial" w:eastAsia="Times New Roman" w:hAnsi="Arial" w:cs="Arial"/>
          <w:sz w:val="26"/>
          <w:szCs w:val="26"/>
          <w:lang w:val="es-ES" w:eastAsia="es-ES"/>
        </w:rPr>
      </w:pPr>
      <w:r w:rsidRPr="00F75003">
        <w:rPr>
          <w:rFonts w:ascii="Arial" w:eastAsia="Times New Roman" w:hAnsi="Arial" w:cs="Arial"/>
          <w:sz w:val="26"/>
          <w:szCs w:val="26"/>
          <w:lang w:val="es-ES" w:eastAsia="es-ES"/>
        </w:rPr>
        <w:t xml:space="preserve">Sirve de apoyo el criterio contenido en la tesis de Jurisprudencia que aunque se refiere al juicio de amparo, es aplicable al caso por analogía, visible en </w:t>
      </w:r>
      <w:smartTag w:uri="urn:schemas-microsoft-com:office:smarttags" w:element="PersonName">
        <w:smartTagPr>
          <w:attr w:name="ProductID" w:val="la Tesis"/>
        </w:smartTagPr>
        <w:r w:rsidRPr="00F75003">
          <w:rPr>
            <w:rFonts w:ascii="Arial" w:eastAsia="Times New Roman" w:hAnsi="Arial" w:cs="Arial"/>
            <w:sz w:val="26"/>
            <w:szCs w:val="26"/>
            <w:lang w:val="es-ES" w:eastAsia="es-ES"/>
          </w:rPr>
          <w:t>la Tesis</w:t>
        </w:r>
      </w:smartTag>
      <w:r w:rsidRPr="00F75003">
        <w:rPr>
          <w:rFonts w:ascii="Arial" w:eastAsia="Times New Roman" w:hAnsi="Arial" w:cs="Arial"/>
          <w:sz w:val="26"/>
          <w:szCs w:val="26"/>
          <w:lang w:val="es-ES" w:eastAsia="es-ES"/>
        </w:rPr>
        <w:t xml:space="preserve"> con No. Registro: 187,973, Jurisprudencia Materia(s): Común, Novena Época, Instancia: Pleno, Fuente: Semanario Judicial de </w:t>
      </w:r>
      <w:smartTag w:uri="urn:schemas-microsoft-com:office:smarttags" w:element="PersonName">
        <w:smartTagPr>
          <w:attr w:name="ProductID" w:val="la Federaci￳n"/>
        </w:smartTagPr>
        <w:r w:rsidRPr="00F75003">
          <w:rPr>
            <w:rFonts w:ascii="Arial" w:eastAsia="Times New Roman" w:hAnsi="Arial" w:cs="Arial"/>
            <w:sz w:val="26"/>
            <w:szCs w:val="26"/>
            <w:lang w:val="es-ES" w:eastAsia="es-ES"/>
          </w:rPr>
          <w:t>la Federación</w:t>
        </w:r>
      </w:smartTag>
      <w:r w:rsidRPr="00F75003">
        <w:rPr>
          <w:rFonts w:ascii="Arial" w:eastAsia="Times New Roman" w:hAnsi="Arial" w:cs="Arial"/>
          <w:sz w:val="26"/>
          <w:szCs w:val="26"/>
          <w:lang w:val="es-ES" w:eastAsia="es-ES"/>
        </w:rPr>
        <w:t xml:space="preserve"> y su Gaceta, XV, Enero de 2002, Tesis: P</w:t>
      </w:r>
      <w:proofErr w:type="gramStart"/>
      <w:r w:rsidRPr="00F75003">
        <w:rPr>
          <w:rFonts w:ascii="Arial" w:eastAsia="Times New Roman" w:hAnsi="Arial" w:cs="Arial"/>
          <w:sz w:val="26"/>
          <w:szCs w:val="26"/>
          <w:lang w:val="es-ES" w:eastAsia="es-ES"/>
        </w:rPr>
        <w:t>./</w:t>
      </w:r>
      <w:proofErr w:type="gramEnd"/>
      <w:r w:rsidRPr="00F75003">
        <w:rPr>
          <w:rFonts w:ascii="Arial" w:eastAsia="Times New Roman" w:hAnsi="Arial" w:cs="Arial"/>
          <w:sz w:val="26"/>
          <w:szCs w:val="26"/>
          <w:lang w:val="es-ES" w:eastAsia="es-ES"/>
        </w:rPr>
        <w:t xml:space="preserve">J. 135/2001, Página: 5; que a la letra dice: </w:t>
      </w:r>
    </w:p>
    <w:p w:rsidR="00004FC0" w:rsidRPr="00F75003" w:rsidRDefault="00004FC0" w:rsidP="00004FC0">
      <w:pPr>
        <w:spacing w:after="0" w:line="240" w:lineRule="auto"/>
        <w:rPr>
          <w:rFonts w:ascii="Arial" w:eastAsia="Times New Roman" w:hAnsi="Arial" w:cs="Arial"/>
          <w:sz w:val="26"/>
          <w:szCs w:val="26"/>
          <w:lang w:val="es-ES" w:eastAsia="es-ES"/>
        </w:rPr>
      </w:pPr>
    </w:p>
    <w:p w:rsidR="00004FC0" w:rsidRPr="00F75003" w:rsidRDefault="00004FC0" w:rsidP="00004FC0">
      <w:pPr>
        <w:spacing w:after="0" w:line="240" w:lineRule="auto"/>
        <w:ind w:firstLine="708"/>
        <w:jc w:val="both"/>
        <w:rPr>
          <w:rFonts w:ascii="Arial" w:eastAsia="Times New Roman" w:hAnsi="Arial" w:cs="Arial"/>
          <w:i/>
          <w:lang w:val="es-ES" w:eastAsia="es-ES"/>
        </w:rPr>
      </w:pPr>
      <w:r w:rsidRPr="00F75003">
        <w:rPr>
          <w:rFonts w:ascii="Arial" w:eastAsia="Times New Roman" w:hAnsi="Arial" w:cs="Arial"/>
          <w:b/>
          <w:i/>
          <w:lang w:val="es-ES" w:eastAsia="es-ES"/>
        </w:rPr>
        <w:t>“IMPROCEDENCIA DEL JUICIO DE AMPARO. SI SE HACE VALER UNA CAUSAL QUE INVOLUCRA EL ESTUDIO DE FONDO DEL ASUNTO, DEBERÁ DESESTIMARSE.</w:t>
      </w:r>
      <w:r w:rsidRPr="00F75003">
        <w:rPr>
          <w:rFonts w:ascii="Arial" w:eastAsia="Times New Roman" w:hAnsi="Arial" w:cs="Arial"/>
          <w:i/>
          <w:lang w:val="es-ES" w:eastAsia="es-ES"/>
        </w:rPr>
        <w:t xml:space="preserve"> Las causales de improcedencia del juicio de garantías deben ser claras e inobjetables, de lo que se desprende que si se hace valer una en la que se involucre una argumentación íntimamente relacionada con el fondo del negocio, debe desestimarse.”.- </w:t>
      </w:r>
    </w:p>
    <w:p w:rsidR="00004FC0" w:rsidRPr="00F75003" w:rsidRDefault="00004FC0" w:rsidP="00004FC0">
      <w:pPr>
        <w:spacing w:after="0" w:line="360" w:lineRule="auto"/>
        <w:ind w:firstLine="708"/>
        <w:jc w:val="both"/>
        <w:rPr>
          <w:rFonts w:ascii="Arial" w:eastAsia="Times New Roman" w:hAnsi="Arial" w:cs="Arial"/>
          <w:sz w:val="26"/>
          <w:szCs w:val="26"/>
          <w:lang w:val="es-ES" w:eastAsia="es-ES"/>
        </w:rPr>
      </w:pPr>
    </w:p>
    <w:p w:rsidR="00004FC0" w:rsidRPr="00F75003" w:rsidRDefault="00004FC0" w:rsidP="00004FC0">
      <w:pPr>
        <w:spacing w:after="0" w:line="360" w:lineRule="auto"/>
        <w:ind w:firstLine="709"/>
        <w:jc w:val="both"/>
        <w:rPr>
          <w:rFonts w:ascii="Arial" w:eastAsia="Calibri" w:hAnsi="Arial" w:cs="Arial"/>
          <w:sz w:val="26"/>
          <w:szCs w:val="26"/>
        </w:rPr>
      </w:pPr>
      <w:r w:rsidRPr="00F75003">
        <w:rPr>
          <w:rFonts w:ascii="Arial" w:eastAsia="Calibri" w:hAnsi="Arial" w:cs="Arial"/>
          <w:sz w:val="26"/>
          <w:szCs w:val="26"/>
        </w:rPr>
        <w:t xml:space="preserve">De igual manera, previamente se deben examinar los </w:t>
      </w:r>
      <w:r w:rsidRPr="00F75003">
        <w:rPr>
          <w:rFonts w:ascii="Arial" w:eastAsia="Calibri" w:hAnsi="Arial" w:cs="Arial"/>
          <w:b/>
          <w:sz w:val="26"/>
          <w:szCs w:val="26"/>
        </w:rPr>
        <w:t>incidentes planteados</w:t>
      </w:r>
      <w:r w:rsidRPr="00F75003">
        <w:rPr>
          <w:rFonts w:ascii="Arial" w:eastAsia="Calibri" w:hAnsi="Arial" w:cs="Arial"/>
          <w:sz w:val="26"/>
          <w:szCs w:val="26"/>
        </w:rPr>
        <w:t xml:space="preserve">, que no sean de previo y especial pronunciamiento, para ser resueltos en la propia sentencia definitiva, de acuerdo a lo </w:t>
      </w:r>
      <w:r w:rsidRPr="00F75003">
        <w:rPr>
          <w:rFonts w:ascii="Arial" w:eastAsia="Calibri" w:hAnsi="Arial" w:cs="Arial"/>
          <w:sz w:val="26"/>
          <w:szCs w:val="26"/>
        </w:rPr>
        <w:lastRenderedPageBreak/>
        <w:t>ordenado por el artículo 116 segundo párrafo del Código Procesal Administrativo en consulta.</w:t>
      </w:r>
    </w:p>
    <w:p w:rsidR="00004FC0" w:rsidRPr="00F75003" w:rsidRDefault="00004FC0" w:rsidP="00004FC0">
      <w:pPr>
        <w:spacing w:after="0" w:line="360" w:lineRule="auto"/>
        <w:ind w:firstLine="709"/>
        <w:jc w:val="both"/>
        <w:rPr>
          <w:rFonts w:ascii="Arial" w:eastAsia="Calibri" w:hAnsi="Arial" w:cs="Arial"/>
          <w:sz w:val="26"/>
          <w:szCs w:val="26"/>
        </w:rPr>
      </w:pPr>
    </w:p>
    <w:p w:rsidR="00004FC0" w:rsidRDefault="00004FC0" w:rsidP="00004FC0">
      <w:pPr>
        <w:spacing w:after="0" w:line="360" w:lineRule="auto"/>
        <w:ind w:firstLine="709"/>
        <w:jc w:val="both"/>
        <w:rPr>
          <w:rFonts w:ascii="Arial" w:eastAsia="Calibri" w:hAnsi="Arial" w:cs="Arial"/>
          <w:sz w:val="26"/>
          <w:szCs w:val="26"/>
        </w:rPr>
      </w:pPr>
      <w:r w:rsidRPr="00F75003">
        <w:rPr>
          <w:rFonts w:ascii="Arial" w:eastAsia="Calibri" w:hAnsi="Arial" w:cs="Arial"/>
          <w:sz w:val="26"/>
          <w:szCs w:val="26"/>
        </w:rPr>
        <w:t xml:space="preserve">Advirtiéndose por esta Sala Unitaria, que no existen </w:t>
      </w:r>
      <w:r w:rsidRPr="00F75003">
        <w:rPr>
          <w:rFonts w:ascii="Arial" w:eastAsia="Calibri" w:hAnsi="Arial" w:cs="Arial"/>
          <w:b/>
          <w:sz w:val="26"/>
          <w:szCs w:val="26"/>
        </w:rPr>
        <w:t>causales de improcedencia o sobreseimiento que deba estudiar de oficio, ni incidentes planteados;</w:t>
      </w:r>
      <w:r w:rsidRPr="00F75003">
        <w:rPr>
          <w:rFonts w:ascii="Arial" w:eastAsia="Calibri" w:hAnsi="Arial" w:cs="Arial"/>
          <w:sz w:val="26"/>
          <w:szCs w:val="26"/>
        </w:rPr>
        <w:t xml:space="preserve"> por tanto, se procede al estudio de los argumentos de nulidad de la parte actora.</w:t>
      </w:r>
    </w:p>
    <w:p w:rsidR="00004FC0" w:rsidRPr="00F75003" w:rsidRDefault="00004FC0" w:rsidP="00004FC0">
      <w:pPr>
        <w:spacing w:after="0" w:line="360" w:lineRule="auto"/>
        <w:ind w:firstLine="709"/>
        <w:jc w:val="both"/>
        <w:rPr>
          <w:rFonts w:ascii="Arial" w:eastAsia="Calibri" w:hAnsi="Arial" w:cs="Arial"/>
          <w:sz w:val="26"/>
          <w:szCs w:val="26"/>
        </w:rPr>
      </w:pPr>
    </w:p>
    <w:p w:rsidR="00004FC0" w:rsidRPr="009B036B" w:rsidRDefault="00004FC0" w:rsidP="00004FC0">
      <w:pPr>
        <w:spacing w:after="0" w:line="360" w:lineRule="auto"/>
        <w:ind w:firstLine="708"/>
        <w:jc w:val="both"/>
        <w:rPr>
          <w:rFonts w:ascii="Arial" w:hAnsi="Arial" w:cs="Arial"/>
          <w:sz w:val="26"/>
          <w:szCs w:val="26"/>
        </w:rPr>
      </w:pPr>
      <w:r w:rsidRPr="009B036B">
        <w:rPr>
          <w:rFonts w:ascii="Arial" w:hAnsi="Arial" w:cs="Arial"/>
          <w:sz w:val="26"/>
          <w:szCs w:val="26"/>
        </w:rPr>
        <w:t>En tal virtud, se procede al estudio de los conceptos de impugnación vertidos por la parte actora.</w:t>
      </w:r>
    </w:p>
    <w:p w:rsidR="00004FC0" w:rsidRPr="009B036B" w:rsidRDefault="00004FC0" w:rsidP="00004FC0">
      <w:pPr>
        <w:spacing w:line="360" w:lineRule="auto"/>
        <w:ind w:firstLine="708"/>
        <w:contextualSpacing/>
        <w:jc w:val="both"/>
        <w:rPr>
          <w:rFonts w:ascii="Arial" w:eastAsia="Calibri" w:hAnsi="Arial" w:cs="Arial"/>
          <w:b/>
          <w:sz w:val="26"/>
          <w:szCs w:val="26"/>
        </w:rPr>
      </w:pPr>
    </w:p>
    <w:p w:rsidR="00004FC0" w:rsidRPr="00130F9A" w:rsidRDefault="00004FC0" w:rsidP="00004FC0">
      <w:pPr>
        <w:spacing w:line="360" w:lineRule="auto"/>
        <w:ind w:firstLine="708"/>
        <w:contextualSpacing/>
        <w:jc w:val="both"/>
        <w:rPr>
          <w:rFonts w:ascii="Arial" w:eastAsia="Calibri" w:hAnsi="Arial" w:cs="Arial"/>
          <w:sz w:val="26"/>
          <w:szCs w:val="26"/>
        </w:rPr>
      </w:pPr>
      <w:r w:rsidRPr="00130F9A">
        <w:rPr>
          <w:rFonts w:ascii="Arial" w:eastAsia="Calibri" w:hAnsi="Arial" w:cs="Arial"/>
          <w:b/>
          <w:sz w:val="26"/>
          <w:szCs w:val="26"/>
        </w:rPr>
        <w:t>SEXTO.-</w:t>
      </w:r>
      <w:r w:rsidRPr="00130F9A">
        <w:rPr>
          <w:rFonts w:ascii="Arial" w:eastAsia="Calibri" w:hAnsi="Arial" w:cs="Arial"/>
          <w:sz w:val="26"/>
          <w:szCs w:val="26"/>
        </w:rPr>
        <w:t xml:space="preserve"> A juicio de esta Tercera Sala Unitaria, le asiste la razón al</w:t>
      </w:r>
      <w:r>
        <w:rPr>
          <w:rFonts w:ascii="Arial" w:eastAsia="Calibri" w:hAnsi="Arial" w:cs="Arial"/>
          <w:sz w:val="26"/>
          <w:szCs w:val="26"/>
        </w:rPr>
        <w:t xml:space="preserve"> actor </w:t>
      </w:r>
      <w:r w:rsidR="00484AD1">
        <w:rPr>
          <w:rFonts w:ascii="Arial" w:eastAsia="Calibri" w:hAnsi="Arial" w:cs="Arial"/>
          <w:b/>
          <w:color w:val="FF0000"/>
          <w:sz w:val="26"/>
          <w:szCs w:val="26"/>
        </w:rPr>
        <w:t>**********</w:t>
      </w:r>
      <w:r>
        <w:rPr>
          <w:rFonts w:ascii="Arial" w:eastAsia="Calibri" w:hAnsi="Arial" w:cs="Arial"/>
          <w:sz w:val="26"/>
          <w:szCs w:val="26"/>
        </w:rPr>
        <w:t>, al señalar en su primer concepto de impugnación que</w:t>
      </w:r>
      <w:r w:rsidR="006070E5">
        <w:rPr>
          <w:rFonts w:ascii="Arial" w:eastAsia="Calibri" w:hAnsi="Arial" w:cs="Arial"/>
          <w:sz w:val="26"/>
          <w:szCs w:val="26"/>
        </w:rPr>
        <w:t xml:space="preserve"> el emisor de la orden restrictiva, no contaba con las facultades jurídicas para poder notificar verbalmente la separación del actor</w:t>
      </w:r>
      <w:r>
        <w:rPr>
          <w:rFonts w:ascii="Arial" w:eastAsia="Calibri" w:hAnsi="Arial" w:cs="Arial"/>
          <w:sz w:val="26"/>
          <w:szCs w:val="26"/>
        </w:rPr>
        <w:t>.</w:t>
      </w:r>
    </w:p>
    <w:p w:rsidR="00004FC0" w:rsidRPr="00130F9A" w:rsidRDefault="00004FC0" w:rsidP="00004FC0">
      <w:pPr>
        <w:spacing w:line="360" w:lineRule="auto"/>
        <w:ind w:firstLine="708"/>
        <w:contextualSpacing/>
        <w:jc w:val="both"/>
        <w:rPr>
          <w:rFonts w:ascii="Arial" w:eastAsia="Calibri" w:hAnsi="Arial" w:cs="Arial"/>
          <w:sz w:val="26"/>
          <w:szCs w:val="26"/>
        </w:rPr>
      </w:pPr>
    </w:p>
    <w:p w:rsidR="00DE2BC5" w:rsidRDefault="00004FC0" w:rsidP="00004FC0">
      <w:pPr>
        <w:spacing w:line="360" w:lineRule="auto"/>
        <w:ind w:firstLine="708"/>
        <w:contextualSpacing/>
        <w:jc w:val="both"/>
        <w:rPr>
          <w:rFonts w:ascii="Arial" w:eastAsia="Calibri" w:hAnsi="Arial" w:cs="Arial"/>
          <w:sz w:val="26"/>
          <w:szCs w:val="26"/>
        </w:rPr>
      </w:pPr>
      <w:r w:rsidRPr="00130F9A">
        <w:rPr>
          <w:rFonts w:ascii="Arial" w:eastAsia="Calibri" w:hAnsi="Arial" w:cs="Arial"/>
          <w:sz w:val="26"/>
          <w:szCs w:val="26"/>
        </w:rPr>
        <w:t xml:space="preserve">De acuerdo a lo anterior, se advierte que </w:t>
      </w:r>
      <w:r>
        <w:rPr>
          <w:rFonts w:ascii="Arial" w:eastAsia="Calibri" w:hAnsi="Arial" w:cs="Arial"/>
          <w:sz w:val="26"/>
          <w:szCs w:val="26"/>
        </w:rPr>
        <w:t xml:space="preserve">el demandante manifiesta en su escrito de demanda, en el capítulo de hechos, punto </w:t>
      </w:r>
      <w:r w:rsidR="00DE2BC5">
        <w:rPr>
          <w:rFonts w:ascii="Arial" w:eastAsia="Calibri" w:hAnsi="Arial" w:cs="Arial"/>
          <w:sz w:val="26"/>
          <w:szCs w:val="26"/>
        </w:rPr>
        <w:t>2</w:t>
      </w:r>
      <w:r>
        <w:rPr>
          <w:rFonts w:ascii="Arial" w:eastAsia="Calibri" w:hAnsi="Arial" w:cs="Arial"/>
          <w:sz w:val="26"/>
          <w:szCs w:val="26"/>
        </w:rPr>
        <w:t xml:space="preserve"> (f.</w:t>
      </w:r>
      <w:r w:rsidR="00DE2BC5">
        <w:rPr>
          <w:rFonts w:ascii="Arial" w:eastAsia="Calibri" w:hAnsi="Arial" w:cs="Arial"/>
          <w:sz w:val="26"/>
          <w:szCs w:val="26"/>
        </w:rPr>
        <w:t xml:space="preserve"> 2 vuelta</w:t>
      </w:r>
      <w:r>
        <w:rPr>
          <w:rFonts w:ascii="Arial" w:eastAsia="Calibri" w:hAnsi="Arial" w:cs="Arial"/>
          <w:sz w:val="26"/>
          <w:szCs w:val="26"/>
        </w:rPr>
        <w:t xml:space="preserve">), que el pasado </w:t>
      </w:r>
      <w:r w:rsidR="00DE2BC5">
        <w:rPr>
          <w:rFonts w:ascii="Arial" w:eastAsia="Calibri" w:hAnsi="Arial" w:cs="Arial"/>
          <w:sz w:val="26"/>
          <w:szCs w:val="26"/>
        </w:rPr>
        <w:t>catorce de septiembre de dos mil veintidós, a las 9:15 horas, encontrándose en funciones operativas en caseta de acceso de la corporación a la que pertenece, recibió la indicación de parte del Director de Fuerzas Municipales de la corporación, que debía dejar su cargo como policía, ya que por determinación del Director General señalado como responsable se había determinado su baja por haber incumplido con los requisitos de permanencia, por lo que le conminó a retirarse del área donde prestaba sus servicios.</w:t>
      </w:r>
    </w:p>
    <w:p w:rsidR="00004FC0" w:rsidRDefault="00004FC0" w:rsidP="00004FC0">
      <w:pPr>
        <w:spacing w:line="360" w:lineRule="auto"/>
        <w:ind w:firstLine="708"/>
        <w:contextualSpacing/>
        <w:jc w:val="both"/>
        <w:rPr>
          <w:rFonts w:ascii="Arial" w:eastAsia="Calibri" w:hAnsi="Arial" w:cs="Arial"/>
          <w:sz w:val="28"/>
          <w:szCs w:val="28"/>
        </w:rPr>
      </w:pPr>
    </w:p>
    <w:p w:rsidR="00A27D5F" w:rsidRDefault="00004FC0" w:rsidP="00004FC0">
      <w:pPr>
        <w:spacing w:after="120" w:line="360" w:lineRule="auto"/>
        <w:ind w:firstLine="708"/>
        <w:jc w:val="both"/>
        <w:rPr>
          <w:rFonts w:ascii="Arial" w:eastAsia="Calibri" w:hAnsi="Arial" w:cs="Arial"/>
          <w:sz w:val="26"/>
          <w:szCs w:val="26"/>
        </w:rPr>
      </w:pPr>
      <w:r w:rsidRPr="00130F9A">
        <w:rPr>
          <w:rFonts w:ascii="Arial" w:eastAsia="Calibri" w:hAnsi="Arial" w:cs="Arial"/>
          <w:sz w:val="26"/>
          <w:szCs w:val="26"/>
        </w:rPr>
        <w:t>En cuanto a las autoridades demandadas</w:t>
      </w:r>
      <w:r w:rsidR="00A27D5F">
        <w:rPr>
          <w:rFonts w:ascii="Arial" w:eastAsia="Calibri" w:hAnsi="Arial" w:cs="Arial"/>
          <w:sz w:val="26"/>
          <w:szCs w:val="26"/>
        </w:rPr>
        <w:t xml:space="preserve"> Representante Legal del H. Ayuntamiento de Soledad de Graciano Sánchez, S.L.P. y Director de Fuerzas Municipales de dicho Ayuntamiento</w:t>
      </w:r>
      <w:r w:rsidRPr="00130F9A">
        <w:rPr>
          <w:rFonts w:ascii="Arial" w:eastAsia="Calibri" w:hAnsi="Arial" w:cs="Arial"/>
          <w:sz w:val="26"/>
          <w:szCs w:val="26"/>
        </w:rPr>
        <w:t xml:space="preserve">; al producir su contestación de demanda, </w:t>
      </w:r>
      <w:r w:rsidR="00A27D5F">
        <w:rPr>
          <w:rFonts w:ascii="Arial" w:eastAsia="Calibri" w:hAnsi="Arial" w:cs="Arial"/>
          <w:sz w:val="26"/>
          <w:szCs w:val="26"/>
        </w:rPr>
        <w:t xml:space="preserve">señalaron que la baja o cese efectuado en contra de </w:t>
      </w:r>
      <w:r w:rsidR="00484AD1">
        <w:rPr>
          <w:rFonts w:ascii="Arial" w:eastAsia="Calibri" w:hAnsi="Arial" w:cs="Arial"/>
          <w:color w:val="FF0000"/>
          <w:sz w:val="26"/>
          <w:szCs w:val="26"/>
        </w:rPr>
        <w:t>**********</w:t>
      </w:r>
      <w:r w:rsidR="00A27D5F">
        <w:rPr>
          <w:rFonts w:ascii="Arial" w:eastAsia="Calibri" w:hAnsi="Arial" w:cs="Arial"/>
          <w:sz w:val="26"/>
          <w:szCs w:val="26"/>
        </w:rPr>
        <w:t xml:space="preserve">, ocurrió desde el 5 de septiembre de 2021, sin que se hubiera desempeñado en favor de estas autoridades, con fecha posterior a tal data, por lo que es falso que se le adeuden en su favor los salarios que menciona ni ningún otro ya que la relación administrativa que unía al H. Ayuntamiento de Soledad de Graciano </w:t>
      </w:r>
      <w:r w:rsidR="00A27D5F">
        <w:rPr>
          <w:rFonts w:ascii="Arial" w:eastAsia="Calibri" w:hAnsi="Arial" w:cs="Arial"/>
          <w:sz w:val="26"/>
          <w:szCs w:val="26"/>
        </w:rPr>
        <w:lastRenderedPageBreak/>
        <w:t>Sánchez, S.L.P. y el aquí actor, feneció desde el pasado 5 de septiembre de 2021, por lo que señala resulta falso que la fecha en que tuvo conocimiento del acto combatido, haya sido el 14 de septiembre de 2022, ya que la suspensión de actividades y salarios en su favor se efectuó desde el 5 de septiembre de 2021.</w:t>
      </w:r>
    </w:p>
    <w:p w:rsidR="00A27D5F" w:rsidRDefault="00A27D5F" w:rsidP="00004FC0">
      <w:pPr>
        <w:spacing w:after="120" w:line="360" w:lineRule="auto"/>
        <w:ind w:firstLine="708"/>
        <w:jc w:val="both"/>
        <w:rPr>
          <w:rFonts w:ascii="Arial" w:eastAsia="Calibri" w:hAnsi="Arial" w:cs="Arial"/>
          <w:sz w:val="26"/>
          <w:szCs w:val="26"/>
        </w:rPr>
      </w:pPr>
    </w:p>
    <w:p w:rsidR="00A27D5F" w:rsidRDefault="00A27D5F" w:rsidP="00004FC0">
      <w:pPr>
        <w:spacing w:after="120" w:line="360" w:lineRule="auto"/>
        <w:ind w:firstLine="708"/>
        <w:jc w:val="both"/>
        <w:rPr>
          <w:rFonts w:ascii="Arial" w:eastAsia="Calibri" w:hAnsi="Arial" w:cs="Arial"/>
          <w:sz w:val="26"/>
          <w:szCs w:val="26"/>
        </w:rPr>
      </w:pPr>
      <w:r>
        <w:rPr>
          <w:rFonts w:ascii="Arial" w:eastAsia="Calibri" w:hAnsi="Arial" w:cs="Arial"/>
          <w:sz w:val="26"/>
          <w:szCs w:val="26"/>
        </w:rPr>
        <w:t xml:space="preserve">En cuanto al Director General de Seguridad Pública Municipal del H. Ayuntamiento de Soledad de Graciano Sánchez, S.L.P., mediante proveído </w:t>
      </w:r>
      <w:r w:rsidR="007B5C75">
        <w:rPr>
          <w:rFonts w:ascii="Arial" w:eastAsia="Calibri" w:hAnsi="Arial" w:cs="Arial"/>
          <w:sz w:val="26"/>
          <w:szCs w:val="26"/>
        </w:rPr>
        <w:t xml:space="preserve">de treinta y uno de octubre de dos mil veintitrés, en cumplimiento a la interlocutoria de fecha ocho de septiembre de dos mil veintitrés, se le tuvo por no contestada la demanda, en virtud de que no acreditó con la copia certificada de su nombramiento, la personalidad con que compareció a juicio, por lo que se le hizo efectivo el apercibimiento decretado por auto de fecha siete de diciembre de dos mil </w:t>
      </w:r>
      <w:r w:rsidR="00F52A89">
        <w:rPr>
          <w:rFonts w:ascii="Arial" w:eastAsia="Calibri" w:hAnsi="Arial" w:cs="Arial"/>
          <w:sz w:val="26"/>
          <w:szCs w:val="26"/>
        </w:rPr>
        <w:t>veintidós y en consecuencia se le tuvo por contestando en sentido afirmativo, salvo prueba en contrario y por precluído su derecho a ofrecer pruebas.</w:t>
      </w:r>
    </w:p>
    <w:p w:rsidR="00A27D5F" w:rsidRDefault="00A27D5F" w:rsidP="00004FC0">
      <w:pPr>
        <w:spacing w:after="120" w:line="360" w:lineRule="auto"/>
        <w:ind w:firstLine="708"/>
        <w:jc w:val="both"/>
        <w:rPr>
          <w:rFonts w:ascii="Arial" w:eastAsia="Calibri" w:hAnsi="Arial" w:cs="Arial"/>
          <w:sz w:val="26"/>
          <w:szCs w:val="26"/>
        </w:rPr>
      </w:pPr>
    </w:p>
    <w:p w:rsidR="00004FC0" w:rsidRPr="00563DFB" w:rsidRDefault="00004FC0" w:rsidP="00004FC0">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t>Ahora bien, en relación a lo anterior, es necesario precisar la carga probatoria en el presente asunto, la cual en el caso concreto les corresponde a las autoridades demandadas, en virtud de que el actor de este juicio, les atribuyó la baja de que fue objeto y no obstante que estas, aún y cuando niegan este hecho, no se refieren a todos los hechos relacionados con sus pretensiones, por lo que en los omitidos opera la presunción legal de ser ciertos, salvo prueba en contrario, conforme al segundo párrafo del numeral 241 del Código Procesal Administrativo para el Estado de San Luis Potosí. Consecuentemente, en atención a dicho precepto legal y al diverso 274 fracción I del Código de Procedimientos Civiles del Estado, de aplicación supletoria a la ley de la materia, por lo que corresponde a las demandadas, la carga de probar que el actor dejó de prestar sus servicios por una causa no imputable a ellas sino, en todo caso, a él.</w:t>
      </w:r>
    </w:p>
    <w:p w:rsidR="00004FC0" w:rsidRPr="00563DFB" w:rsidRDefault="00004FC0" w:rsidP="00004FC0">
      <w:pPr>
        <w:spacing w:line="360" w:lineRule="auto"/>
        <w:ind w:firstLine="709"/>
        <w:jc w:val="both"/>
        <w:rPr>
          <w:rFonts w:ascii="Arial" w:eastAsia="Calibri" w:hAnsi="Arial" w:cs="Arial"/>
          <w:sz w:val="26"/>
          <w:szCs w:val="26"/>
        </w:rPr>
      </w:pPr>
    </w:p>
    <w:p w:rsidR="00004FC0" w:rsidRPr="00563DFB" w:rsidRDefault="00004FC0" w:rsidP="00004FC0">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lastRenderedPageBreak/>
        <w:t>Lo anterior es así, toda vez que si la negativa del acto no es simple sino calificada porque importa una afirmación, como en el caso concreto, luego entonces quien la produce sí se encuentra en la necesidad de justificarla. La regla en cuestión se encuentra prevista por el artículo 274 fracción I del Código de Procedimientos Civiles del Estado, de aplicación supletoria al</w:t>
      </w:r>
      <w:r w:rsidR="005E4CAD">
        <w:rPr>
          <w:rFonts w:ascii="Arial" w:eastAsia="Calibri" w:hAnsi="Arial" w:cs="Arial"/>
          <w:sz w:val="26"/>
          <w:szCs w:val="26"/>
        </w:rPr>
        <w:t xml:space="preserve"> Código Procesal Administrativo para el Estado de San Luis Potosí</w:t>
      </w:r>
      <w:r w:rsidRPr="00563DFB">
        <w:rPr>
          <w:rFonts w:ascii="Arial" w:eastAsia="Calibri" w:hAnsi="Arial" w:cs="Arial"/>
          <w:sz w:val="26"/>
          <w:szCs w:val="26"/>
        </w:rPr>
        <w:t xml:space="preserve">, al disponer que el que niega sólo </w:t>
      </w:r>
      <w:r w:rsidR="005E4CAD">
        <w:rPr>
          <w:rFonts w:ascii="Arial" w:eastAsia="Calibri" w:hAnsi="Arial" w:cs="Arial"/>
          <w:sz w:val="26"/>
          <w:szCs w:val="26"/>
        </w:rPr>
        <w:t>e</w:t>
      </w:r>
      <w:r w:rsidRPr="00563DFB">
        <w:rPr>
          <w:rFonts w:ascii="Arial" w:eastAsia="Calibri" w:hAnsi="Arial" w:cs="Arial"/>
          <w:sz w:val="26"/>
          <w:szCs w:val="26"/>
        </w:rPr>
        <w:t>stá obligado a probar, entre otras hipótesis, cuando la negación envuelva la afirmación expresa de un hecho. En tal virtud, si el acto por su naturaleza es negativo y aquella a quien se atribuye lo niega, no corresponde a su contraparte demostrar la existencia de ese acto debido a que, ciertamente, no se encuentra en la posibilidad de probar la omisión o la abstención de su contraria sino que, como la negativa expresada por ésta encierra la afirmación de que no incurrió en ellas, debe acreditarlo, por lo que ante la negativa del acto, es a la autoridad demandada, a quien corresponde acreditar que no incurrió en esa ilegalidad, motivo por el cual no es suficiente su afirmación en el sentido de que no dio de baja al aquí demandante, si no demuestra las causas por las cuales ya no les presta sus servicios.</w:t>
      </w:r>
    </w:p>
    <w:p w:rsidR="00004FC0" w:rsidRPr="00563DFB" w:rsidRDefault="00004FC0" w:rsidP="00004FC0">
      <w:pPr>
        <w:spacing w:line="360" w:lineRule="auto"/>
        <w:ind w:firstLine="709"/>
        <w:jc w:val="both"/>
        <w:rPr>
          <w:rFonts w:ascii="Arial" w:eastAsia="Calibri" w:hAnsi="Arial" w:cs="Arial"/>
          <w:sz w:val="26"/>
          <w:szCs w:val="26"/>
        </w:rPr>
      </w:pPr>
    </w:p>
    <w:p w:rsidR="00004FC0" w:rsidRPr="005501AE" w:rsidRDefault="00004FC0" w:rsidP="00004FC0">
      <w:pPr>
        <w:spacing w:line="360" w:lineRule="auto"/>
        <w:ind w:firstLine="709"/>
        <w:jc w:val="both"/>
        <w:rPr>
          <w:rFonts w:ascii="Arial" w:eastAsia="Calibri" w:hAnsi="Arial" w:cs="Arial"/>
          <w:sz w:val="24"/>
          <w:szCs w:val="24"/>
        </w:rPr>
      </w:pPr>
      <w:r w:rsidRPr="005501AE">
        <w:rPr>
          <w:rFonts w:ascii="Arial" w:eastAsia="Calibri" w:hAnsi="Arial" w:cs="Arial"/>
          <w:sz w:val="24"/>
          <w:szCs w:val="24"/>
        </w:rPr>
        <w:t xml:space="preserve">Sirve de apoyo a lo anterior, </w:t>
      </w:r>
      <w:r>
        <w:rPr>
          <w:rFonts w:ascii="Arial" w:eastAsia="Calibri" w:hAnsi="Arial" w:cs="Arial"/>
          <w:sz w:val="24"/>
          <w:szCs w:val="24"/>
        </w:rPr>
        <w:t xml:space="preserve">la </w:t>
      </w:r>
      <w:r w:rsidRPr="005501AE">
        <w:rPr>
          <w:rFonts w:ascii="Arial" w:eastAsia="Calibri" w:hAnsi="Arial" w:cs="Arial"/>
          <w:sz w:val="24"/>
          <w:szCs w:val="24"/>
        </w:rPr>
        <w:t>jurisprudencia localizable en el Semanario Judicial de la Federación Tomo V, Segunda Parte-2, Enero-Junio de 1990, emitida por los Tribunales Colegiados de Circuito, Tesis: 1.3º.A. J/21, Página 660, en materia administrativa que a la letra dice:</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w:t>
      </w:r>
      <w:r w:rsidRPr="005501AE">
        <w:rPr>
          <w:rFonts w:ascii="Arial" w:eastAsia="Calibri" w:hAnsi="Arial" w:cs="Arial"/>
          <w:b/>
          <w:i/>
        </w:rPr>
        <w:t>ACTOS RECLAMADOS. ACTO NEGATIVO Y NEGATIVA DEL ACTO. SON DOS COSAS DISTINTAS. CARGA DE LA PRUEBA.-</w:t>
      </w:r>
      <w:r w:rsidRPr="005501AE">
        <w:rPr>
          <w:rFonts w:ascii="Arial" w:eastAsia="Calibri" w:hAnsi="Arial" w:cs="Arial"/>
          <w:i/>
        </w:rPr>
        <w:t xml:space="preserve"> Todo acto, por definición, supone la existencia de una conducta ya sea activa o pasiva. Dentro de la clasificación de los actos reclamados se distinguen entre los positivos y los negativos, considerando a los primeros como los que implican un hacer y a los segundos como los que reflejan una omisión o abstención. Así, para diferenciarlos se atiende a su naturaleza y a los efectos que producen respecto de la realidad. Por otra parte, la esencia del acto negativo versa, exclusivamente, sobre su característica que denota la omisión o la abstención de aquella a quien se atribuye. La negativa del acto, por lo contrario, no atiende a la naturaleza de aquél sino que propiamente constituye sólo una expresión sobre su existencia. En ello radica precisamente la diferencia entre un acto negativo y la negativa del acto. Como no se trata de conceptos iguales, la carga de la prueba en uno y otro supuesto se distribuye en forma desigual. La negativa simple del acto libera a quien la </w:t>
      </w:r>
      <w:proofErr w:type="spellStart"/>
      <w:r w:rsidRPr="005501AE">
        <w:rPr>
          <w:rFonts w:ascii="Arial" w:eastAsia="Calibri" w:hAnsi="Arial" w:cs="Arial"/>
          <w:i/>
        </w:rPr>
        <w:t>formula</w:t>
      </w:r>
      <w:proofErr w:type="spellEnd"/>
      <w:r w:rsidRPr="005501AE">
        <w:rPr>
          <w:rFonts w:ascii="Arial" w:eastAsia="Calibri" w:hAnsi="Arial" w:cs="Arial"/>
          <w:i/>
        </w:rPr>
        <w:t xml:space="preserve"> de </w:t>
      </w:r>
      <w:r w:rsidRPr="005501AE">
        <w:rPr>
          <w:rFonts w:ascii="Arial" w:eastAsia="Calibri" w:hAnsi="Arial" w:cs="Arial"/>
          <w:i/>
        </w:rPr>
        <w:lastRenderedPageBreak/>
        <w:t>la necesidad de probarla, pues, lógicamente, no es factible demostrar lo que se ha negado; de tal suerte que la carga de probar recae en su contraparte. En otro orden de ideas, si la negativa del acto no es simple sino calificada porque importa una afirmación, entonces quien la produce sí se encuentra en la necesidad de justificarla. La regla en cuestión se encuentra prevista por el artículo 82 del Código Federal de Procedimientos Civiles, de aplicación supletoria a la Ley de Amparo, al disponer que el que niega sólo está obligado a probar, entre otras hipótesis, cuando la negación envuelva la afirmación expresa de un hecho. En tal virtud, si el acto por su naturaleza es negativo y aquella a quien se atribuye lo niega, no corresponde a su contraparte demostrar la existencia de ese acto debido a que, ciertamente, no se encuentra en la posibilidad de probar la omisión o la abstención de su contraria sino que, como la negativa expresada por ésta encierra la afirmación de que no incurrió en ellas, debe acreditarlo. En suma, como la manifestación respecto de la existencia del acto no modifica la naturaleza de éste, en tanto que se trata de cosas diferentes, debe concluirse que si las autoridades responsables en su informe niegan la existencia de los actos, esa consideración no les imprime a éstos el carácter de negativos.</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TERCER TRIBUNAL COLEGIADO EN MATERIA ADMINISTRATIVA DEL PRIMER CIRCUITO.</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 xml:space="preserve">Amparo en revisión 1463/88. Guadalupe Carrillo García. 2 de agosto de 1988.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Incidente en revisión 2583/88. Saúl Bastida Marín. 10 de enero de 1989. Unanimidad de votos. Ponente: Carlos Alfredo Soto Villaseñor. Secretario: Juan Montes Cartas.</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 xml:space="preserve">Incidente en revisión 2603/88. Tirso Bastida Maya. 10 de enero de 1989.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Incidente en revisión 1893/</w:t>
      </w:r>
      <w:proofErr w:type="gramStart"/>
      <w:r w:rsidRPr="005501AE">
        <w:rPr>
          <w:rFonts w:ascii="Arial" w:eastAsia="Calibri" w:hAnsi="Arial" w:cs="Arial"/>
          <w:i/>
        </w:rPr>
        <w:t>89 .</w:t>
      </w:r>
      <w:proofErr w:type="gramEnd"/>
      <w:r w:rsidRPr="005501AE">
        <w:rPr>
          <w:rFonts w:ascii="Arial" w:eastAsia="Calibri" w:hAnsi="Arial" w:cs="Arial"/>
          <w:i/>
        </w:rPr>
        <w:t xml:space="preserve"> Agustín Ibarra López. 10 de octubre de 1989. Unanimidad de votos. Ponente: Genaro David Góngora Pimentel. Secretaria: Adriana Leticia Campuzano Gallegos.</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Amparo en revisión 503/90. Cándido Llanos Flores y otra. 28 de marzo de 1990. Unanimidad de votos. Ponente: Fernando Lanz Cárdenas. Secretario: Juan Carlos Cruz Razo.</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 xml:space="preserve">Nota: La presente tesis no fue reiterada como vigente para los efectos de la publicación del Apéndice 1917-1995, según los acuerdos a que llegó la Comisión encargada de su integración, quedando a salvo las atribuciones de los órganos </w:t>
      </w:r>
      <w:r w:rsidRPr="005501AE">
        <w:rPr>
          <w:rFonts w:ascii="Arial" w:eastAsia="Calibri" w:hAnsi="Arial" w:cs="Arial"/>
          <w:i/>
        </w:rPr>
        <w:lastRenderedPageBreak/>
        <w:t>judiciales federales para aplicarla, reiterarla, interrumpirla o modificarla en los términos que establecen las disposiciones constitucionales y legales.</w:t>
      </w:r>
    </w:p>
    <w:p w:rsidR="00004FC0" w:rsidRPr="005501AE" w:rsidRDefault="00004FC0" w:rsidP="00004FC0">
      <w:pPr>
        <w:spacing w:line="360" w:lineRule="auto"/>
        <w:ind w:firstLine="709"/>
        <w:jc w:val="both"/>
        <w:rPr>
          <w:rFonts w:ascii="Arial" w:eastAsia="Calibri" w:hAnsi="Arial" w:cs="Arial"/>
          <w:i/>
        </w:rPr>
      </w:pPr>
    </w:p>
    <w:p w:rsidR="00004FC0" w:rsidRPr="005501AE" w:rsidRDefault="00004FC0" w:rsidP="00004FC0">
      <w:pPr>
        <w:spacing w:line="360" w:lineRule="auto"/>
        <w:ind w:firstLine="709"/>
        <w:jc w:val="both"/>
        <w:rPr>
          <w:rFonts w:ascii="Arial" w:eastAsia="Calibri" w:hAnsi="Arial" w:cs="Arial"/>
          <w:sz w:val="24"/>
          <w:szCs w:val="24"/>
        </w:rPr>
      </w:pPr>
      <w:r w:rsidRPr="005501AE">
        <w:rPr>
          <w:rFonts w:ascii="Arial" w:eastAsia="Calibri" w:hAnsi="Arial" w:cs="Arial"/>
          <w:sz w:val="24"/>
          <w:szCs w:val="24"/>
        </w:rPr>
        <w:t>Y el criterio emitido por el Cuarto Tribunal Colegiado del Décimo Octavo Circuito, localizable en el Semanario Judicial de la Federación y su Gaceta Libro XXVI, Noviembre de 2013, Tomo 2, Tesis XVIII.4º.7 A (10ª.), página 1294, Instancia: Tribunales Colegiados de Circuito, que a la letra dice:</w:t>
      </w:r>
    </w:p>
    <w:p w:rsidR="00004FC0" w:rsidRPr="005501AE" w:rsidRDefault="00004FC0" w:rsidP="00004FC0">
      <w:pPr>
        <w:spacing w:line="360" w:lineRule="auto"/>
        <w:ind w:firstLine="709"/>
        <w:jc w:val="both"/>
        <w:rPr>
          <w:rFonts w:ascii="Arial" w:eastAsia="Calibri" w:hAnsi="Arial" w:cs="Arial"/>
          <w:sz w:val="24"/>
          <w:szCs w:val="24"/>
        </w:rPr>
      </w:pP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w:t>
      </w:r>
      <w:r w:rsidRPr="005501AE">
        <w:rPr>
          <w:rFonts w:ascii="Arial" w:eastAsia="Calibri" w:hAnsi="Arial" w:cs="Arial"/>
          <w:b/>
          <w:i/>
        </w:rPr>
        <w:t>CARGA PROBATORIA EN EL JUICIO ANTE EL TRIBUNAL DE LO CONTENCIOSO ADMINISTRATIVO DEL ESTADO DE MORELOS. CORRESPONDE A LAS AUTORIDADES DEMANDADAS CUANDO EL ACTOR LES ATRIBUYE SU DESPIDO INJUSTIFICADO Y ÉSTAS, AUNQUE LO NIEGAN, ACEPTAN QUE EXISTIÓ UNA RELACIÓN ADMINISTRATIVA PERO NO MANIFIESTAN POR QUÉ YA NO LES PRESTA SUS SERVICIOS</w:t>
      </w:r>
      <w:r w:rsidRPr="005501AE">
        <w:rPr>
          <w:rFonts w:ascii="Arial" w:eastAsia="Calibri" w:hAnsi="Arial" w:cs="Arial"/>
          <w:i/>
        </w:rPr>
        <w:t xml:space="preserve">.- Cuando el actor en el juicio ante el Tribunal de lo Contencioso Administrativo del Estado de Morelos atribuye a las autoridades demandadas su despido injustificado, y éstas, aunque lo niegan, aceptan que existió una relación administrativa -no laboral- con aquél, pero no expresan por qué ya no les presta sus servicios, es decir, no se refieren a todos los hechos relacionados con sus pretensiones, en los omitidos opera la presunción legal de ser ciertos, salvo prueba en contrario, conforme al artículo 85 de la Ley de Justicia Administrativa de la entidad. En consecuencia, atento </w:t>
      </w:r>
      <w:proofErr w:type="gramStart"/>
      <w:r w:rsidRPr="005501AE">
        <w:rPr>
          <w:rFonts w:ascii="Arial" w:eastAsia="Calibri" w:hAnsi="Arial" w:cs="Arial"/>
          <w:i/>
        </w:rPr>
        <w:t>a</w:t>
      </w:r>
      <w:proofErr w:type="gramEnd"/>
      <w:r w:rsidRPr="005501AE">
        <w:rPr>
          <w:rFonts w:ascii="Arial" w:eastAsia="Calibri" w:hAnsi="Arial" w:cs="Arial"/>
          <w:i/>
        </w:rPr>
        <w:t xml:space="preserve"> dicho precepto y al diverso 386 del Código Procesal Civil local, de aplicación supletoria, corresponde a las demandadas la carga de probar que el actor dejó de prestar sus servicios por una causa no imputable a ellas sino, en todo caso, a él.</w:t>
      </w:r>
    </w:p>
    <w:p w:rsidR="00004FC0" w:rsidRPr="005501AE" w:rsidRDefault="00004FC0" w:rsidP="00004FC0">
      <w:pPr>
        <w:spacing w:line="360" w:lineRule="auto"/>
        <w:ind w:firstLine="709"/>
        <w:jc w:val="both"/>
        <w:rPr>
          <w:rFonts w:ascii="Arial" w:eastAsia="Calibri" w:hAnsi="Arial" w:cs="Arial"/>
          <w:i/>
        </w:rPr>
      </w:pPr>
      <w:r w:rsidRPr="005501AE">
        <w:rPr>
          <w:rFonts w:ascii="Arial" w:eastAsia="Calibri" w:hAnsi="Arial" w:cs="Arial"/>
          <w:i/>
        </w:rPr>
        <w:t>CUARTO TRIBUNAL COLEGIADO DEL DÉCIMO OCTAVO CIRCUITO.</w:t>
      </w:r>
    </w:p>
    <w:p w:rsidR="00004FC0" w:rsidRDefault="00004FC0" w:rsidP="00004FC0">
      <w:pPr>
        <w:spacing w:line="360" w:lineRule="auto"/>
        <w:ind w:firstLine="709"/>
        <w:jc w:val="both"/>
        <w:rPr>
          <w:rFonts w:ascii="Arial" w:eastAsia="Calibri" w:hAnsi="Arial" w:cs="Arial"/>
          <w:i/>
        </w:rPr>
      </w:pPr>
      <w:r w:rsidRPr="005501AE">
        <w:rPr>
          <w:rFonts w:ascii="Arial" w:eastAsia="Calibri" w:hAnsi="Arial" w:cs="Arial"/>
          <w:i/>
        </w:rPr>
        <w:t>Amparo directo 858/2012. Rey Toledo Trujillo. 21 de febrero de 2013. Unanimidad de votos. Ponente: Gerardo Dávila Gaona. Secretario: Hilario Bonifacio García Rivera.”</w:t>
      </w:r>
    </w:p>
    <w:p w:rsidR="00004FC0" w:rsidRPr="005501AE" w:rsidRDefault="00004FC0" w:rsidP="00004FC0">
      <w:pPr>
        <w:spacing w:after="0" w:line="360" w:lineRule="auto"/>
        <w:ind w:firstLine="709"/>
        <w:jc w:val="both"/>
        <w:rPr>
          <w:rFonts w:ascii="Arial" w:eastAsia="Calibri" w:hAnsi="Arial" w:cs="Arial"/>
          <w:b/>
          <w:i/>
        </w:rPr>
      </w:pPr>
    </w:p>
    <w:p w:rsidR="00004FC0" w:rsidRDefault="00004FC0" w:rsidP="00E15F1B">
      <w:pPr>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En tal virtud, resulta fundado el concepto de impugnación</w:t>
      </w:r>
      <w:r>
        <w:rPr>
          <w:rFonts w:ascii="Arial" w:eastAsia="Calibri" w:hAnsi="Arial" w:cs="Arial"/>
          <w:sz w:val="26"/>
          <w:szCs w:val="26"/>
        </w:rPr>
        <w:t xml:space="preserve"> que se analiza</w:t>
      </w:r>
      <w:r w:rsidRPr="00A1306E">
        <w:rPr>
          <w:rFonts w:ascii="Arial" w:eastAsia="Calibri" w:hAnsi="Arial" w:cs="Arial"/>
          <w:sz w:val="26"/>
          <w:szCs w:val="26"/>
        </w:rPr>
        <w:t>, tomando  en cuenta que existe una separación injustificada en perjuicio de</w:t>
      </w:r>
      <w:r>
        <w:rPr>
          <w:rFonts w:ascii="Arial" w:eastAsia="Calibri" w:hAnsi="Arial" w:cs="Arial"/>
          <w:sz w:val="26"/>
          <w:szCs w:val="26"/>
        </w:rPr>
        <w:t>l</w:t>
      </w:r>
      <w:r w:rsidRPr="00A1306E">
        <w:rPr>
          <w:rFonts w:ascii="Arial" w:eastAsia="Calibri" w:hAnsi="Arial" w:cs="Arial"/>
          <w:sz w:val="26"/>
          <w:szCs w:val="26"/>
        </w:rPr>
        <w:t xml:space="preserve"> aquí actor; toda vez que se advierte de las diversas constancias y probanzas que integran este juicio, que la</w:t>
      </w:r>
      <w:r>
        <w:rPr>
          <w:rFonts w:ascii="Arial" w:eastAsia="Calibri" w:hAnsi="Arial" w:cs="Arial"/>
          <w:sz w:val="26"/>
          <w:szCs w:val="26"/>
        </w:rPr>
        <w:t>s</w:t>
      </w:r>
      <w:r w:rsidRPr="00A1306E">
        <w:rPr>
          <w:rFonts w:ascii="Arial" w:eastAsia="Calibri" w:hAnsi="Arial" w:cs="Arial"/>
          <w:sz w:val="26"/>
          <w:szCs w:val="26"/>
        </w:rPr>
        <w:t xml:space="preserve"> demandada</w:t>
      </w:r>
      <w:r>
        <w:rPr>
          <w:rFonts w:ascii="Arial" w:eastAsia="Calibri" w:hAnsi="Arial" w:cs="Arial"/>
          <w:sz w:val="26"/>
          <w:szCs w:val="26"/>
        </w:rPr>
        <w:t>s</w:t>
      </w:r>
      <w:r w:rsidRPr="00A1306E">
        <w:rPr>
          <w:rFonts w:ascii="Arial" w:eastAsia="Calibri" w:hAnsi="Arial" w:cs="Arial"/>
          <w:sz w:val="26"/>
          <w:szCs w:val="26"/>
        </w:rPr>
        <w:t xml:space="preserve"> no acredit</w:t>
      </w:r>
      <w:r>
        <w:rPr>
          <w:rFonts w:ascii="Arial" w:eastAsia="Calibri" w:hAnsi="Arial" w:cs="Arial"/>
          <w:sz w:val="26"/>
          <w:szCs w:val="26"/>
        </w:rPr>
        <w:t>aron</w:t>
      </w:r>
      <w:r w:rsidRPr="00A1306E">
        <w:rPr>
          <w:rFonts w:ascii="Arial" w:eastAsia="Calibri" w:hAnsi="Arial" w:cs="Arial"/>
          <w:sz w:val="26"/>
          <w:szCs w:val="26"/>
        </w:rPr>
        <w:t xml:space="preserve"> en este juicio, la justificación de la separación </w:t>
      </w:r>
      <w:r>
        <w:rPr>
          <w:rFonts w:ascii="Arial" w:eastAsia="Calibri" w:hAnsi="Arial" w:cs="Arial"/>
          <w:sz w:val="26"/>
          <w:szCs w:val="26"/>
        </w:rPr>
        <w:t xml:space="preserve">del cargo que venía desempeñando el accionante como Policía </w:t>
      </w:r>
      <w:r w:rsidR="00E15F1B">
        <w:rPr>
          <w:rFonts w:ascii="Arial" w:eastAsia="Calibri" w:hAnsi="Arial" w:cs="Arial"/>
          <w:sz w:val="26"/>
          <w:szCs w:val="26"/>
        </w:rPr>
        <w:t xml:space="preserve">adscrito a la Dirección de Fuerzas Municipales de la Dirección General de Seguridad Pública del H. Ayuntamiento de Soledad de Graciano </w:t>
      </w:r>
      <w:r w:rsidR="00E15F1B">
        <w:rPr>
          <w:rFonts w:ascii="Arial" w:eastAsia="Calibri" w:hAnsi="Arial" w:cs="Arial"/>
          <w:sz w:val="26"/>
          <w:szCs w:val="26"/>
        </w:rPr>
        <w:lastRenderedPageBreak/>
        <w:t>Sánchez, S.L.P.</w:t>
      </w:r>
      <w:r>
        <w:rPr>
          <w:rFonts w:ascii="Arial" w:eastAsia="Calibri" w:hAnsi="Arial" w:cs="Arial"/>
          <w:sz w:val="26"/>
          <w:szCs w:val="26"/>
        </w:rPr>
        <w:t xml:space="preserve">, </w:t>
      </w:r>
      <w:r w:rsidRPr="00A1306E">
        <w:rPr>
          <w:rFonts w:ascii="Arial" w:eastAsia="Calibri" w:hAnsi="Arial" w:cs="Arial"/>
          <w:sz w:val="26"/>
          <w:szCs w:val="26"/>
        </w:rPr>
        <w:t>lo cual resulta violatorio de los derechos humanos de audiencia, legalidad y seguridad jurídica, previstos en los artículos 14 y 16 Constitucionales; a virtud de que por una parte, prevalece el dicho de</w:t>
      </w:r>
      <w:r w:rsidR="00E15F1B">
        <w:rPr>
          <w:rFonts w:ascii="Arial" w:eastAsia="Calibri" w:hAnsi="Arial" w:cs="Arial"/>
          <w:sz w:val="26"/>
          <w:szCs w:val="26"/>
        </w:rPr>
        <w:t>l</w:t>
      </w:r>
      <w:r w:rsidRPr="00A1306E">
        <w:rPr>
          <w:rFonts w:ascii="Arial" w:eastAsia="Calibri" w:hAnsi="Arial" w:cs="Arial"/>
          <w:sz w:val="26"/>
          <w:szCs w:val="26"/>
        </w:rPr>
        <w:t xml:space="preserve"> actor de que desde el día </w:t>
      </w:r>
      <w:r w:rsidR="00E15F1B" w:rsidRPr="00C05439">
        <w:rPr>
          <w:rFonts w:ascii="Arial" w:eastAsia="Calibri" w:hAnsi="Arial" w:cs="Arial"/>
          <w:b/>
          <w:sz w:val="26"/>
          <w:szCs w:val="26"/>
        </w:rPr>
        <w:t>catorce</w:t>
      </w:r>
      <w:r w:rsidRPr="00C05439">
        <w:rPr>
          <w:rFonts w:ascii="Arial" w:eastAsia="Calibri" w:hAnsi="Arial" w:cs="Arial"/>
          <w:b/>
          <w:sz w:val="26"/>
          <w:szCs w:val="26"/>
        </w:rPr>
        <w:t xml:space="preserve"> de septiembre de dos mil veintidós</w:t>
      </w:r>
      <w:r w:rsidRPr="00A1306E">
        <w:rPr>
          <w:rFonts w:ascii="Arial" w:eastAsia="Calibri" w:hAnsi="Arial" w:cs="Arial"/>
          <w:sz w:val="26"/>
          <w:szCs w:val="26"/>
        </w:rPr>
        <w:t>, se encuentra separad</w:t>
      </w:r>
      <w:r>
        <w:rPr>
          <w:rFonts w:ascii="Arial" w:eastAsia="Calibri" w:hAnsi="Arial" w:cs="Arial"/>
          <w:sz w:val="26"/>
          <w:szCs w:val="26"/>
        </w:rPr>
        <w:t>o</w:t>
      </w:r>
      <w:r w:rsidRPr="00A1306E">
        <w:rPr>
          <w:rFonts w:ascii="Arial" w:eastAsia="Calibri" w:hAnsi="Arial" w:cs="Arial"/>
          <w:sz w:val="26"/>
          <w:szCs w:val="26"/>
        </w:rPr>
        <w:t xml:space="preserve"> injustificadamente de su función como elemento de seguridad y, por otro, estas confiesan que </w:t>
      </w:r>
      <w:r w:rsidR="00270D80">
        <w:rPr>
          <w:rFonts w:ascii="Arial" w:eastAsia="Calibri" w:hAnsi="Arial" w:cs="Arial"/>
          <w:sz w:val="26"/>
          <w:szCs w:val="26"/>
        </w:rPr>
        <w:t>la baja o cese fue efectuado desde el 5 de septiembre de 2021 y que en la fecha que indica el actor ocurrió la baja</w:t>
      </w:r>
      <w:r>
        <w:rPr>
          <w:rFonts w:ascii="Arial" w:eastAsia="Calibri" w:hAnsi="Arial" w:cs="Arial"/>
          <w:sz w:val="26"/>
          <w:szCs w:val="26"/>
        </w:rPr>
        <w:t xml:space="preserve">, </w:t>
      </w:r>
      <w:r w:rsidR="00270D80">
        <w:rPr>
          <w:rFonts w:ascii="Arial" w:eastAsia="Calibri" w:hAnsi="Arial" w:cs="Arial"/>
          <w:sz w:val="26"/>
          <w:szCs w:val="26"/>
        </w:rPr>
        <w:t xml:space="preserve">ya no formaba parte de la plantilla administrativa de seguridad pública del Ayuntamiento demandado, </w:t>
      </w:r>
      <w:r>
        <w:rPr>
          <w:rFonts w:ascii="Arial" w:eastAsia="Calibri" w:hAnsi="Arial" w:cs="Arial"/>
          <w:sz w:val="26"/>
          <w:szCs w:val="26"/>
        </w:rPr>
        <w:t>lo que resulta insuficiente, pues se advierte que no dan contestación a todos y cada uno de los hechos de la demanda.</w:t>
      </w:r>
    </w:p>
    <w:p w:rsidR="00004FC0" w:rsidRDefault="00004FC0" w:rsidP="00004FC0">
      <w:pPr>
        <w:spacing w:after="0" w:line="360" w:lineRule="auto"/>
        <w:ind w:firstLine="709"/>
        <w:jc w:val="both"/>
        <w:rPr>
          <w:rFonts w:ascii="Arial" w:eastAsia="Calibri" w:hAnsi="Arial" w:cs="Arial"/>
          <w:sz w:val="26"/>
          <w:szCs w:val="26"/>
        </w:rPr>
      </w:pPr>
    </w:p>
    <w:p w:rsidR="00976B89" w:rsidRDefault="00976B89" w:rsidP="00976B89">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Para corroborar lo anterior, tenemos el desahogo de la prueba testimonial ofrecida por la parte actora, a cargo de </w:t>
      </w:r>
      <w:r w:rsidR="00484AD1">
        <w:rPr>
          <w:rFonts w:ascii="Arial" w:eastAsia="Calibri" w:hAnsi="Arial" w:cs="Arial"/>
          <w:color w:val="FF0000"/>
          <w:sz w:val="26"/>
          <w:szCs w:val="26"/>
        </w:rPr>
        <w:t>**********</w:t>
      </w:r>
      <w:r>
        <w:rPr>
          <w:rFonts w:ascii="Arial" w:eastAsia="Calibri" w:hAnsi="Arial" w:cs="Arial"/>
          <w:sz w:val="26"/>
          <w:szCs w:val="26"/>
        </w:rPr>
        <w:t xml:space="preserve">, quienes son coincidentes en señalar que al aquí actor, con fecha catorce de septiembre de dos mil veintidós, se le indicó, por parte del Director de Fuerzas Municipales de Soledad de Graciano Sánchez, S.L.P. y por órdenes del Comisario de la Dirección General de Seguridad Pública de ese Municipio, que ya estaba dado de baja; lo que hace prueba plena, de conformidad con el  artículo 400 del Código de Procedimientos Civiles para el Estado de San Luis Potosí, de aplicación supletoria al párrafo segundo del artículo 163 </w:t>
      </w:r>
      <w:r w:rsidR="005E0F15">
        <w:rPr>
          <w:rFonts w:ascii="Arial" w:eastAsia="Calibri" w:hAnsi="Arial" w:cs="Arial"/>
          <w:sz w:val="26"/>
          <w:szCs w:val="26"/>
        </w:rPr>
        <w:t xml:space="preserve">del </w:t>
      </w:r>
      <w:r>
        <w:rPr>
          <w:rFonts w:ascii="Arial" w:eastAsia="Calibri" w:hAnsi="Arial" w:cs="Arial"/>
          <w:sz w:val="26"/>
          <w:szCs w:val="26"/>
        </w:rPr>
        <w:t xml:space="preserve">Código Procesal Administrativo para el Estado de San Luis Potosí, </w:t>
      </w:r>
      <w:r w:rsidR="005E0F15">
        <w:rPr>
          <w:rFonts w:ascii="Arial" w:eastAsia="Calibri" w:hAnsi="Arial" w:cs="Arial"/>
          <w:sz w:val="26"/>
          <w:szCs w:val="26"/>
        </w:rPr>
        <w:t>así como en base al artículo 72 fracción II de</w:t>
      </w:r>
      <w:r w:rsidR="005A76CD">
        <w:rPr>
          <w:rFonts w:ascii="Arial" w:eastAsia="Calibri" w:hAnsi="Arial" w:cs="Arial"/>
          <w:sz w:val="26"/>
          <w:szCs w:val="26"/>
        </w:rPr>
        <w:t xml:space="preserve"> dicha codificación.</w:t>
      </w:r>
    </w:p>
    <w:p w:rsidR="00F509D9" w:rsidRDefault="00F509D9" w:rsidP="00976B89">
      <w:pPr>
        <w:spacing w:after="0" w:line="360" w:lineRule="auto"/>
        <w:ind w:firstLine="709"/>
        <w:jc w:val="both"/>
        <w:rPr>
          <w:rFonts w:ascii="Arial" w:eastAsia="Calibri" w:hAnsi="Arial" w:cs="Arial"/>
          <w:sz w:val="26"/>
          <w:szCs w:val="26"/>
        </w:rPr>
      </w:pPr>
    </w:p>
    <w:p w:rsidR="00F509D9" w:rsidRDefault="00F509D9" w:rsidP="00976B89">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Asimismo, tenemos </w:t>
      </w:r>
      <w:r w:rsidR="00976B89">
        <w:rPr>
          <w:rFonts w:ascii="Arial" w:eastAsia="Calibri" w:hAnsi="Arial" w:cs="Arial"/>
          <w:sz w:val="26"/>
          <w:szCs w:val="26"/>
        </w:rPr>
        <w:t xml:space="preserve">que al Director de Seguridad Pública Municipal de Soledad de Graciano Sánchez, S.L.P., se le tuvo por auto de treinta y uno de octubre de dos mil veintitrés, por no contestada la demanda y por consecuencia, por contestando la demanda en sentido afirmativo, por lo que se </w:t>
      </w:r>
      <w:r>
        <w:rPr>
          <w:rFonts w:ascii="Arial" w:eastAsia="Calibri" w:hAnsi="Arial" w:cs="Arial"/>
          <w:sz w:val="26"/>
          <w:szCs w:val="26"/>
        </w:rPr>
        <w:t>le tiene por afirmando los hechos narrados por el aquí actor, en cuanto a la baja que le fue decretada por órdenes del citado funcionario.</w:t>
      </w:r>
    </w:p>
    <w:p w:rsidR="006F6633" w:rsidRDefault="006F6633" w:rsidP="00976B89">
      <w:pPr>
        <w:spacing w:after="0" w:line="360" w:lineRule="auto"/>
        <w:ind w:firstLine="709"/>
        <w:jc w:val="both"/>
        <w:rPr>
          <w:rFonts w:ascii="Arial" w:eastAsia="Calibri" w:hAnsi="Arial" w:cs="Arial"/>
          <w:sz w:val="26"/>
          <w:szCs w:val="26"/>
        </w:rPr>
      </w:pPr>
    </w:p>
    <w:p w:rsidR="00004FC0" w:rsidRPr="00A1306E" w:rsidRDefault="00EF2071" w:rsidP="00004FC0">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A mayor abundamiento, </w:t>
      </w:r>
      <w:r w:rsidR="00004FC0">
        <w:rPr>
          <w:rFonts w:ascii="Arial" w:eastAsia="Calibri" w:hAnsi="Arial" w:cs="Arial"/>
          <w:sz w:val="26"/>
          <w:szCs w:val="26"/>
        </w:rPr>
        <w:t xml:space="preserve">las demandadas, no aportan </w:t>
      </w:r>
      <w:r>
        <w:rPr>
          <w:rFonts w:ascii="Arial" w:eastAsia="Calibri" w:hAnsi="Arial" w:cs="Arial"/>
          <w:sz w:val="26"/>
          <w:szCs w:val="26"/>
        </w:rPr>
        <w:t xml:space="preserve">prueba alguna donde conste el cese en sus funciones que venía </w:t>
      </w:r>
      <w:r>
        <w:rPr>
          <w:rFonts w:ascii="Arial" w:eastAsia="Calibri" w:hAnsi="Arial" w:cs="Arial"/>
          <w:sz w:val="26"/>
          <w:szCs w:val="26"/>
        </w:rPr>
        <w:lastRenderedPageBreak/>
        <w:t xml:space="preserve">desempeñando el actor, desde el 5 de septiembre de 2021, o la suspensión de actividades y salarios del actor, desde esa fecha,  </w:t>
      </w:r>
      <w:r w:rsidR="00004FC0">
        <w:rPr>
          <w:rFonts w:ascii="Arial" w:eastAsia="Calibri" w:hAnsi="Arial" w:cs="Arial"/>
          <w:sz w:val="26"/>
          <w:szCs w:val="26"/>
        </w:rPr>
        <w:t xml:space="preserve">lo cual necesariamente tuvo que </w:t>
      </w:r>
      <w:r>
        <w:rPr>
          <w:rFonts w:ascii="Arial" w:eastAsia="Calibri" w:hAnsi="Arial" w:cs="Arial"/>
          <w:sz w:val="26"/>
          <w:szCs w:val="26"/>
        </w:rPr>
        <w:t xml:space="preserve">haber sido determinado, mediante el </w:t>
      </w:r>
      <w:r w:rsidR="00004FC0" w:rsidRPr="00A1306E">
        <w:rPr>
          <w:rFonts w:ascii="Arial" w:eastAsia="Calibri" w:hAnsi="Arial" w:cs="Arial"/>
          <w:sz w:val="26"/>
          <w:szCs w:val="26"/>
        </w:rPr>
        <w:t xml:space="preserve">procedimiento de baja ante la Comisión de Honor y Justicia correspondiente; autoridad a la cual le corresponde decretar </w:t>
      </w:r>
      <w:r>
        <w:rPr>
          <w:rFonts w:ascii="Arial" w:eastAsia="Calibri" w:hAnsi="Arial" w:cs="Arial"/>
          <w:sz w:val="26"/>
          <w:szCs w:val="26"/>
        </w:rPr>
        <w:t>la separación del demandante</w:t>
      </w:r>
      <w:r w:rsidR="00004FC0" w:rsidRPr="00A1306E">
        <w:rPr>
          <w:rFonts w:ascii="Arial" w:eastAsia="Calibri" w:hAnsi="Arial" w:cs="Arial"/>
          <w:sz w:val="26"/>
          <w:szCs w:val="26"/>
        </w:rPr>
        <w:t xml:space="preserve">, no así a cualquier otra autoridad municipal porque carece de competencia; luego entonces, al no demostrar </w:t>
      </w:r>
      <w:r>
        <w:rPr>
          <w:rFonts w:ascii="Arial" w:eastAsia="Calibri" w:hAnsi="Arial" w:cs="Arial"/>
          <w:sz w:val="26"/>
          <w:szCs w:val="26"/>
        </w:rPr>
        <w:t xml:space="preserve">las autoridades demandadas, </w:t>
      </w:r>
      <w:r w:rsidR="00C05439">
        <w:rPr>
          <w:rFonts w:ascii="Arial" w:eastAsia="Calibri" w:hAnsi="Arial" w:cs="Arial"/>
          <w:sz w:val="26"/>
          <w:szCs w:val="26"/>
        </w:rPr>
        <w:t xml:space="preserve">su dicho de </w:t>
      </w:r>
      <w:r w:rsidR="00004FC0" w:rsidRPr="00A1306E">
        <w:rPr>
          <w:rFonts w:ascii="Arial" w:eastAsia="Calibri" w:hAnsi="Arial" w:cs="Arial"/>
          <w:sz w:val="26"/>
          <w:szCs w:val="26"/>
        </w:rPr>
        <w:t xml:space="preserve">que la separación del actor </w:t>
      </w:r>
      <w:r w:rsidR="00C05439">
        <w:rPr>
          <w:rFonts w:ascii="Arial" w:eastAsia="Calibri" w:hAnsi="Arial" w:cs="Arial"/>
          <w:sz w:val="26"/>
          <w:szCs w:val="26"/>
        </w:rPr>
        <w:t xml:space="preserve">fue </w:t>
      </w:r>
      <w:r>
        <w:rPr>
          <w:rFonts w:ascii="Arial" w:eastAsia="Calibri" w:hAnsi="Arial" w:cs="Arial"/>
          <w:sz w:val="26"/>
          <w:szCs w:val="26"/>
        </w:rPr>
        <w:t xml:space="preserve">determinada con fecha 5 de septiembre de 2021, </w:t>
      </w:r>
      <w:r w:rsidR="00C05439">
        <w:rPr>
          <w:rFonts w:ascii="Arial" w:eastAsia="Calibri" w:hAnsi="Arial" w:cs="Arial"/>
          <w:sz w:val="26"/>
          <w:szCs w:val="26"/>
        </w:rPr>
        <w:t xml:space="preserve">ni acreditar que la baja determinada con fecha 14 de septiembre de 2022, fue imputable a este, </w:t>
      </w:r>
      <w:r w:rsidR="00004FC0" w:rsidRPr="00A1306E">
        <w:rPr>
          <w:rFonts w:ascii="Arial" w:eastAsia="Calibri" w:hAnsi="Arial" w:cs="Arial"/>
          <w:sz w:val="26"/>
          <w:szCs w:val="26"/>
        </w:rPr>
        <w:t>se tiene por injustificada, porque no existió el procedimiento respectivo, a fin de darle la oportunidad de exponer lo que considerara conveniente en defensa de sus intereses, ante los tribunales establecidos para ello, y con las formalidades esenciales del procedimiento, siendo en el caso que nos ocupa, ante la Comisión de Honor y Justicia, de acuerdo a la Ley del Sistema de Seguridad Pública del Estado de San Luis Potosí.</w:t>
      </w:r>
    </w:p>
    <w:p w:rsidR="00004FC0" w:rsidRPr="00A1306E" w:rsidRDefault="00004FC0" w:rsidP="00004FC0">
      <w:pPr>
        <w:spacing w:after="0" w:line="360" w:lineRule="auto"/>
        <w:ind w:firstLine="708"/>
        <w:jc w:val="both"/>
        <w:rPr>
          <w:rFonts w:ascii="Arial" w:eastAsia="Calibri" w:hAnsi="Arial" w:cs="Arial"/>
          <w:sz w:val="26"/>
          <w:szCs w:val="26"/>
        </w:rPr>
      </w:pPr>
    </w:p>
    <w:p w:rsidR="00004FC0" w:rsidRPr="00A1306E" w:rsidRDefault="00004FC0" w:rsidP="00004FC0">
      <w:pPr>
        <w:autoSpaceDE w:val="0"/>
        <w:autoSpaceDN w:val="0"/>
        <w:adjustRightInd w:val="0"/>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efecto, tratándose del cese, baja o remoción de los elementos que pertenecen a los cuerpos de seguridad pública del Estado y municipios de San Luis Potosí, compete a la Comisión de Honor y Justicia de los respectivos cuerpos de seguridad decretar dicha sanción, previo desahogo del procedimiento establecido, así se desprende de los numerales 112, 113, 114, 119 y 126 de la Ley del Sistema de Seguridad Pública del Estado de San Luis Potosí, los que establecen lo siguiente:</w:t>
      </w:r>
    </w:p>
    <w:p w:rsidR="00004FC0" w:rsidRPr="00A1306E" w:rsidRDefault="00004FC0" w:rsidP="00004FC0">
      <w:pPr>
        <w:autoSpaceDE w:val="0"/>
        <w:autoSpaceDN w:val="0"/>
        <w:adjustRightInd w:val="0"/>
        <w:spacing w:after="0" w:line="360" w:lineRule="auto"/>
        <w:ind w:firstLine="708"/>
        <w:jc w:val="both"/>
        <w:rPr>
          <w:rFonts w:ascii="Arial" w:eastAsia="Calibri" w:hAnsi="Arial" w:cs="Arial"/>
          <w:sz w:val="26"/>
          <w:szCs w:val="26"/>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112</w:t>
      </w:r>
      <w:r w:rsidRPr="00DF50BE">
        <w:rPr>
          <w:rFonts w:ascii="Arial Narrow" w:eastAsia="Calibri" w:hAnsi="Arial Narrow" w:cs="Arial"/>
          <w:i/>
          <w:sz w:val="24"/>
          <w:szCs w:val="24"/>
        </w:rPr>
        <w:t>. Las indisciplinas o faltas cometidas por los elementos de los cuerpos de seguridad pública, serán enmendadas a través de correcciones y sanciones disciplinarias.”</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113.</w:t>
      </w:r>
      <w:r w:rsidRPr="00DF50BE">
        <w:rPr>
          <w:rFonts w:ascii="Arial Narrow" w:eastAsia="Calibri" w:hAnsi="Arial Narrow" w:cs="Arial"/>
          <w:i/>
          <w:sz w:val="24"/>
          <w:szCs w:val="24"/>
        </w:rPr>
        <w:t xml:space="preserve"> Las correcciones disciplinarias serán aplicadas a los integrantes de los cuerpos de seguridad, por los superiores jerárquicos, o por el titular de la institución.</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Las correcciones disciplinarias consistirán en apercibimiento, y arresto hasta por treinta y seis horas, con o sin perjuicio en el servicio.</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La corrección disciplinaria se registrará en el expediente personal del infractor integrante de los cuerpos de seguridad.”</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114.</w:t>
      </w:r>
      <w:r w:rsidRPr="00DF50BE">
        <w:rPr>
          <w:rFonts w:ascii="Arial Narrow" w:eastAsia="Calibri" w:hAnsi="Arial Narrow" w:cs="Arial"/>
          <w:i/>
          <w:sz w:val="24"/>
          <w:szCs w:val="24"/>
        </w:rPr>
        <w:t xml:space="preserve"> Las sanciones disciplinarias aplicables por la Comisión de Honor y Justicia son:</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 Amonestación;</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II. Suspensión temporal de funciones hasta por noventa días, y</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lastRenderedPageBreak/>
        <w:t>III. Remoción, o destitución del cargo.”</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119</w:t>
      </w:r>
      <w:r w:rsidRPr="00DF50BE">
        <w:rPr>
          <w:rFonts w:ascii="Arial Narrow" w:eastAsia="Calibri" w:hAnsi="Arial Narrow" w:cs="Arial"/>
          <w:i/>
          <w:sz w:val="24"/>
          <w:szCs w:val="24"/>
        </w:rPr>
        <w:t xml:space="preserve">. </w:t>
      </w:r>
      <w:r w:rsidRPr="00DF50BE">
        <w:rPr>
          <w:rFonts w:ascii="Arial Narrow" w:eastAsia="Calibri" w:hAnsi="Arial Narrow" w:cs="Arial"/>
          <w:b/>
          <w:i/>
          <w:sz w:val="24"/>
          <w:szCs w:val="24"/>
        </w:rPr>
        <w:t>La Comisión de Honor y Justicia</w:t>
      </w:r>
      <w:r w:rsidRPr="00DF50BE">
        <w:rPr>
          <w:rFonts w:ascii="Arial Narrow" w:eastAsia="Calibri" w:hAnsi="Arial Narrow" w:cs="Arial"/>
          <w:i/>
          <w:sz w:val="24"/>
          <w:szCs w:val="24"/>
        </w:rPr>
        <w:t xml:space="preserve"> es un órgano colegiado de carácter permanente, </w:t>
      </w:r>
      <w:r w:rsidRPr="00DF50BE">
        <w:rPr>
          <w:rFonts w:ascii="Arial Narrow" w:eastAsia="Calibri" w:hAnsi="Arial Narrow" w:cs="Arial"/>
          <w:b/>
          <w:i/>
          <w:sz w:val="24"/>
          <w:szCs w:val="24"/>
        </w:rPr>
        <w:t>encargado de conocer e imponer, en su caso, las sanciones correspondientes por infracciones o faltas</w:t>
      </w:r>
      <w:r w:rsidRPr="00DF50BE">
        <w:rPr>
          <w:rFonts w:ascii="Arial Narrow" w:eastAsia="Calibri" w:hAnsi="Arial Narrow" w:cs="Arial"/>
          <w:i/>
          <w:sz w:val="24"/>
          <w:szCs w:val="24"/>
        </w:rPr>
        <w:t xml:space="preserve"> previstas en la Ley, sus reglamentos, o a los ordenamientos jurídicos de la materia, cometidas por los integrantes de los cuerpos de seguridad.</w:t>
      </w:r>
    </w:p>
    <w:p w:rsidR="00004FC0" w:rsidRPr="00DF50BE" w:rsidRDefault="00004FC0" w:rsidP="00004FC0">
      <w:pPr>
        <w:autoSpaceDE w:val="0"/>
        <w:autoSpaceDN w:val="0"/>
        <w:adjustRightInd w:val="0"/>
        <w:spacing w:after="0" w:line="240" w:lineRule="auto"/>
        <w:ind w:right="759"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right="759" w:firstLine="708"/>
        <w:jc w:val="both"/>
        <w:rPr>
          <w:rFonts w:ascii="Arial Narrow" w:eastAsia="Calibri" w:hAnsi="Arial Narrow" w:cs="Arial"/>
          <w:i/>
          <w:sz w:val="24"/>
          <w:szCs w:val="24"/>
        </w:rPr>
      </w:pPr>
      <w:r w:rsidRPr="00DF50BE">
        <w:rPr>
          <w:rFonts w:ascii="Arial Narrow" w:eastAsia="Calibri" w:hAnsi="Arial Narrow" w:cs="Arial"/>
          <w:i/>
          <w:sz w:val="24"/>
          <w:szCs w:val="24"/>
        </w:rPr>
        <w:t>Además, evaluar el otorgamiento de reconocimientos y condecoraciones, en su caso.”</w:t>
      </w:r>
    </w:p>
    <w:p w:rsidR="00004FC0" w:rsidRPr="00DF50BE" w:rsidRDefault="00004FC0" w:rsidP="00004FC0">
      <w:pPr>
        <w:autoSpaceDE w:val="0"/>
        <w:autoSpaceDN w:val="0"/>
        <w:adjustRightInd w:val="0"/>
        <w:spacing w:after="0" w:line="360" w:lineRule="auto"/>
        <w:ind w:firstLine="708"/>
        <w:jc w:val="both"/>
        <w:rPr>
          <w:rFonts w:ascii="Arial Narrow" w:eastAsia="Calibri" w:hAnsi="Arial Narrow" w:cs="Arial"/>
          <w:sz w:val="28"/>
          <w:szCs w:val="28"/>
        </w:rPr>
      </w:pPr>
    </w:p>
    <w:p w:rsidR="00004FC0" w:rsidRPr="00DF50BE" w:rsidRDefault="00004FC0" w:rsidP="00004FC0">
      <w:pPr>
        <w:autoSpaceDE w:val="0"/>
        <w:autoSpaceDN w:val="0"/>
        <w:adjustRightInd w:val="0"/>
        <w:spacing w:after="0" w:line="240" w:lineRule="auto"/>
        <w:ind w:firstLine="709"/>
        <w:jc w:val="both"/>
        <w:rPr>
          <w:rFonts w:ascii="Arial Narrow" w:eastAsia="Calibri" w:hAnsi="Arial Narrow" w:cs="Arial"/>
          <w:b/>
          <w:i/>
          <w:sz w:val="24"/>
          <w:szCs w:val="24"/>
        </w:rPr>
      </w:pPr>
      <w:r w:rsidRPr="00DF50BE">
        <w:rPr>
          <w:rFonts w:ascii="Arial Narrow" w:eastAsia="Calibri" w:hAnsi="Arial Narrow" w:cs="Arial"/>
          <w:b/>
          <w:i/>
          <w:sz w:val="24"/>
          <w:szCs w:val="24"/>
        </w:rPr>
        <w:t>“ARTICULO 126</w:t>
      </w:r>
      <w:r w:rsidRPr="00DF50BE">
        <w:rPr>
          <w:rFonts w:ascii="Arial Narrow" w:eastAsia="Calibri" w:hAnsi="Arial Narrow" w:cs="Arial"/>
          <w:sz w:val="28"/>
          <w:szCs w:val="28"/>
        </w:rPr>
        <w:t xml:space="preserve">. </w:t>
      </w:r>
      <w:r w:rsidRPr="00DF50BE">
        <w:rPr>
          <w:rFonts w:ascii="Arial Narrow" w:eastAsia="Calibri" w:hAnsi="Arial Narrow" w:cs="Arial"/>
          <w:i/>
          <w:sz w:val="24"/>
          <w:szCs w:val="24"/>
        </w:rPr>
        <w:t xml:space="preserve">En cualquier supuesto que amerite sanción, se deberá respetar en todo momento las garantías de, </w:t>
      </w:r>
      <w:r w:rsidRPr="00DF50BE">
        <w:rPr>
          <w:rFonts w:ascii="Arial Narrow" w:eastAsia="Calibri" w:hAnsi="Arial Narrow" w:cs="Arial"/>
          <w:b/>
          <w:i/>
          <w:sz w:val="24"/>
          <w:szCs w:val="24"/>
        </w:rPr>
        <w:t xml:space="preserve">audiencia, debido proceso, y principio de presunción de inocencia.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consecuencia, </w:t>
      </w:r>
      <w:r w:rsidRPr="00DF50BE">
        <w:rPr>
          <w:rFonts w:ascii="Arial Narrow" w:eastAsia="Calibri" w:hAnsi="Arial Narrow" w:cs="Arial"/>
          <w:b/>
          <w:i/>
          <w:sz w:val="24"/>
          <w:szCs w:val="24"/>
        </w:rPr>
        <w:t>cualquier infracción, ya sea que se cometa por acción u omisión, que constituya responsabilidad en el desempeño de sus funciones o incumplimiento de sus deberes,</w:t>
      </w:r>
      <w:r w:rsidRPr="00DF50BE">
        <w:rPr>
          <w:rFonts w:ascii="Arial Narrow" w:eastAsia="Calibri" w:hAnsi="Arial Narrow" w:cs="Arial"/>
          <w:i/>
          <w:sz w:val="24"/>
          <w:szCs w:val="24"/>
        </w:rPr>
        <w:t xml:space="preserve"> de acuerdo a la presente Ley, sus reglamentos, o a los ordenamientos jurídicos de la materia, </w:t>
      </w:r>
      <w:r w:rsidRPr="00DF50BE">
        <w:rPr>
          <w:rFonts w:ascii="Arial Narrow" w:eastAsia="Calibri" w:hAnsi="Arial Narrow" w:cs="Arial"/>
          <w:b/>
          <w:bCs/>
          <w:i/>
          <w:sz w:val="24"/>
          <w:szCs w:val="24"/>
        </w:rPr>
        <w:t>se someterá ante la Comisión de Honor y Justicia, conforme al siguiente procedimiento:</w:t>
      </w:r>
      <w:r w:rsidRPr="00DF50BE">
        <w:rPr>
          <w:rFonts w:ascii="Arial Narrow" w:eastAsia="Calibri" w:hAnsi="Arial Narrow" w:cs="Arial"/>
          <w:b/>
          <w:i/>
          <w:sz w:val="24"/>
          <w:szCs w:val="24"/>
        </w:rPr>
        <w:t xml:space="preserve">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 Se iniciará por solicitud escrita presentada por el titular de la Unidad de Asuntos Internos de las instituciones de seguridad pública, en los términos de sus ordenamientos.   La solicitud deberá contener lugar, fecha, y la imputación que se atribuye al probable infractor; pruebas que sustenten la imputación, motivación para su formulación, y  fundamentación de la infracción que se imputa;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mismo acuerdo, la Comisión de Honor y Justicia, por conducto de su presidente acordará: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Se notifique personalmente al probable infractor, y a los integrantes de la Comisión de Honor y Justicia, cuando menos con diez días de anticipación a la audiencia.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Que en el acto de notificación, al probable infractor se le entregue copia cotejada del escrito de solicitud, así como de las constancias y actuaciones que obren en el expediente.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 Se apercibirá al probable infractor que la imputación se tendrá por consentida y aceptada, y por perdido el derecho de ofrecer pruebas, si no concurre a la audiencia por causa injustificada.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Se haga saber al presunto infractor el derecho que tiene para exponer su defensa por sí mismo; o bien, para asistirse de un abogado durante la sustanciación del procedimiento, de un abogado, así como para ofrecer las pruebas que a su derecho convenga.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La comparecencia podrá ser por escrito, la cual en todo caso, tendrá que ser ratificada durante la audiencia por el presunto infractor.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lastRenderedPageBreak/>
        <w:t xml:space="preserve">Los testigos, que no podrán exceder de dos por cada hecho, deberán ser presentados por el oferente, debidamente identificados mediante documento oficial con fotografía reciente. La prueba testimonial se declarará desierta si los testigos no comparecen a la audiencia.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 El día y hora señalados para la celebración de la audiencia a la que se refieren las fracciones II y IV del presente artículo, se procederá conforme a lo siguiente: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El presidente solicitará al Secretario tome lista de asistentes, para verificar el quórum para sesionar.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   b) En caso de no haber comparecido el presunto infractor, verificándose su legal emplazamiento, de oficio se hará efectivo el apercibimiento a que se refieren las fracciones II y IV del presente artículo, y seguirá el procedimiento en rebeldía.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Concluida la exposición del probable infractor, la Comisión de Honor y Justicia resolverá cuáles pruebas  son admitidas, o desechadas por no tener relación con los hechos, </w:t>
      </w:r>
      <w:r w:rsidRPr="00DF50BE">
        <w:rPr>
          <w:rFonts w:ascii="Arial Narrow" w:eastAsia="Calibri" w:hAnsi="Arial Narrow" w:cs="Arial"/>
          <w:i/>
          <w:sz w:val="24"/>
          <w:szCs w:val="24"/>
        </w:rPr>
        <w:lastRenderedPageBreak/>
        <w:t xml:space="preserve">ser inconducentes o contrarias a derecho; haciendo constar su determinación en el acuerdo respectivo, que firmarán los asistentes para efectos de notificación.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Al presunto responsable declarado en rebeldía, se le notificará por estrados, surtiendo desde ese momento sus efectos.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definitiva que dicte la Comisión de Honor y Justicia deberá estar debidamente fundada y motivada; contener una relación sucinta de los hechos; así como una valoración de todas y cada una de las pruebas aportadas, y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VIII. La valoración de las pruebas se hará de acuerdo con las siguientes reglas: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El valor de la pericial y testimonial, así como el de las demás pruebas, quedará a la prudente y razonada apreciación de la Comisión de Honor y Justicia.” </w:t>
      </w: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p>
    <w:p w:rsidR="00004FC0" w:rsidRPr="00DF50BE" w:rsidRDefault="00004FC0" w:rsidP="00004FC0">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[Énfasis añadido]</w:t>
      </w:r>
    </w:p>
    <w:p w:rsidR="00004FC0" w:rsidRPr="00DF50BE" w:rsidRDefault="00004FC0" w:rsidP="00004FC0">
      <w:pPr>
        <w:autoSpaceDE w:val="0"/>
        <w:autoSpaceDN w:val="0"/>
        <w:adjustRightInd w:val="0"/>
        <w:spacing w:after="0" w:line="360" w:lineRule="auto"/>
        <w:ind w:firstLine="708"/>
        <w:jc w:val="both"/>
        <w:rPr>
          <w:rFonts w:ascii="Arial Narrow" w:eastAsia="Calibri" w:hAnsi="Arial Narrow" w:cs="Arial"/>
          <w:sz w:val="28"/>
          <w:szCs w:val="28"/>
        </w:rPr>
      </w:pPr>
    </w:p>
    <w:p w:rsidR="00004FC0" w:rsidRPr="00A1306E" w:rsidRDefault="00004FC0" w:rsidP="00004FC0">
      <w:pPr>
        <w:autoSpaceDE w:val="0"/>
        <w:autoSpaceDN w:val="0"/>
        <w:adjustRightInd w:val="0"/>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 xml:space="preserve">De lo antes transcrito, se desprende que el cese o separación es una sanción que compete únicamente a la Comisión de Honor y Justicia y que dicha Comisión,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 así como de imponer las sanciones correspondientes, previo desahogo del </w:t>
      </w:r>
      <w:r w:rsidRPr="00A1306E">
        <w:rPr>
          <w:rFonts w:ascii="Arial" w:eastAsia="Calibri" w:hAnsi="Arial" w:cs="Arial"/>
          <w:sz w:val="26"/>
          <w:szCs w:val="26"/>
        </w:rPr>
        <w:lastRenderedPageBreak/>
        <w:t xml:space="preserve">procedimiento respectivo, en el que se deberá respetar en todo momento las garantías de, audiencia, debido proceso, y principio de presunción de inocencia. </w:t>
      </w:r>
    </w:p>
    <w:p w:rsidR="00004FC0" w:rsidRPr="00A1306E" w:rsidRDefault="00004FC0" w:rsidP="00004FC0">
      <w:pPr>
        <w:spacing w:after="0" w:line="360" w:lineRule="auto"/>
        <w:ind w:firstLine="708"/>
        <w:jc w:val="both"/>
        <w:rPr>
          <w:rFonts w:ascii="Arial" w:eastAsia="Calibri" w:hAnsi="Arial" w:cs="Arial"/>
          <w:sz w:val="26"/>
          <w:szCs w:val="26"/>
        </w:rPr>
      </w:pPr>
    </w:p>
    <w:p w:rsidR="00004FC0" w:rsidRPr="00A1306E" w:rsidRDefault="00004FC0" w:rsidP="00004FC0">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este orden de ideas, debe tenerse por acreditado en este juicio a favor de</w:t>
      </w:r>
      <w:r>
        <w:rPr>
          <w:rFonts w:ascii="Arial" w:eastAsia="Calibri" w:hAnsi="Arial" w:cs="Arial"/>
          <w:sz w:val="26"/>
          <w:szCs w:val="26"/>
        </w:rPr>
        <w:t xml:space="preserve">l </w:t>
      </w:r>
      <w:r w:rsidRPr="00A1306E">
        <w:rPr>
          <w:rFonts w:ascii="Arial" w:eastAsia="Calibri" w:hAnsi="Arial" w:cs="Arial"/>
          <w:sz w:val="26"/>
          <w:szCs w:val="26"/>
        </w:rPr>
        <w:t xml:space="preserve">accionante la existencia de la baja o separación injustificada en el cargo que desempeñaba como </w:t>
      </w:r>
      <w:r w:rsidR="00C05439">
        <w:rPr>
          <w:rFonts w:ascii="Arial" w:eastAsia="Calibri" w:hAnsi="Arial" w:cs="Arial"/>
          <w:sz w:val="26"/>
          <w:szCs w:val="26"/>
        </w:rPr>
        <w:t>Policía</w:t>
      </w:r>
      <w:r>
        <w:rPr>
          <w:rFonts w:ascii="Arial" w:eastAsia="Calibri" w:hAnsi="Arial" w:cs="Arial"/>
          <w:sz w:val="26"/>
          <w:szCs w:val="26"/>
        </w:rPr>
        <w:t xml:space="preserve">, adscrito a la Dirección </w:t>
      </w:r>
      <w:r w:rsidR="00C05439">
        <w:rPr>
          <w:rFonts w:ascii="Arial" w:eastAsia="Calibri" w:hAnsi="Arial" w:cs="Arial"/>
          <w:sz w:val="26"/>
          <w:szCs w:val="26"/>
        </w:rPr>
        <w:t>de Fuerzas Municipales, de la Dirección General de Seguridad Pública Municipal de Soledad de Graciano Sánchez, S.L.P.</w:t>
      </w:r>
      <w:r w:rsidRPr="00A1306E">
        <w:rPr>
          <w:rFonts w:ascii="Arial" w:eastAsia="Calibri" w:hAnsi="Arial" w:cs="Arial"/>
          <w:sz w:val="26"/>
          <w:szCs w:val="26"/>
        </w:rPr>
        <w:t xml:space="preserve">, a partir de la fecha en que refiere como baja o cese, que fue el día </w:t>
      </w:r>
      <w:r w:rsidR="00C05439" w:rsidRPr="00C05439">
        <w:rPr>
          <w:rFonts w:ascii="Arial" w:eastAsia="Calibri" w:hAnsi="Arial" w:cs="Arial"/>
          <w:b/>
          <w:sz w:val="26"/>
          <w:szCs w:val="26"/>
        </w:rPr>
        <w:t>catorce de</w:t>
      </w:r>
      <w:r w:rsidRPr="00C12664">
        <w:rPr>
          <w:rFonts w:ascii="Arial" w:eastAsia="Calibri" w:hAnsi="Arial" w:cs="Arial"/>
          <w:b/>
          <w:sz w:val="26"/>
          <w:szCs w:val="26"/>
        </w:rPr>
        <w:t xml:space="preserve"> septiembre de dos mil veintidós</w:t>
      </w:r>
      <w:r w:rsidRPr="00A1306E">
        <w:rPr>
          <w:rFonts w:ascii="Arial" w:eastAsia="Calibri" w:hAnsi="Arial" w:cs="Arial"/>
          <w:sz w:val="26"/>
          <w:szCs w:val="26"/>
        </w:rPr>
        <w:t>, por las razones antes expuestas; lo cual es violatorio a los derechos humanos de audiencia, legalidad, seguridad jurídica y debido proceso, previstos en los artículos 14 y 16 Constitucionales, con base en los cuales, es obligatorio que las autoridades demandadas previamente a la emisión del acto recurrido que implica la privación de derechos de la demandante, le den oportunidad para que exponga lo que considere pertinente en defensa de sus intereses, lo que resulta que ejercite el derecho de ser oída y vencida en juicio, a efecto de que conozca del acto administrativo que le afecta y en su defecto aporte las pruebas que estime pertinentes para defender sus derechos, por lo que al no respetarse esta circunstancia, es obvio que no estuvo en aptitud de defenderse, lo que se traduce en una clara violación en su perjuicio de sus derechos humanos citados, conforme lo dispuesto por los artículos 112, 113, 114, 119 y 126 de la Ley del Sistema de Seguridad Pública del Estado de San Luis Potosí.</w:t>
      </w:r>
    </w:p>
    <w:p w:rsidR="00004FC0" w:rsidRPr="00A1306E" w:rsidRDefault="00004FC0" w:rsidP="00004FC0">
      <w:pPr>
        <w:autoSpaceDE w:val="0"/>
        <w:autoSpaceDN w:val="0"/>
        <w:adjustRightInd w:val="0"/>
        <w:spacing w:after="0" w:line="360" w:lineRule="auto"/>
        <w:ind w:firstLine="708"/>
        <w:jc w:val="both"/>
        <w:rPr>
          <w:rFonts w:ascii="Arial" w:eastAsia="Calibri" w:hAnsi="Arial" w:cs="Arial"/>
          <w:sz w:val="26"/>
          <w:szCs w:val="26"/>
        </w:rPr>
      </w:pPr>
    </w:p>
    <w:p w:rsidR="00004FC0" w:rsidRPr="00A1306E" w:rsidRDefault="00004FC0" w:rsidP="00004FC0">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 xml:space="preserve">En ese contexto resulta ilegal la baja o separación injustificada en el cargo que desempeñaba como Policía </w:t>
      </w:r>
      <w:r w:rsidR="002F4D0F">
        <w:rPr>
          <w:rFonts w:ascii="Arial" w:eastAsia="Calibri" w:hAnsi="Arial" w:cs="Arial"/>
          <w:sz w:val="26"/>
          <w:szCs w:val="26"/>
        </w:rPr>
        <w:t xml:space="preserve">adscrito a la Dirección de Fuerzas Municipales de </w:t>
      </w:r>
      <w:r w:rsidRPr="00A1306E">
        <w:rPr>
          <w:rFonts w:ascii="Arial" w:eastAsia="Calibri" w:hAnsi="Arial" w:cs="Arial"/>
          <w:sz w:val="26"/>
          <w:szCs w:val="26"/>
        </w:rPr>
        <w:t xml:space="preserve">la Dirección de Seguridad Pública del Ayuntamiento de Soledad de Graciano, S.L.P., a partir del día </w:t>
      </w:r>
      <w:r w:rsidR="002F4D0F">
        <w:rPr>
          <w:rFonts w:ascii="Arial" w:eastAsia="Calibri" w:hAnsi="Arial" w:cs="Arial"/>
          <w:sz w:val="26"/>
          <w:szCs w:val="26"/>
        </w:rPr>
        <w:t>catorce de septiembre de dos mil veintidós</w:t>
      </w:r>
      <w:r w:rsidRPr="00A1306E">
        <w:rPr>
          <w:rFonts w:ascii="Arial" w:eastAsia="Calibri" w:hAnsi="Arial" w:cs="Arial"/>
          <w:sz w:val="26"/>
          <w:szCs w:val="26"/>
        </w:rPr>
        <w:t xml:space="preserve">, decretada por las autoridades demandadas. </w:t>
      </w:r>
    </w:p>
    <w:p w:rsidR="00004FC0" w:rsidRPr="00A1306E" w:rsidRDefault="00004FC0" w:rsidP="00004FC0">
      <w:pPr>
        <w:spacing w:after="0" w:line="360" w:lineRule="auto"/>
        <w:ind w:firstLine="708"/>
        <w:jc w:val="both"/>
        <w:rPr>
          <w:rFonts w:ascii="Arial" w:eastAsia="Calibri" w:hAnsi="Arial" w:cs="Arial"/>
          <w:sz w:val="26"/>
          <w:szCs w:val="26"/>
        </w:rPr>
      </w:pPr>
    </w:p>
    <w:p w:rsidR="00004FC0" w:rsidRPr="00A1306E" w:rsidRDefault="00004FC0" w:rsidP="00004FC0">
      <w:pPr>
        <w:spacing w:after="0" w:line="360" w:lineRule="auto"/>
        <w:ind w:firstLine="708"/>
        <w:jc w:val="both"/>
        <w:rPr>
          <w:rFonts w:ascii="Arial" w:eastAsia="Calibri" w:hAnsi="Arial" w:cs="Arial"/>
          <w:sz w:val="26"/>
          <w:szCs w:val="26"/>
          <w:lang w:val="es-ES_tradnl"/>
        </w:rPr>
      </w:pPr>
      <w:r w:rsidRPr="00A1306E">
        <w:rPr>
          <w:rFonts w:ascii="Arial" w:eastAsia="Times New Roman" w:hAnsi="Arial" w:cs="Arial"/>
          <w:bCs/>
          <w:sz w:val="26"/>
          <w:szCs w:val="26"/>
          <w:lang w:val="es-ES" w:eastAsia="es-ES"/>
        </w:rPr>
        <w:t xml:space="preserve">En tal virtud, esta </w:t>
      </w:r>
      <w:r w:rsidRPr="00A1306E">
        <w:rPr>
          <w:rFonts w:ascii="Arial" w:eastAsia="Times New Roman" w:hAnsi="Arial" w:cs="Arial"/>
          <w:b/>
          <w:bCs/>
          <w:sz w:val="26"/>
          <w:szCs w:val="26"/>
          <w:lang w:val="es-ES" w:eastAsia="es-ES"/>
        </w:rPr>
        <w:t>Tercera Sala Unitaria del Tribunal Estatal de Justicia Administrativa,</w:t>
      </w:r>
      <w:r w:rsidRPr="00A1306E">
        <w:rPr>
          <w:rFonts w:ascii="Arial" w:eastAsia="Times New Roman" w:hAnsi="Arial" w:cs="Arial"/>
          <w:bCs/>
          <w:sz w:val="26"/>
          <w:szCs w:val="26"/>
          <w:lang w:val="es-ES" w:eastAsia="es-ES"/>
        </w:rPr>
        <w:t xml:space="preserve"> de conformidad con lo establecido en los numerales 250 </w:t>
      </w:r>
      <w:r w:rsidRPr="00A1306E">
        <w:rPr>
          <w:rFonts w:ascii="Arial" w:eastAsia="Calibri" w:hAnsi="Arial" w:cs="Arial"/>
          <w:sz w:val="26"/>
          <w:szCs w:val="26"/>
        </w:rPr>
        <w:t xml:space="preserve">fracciones I y II, </w:t>
      </w:r>
      <w:r w:rsidRPr="00A1306E">
        <w:rPr>
          <w:rFonts w:ascii="Arial" w:eastAsia="Times New Roman" w:hAnsi="Arial" w:cs="Arial"/>
          <w:bCs/>
          <w:sz w:val="26"/>
          <w:szCs w:val="26"/>
          <w:lang w:val="es-ES" w:eastAsia="es-ES"/>
        </w:rPr>
        <w:t xml:space="preserve"> y 251 del Código Procesal </w:t>
      </w:r>
      <w:r w:rsidRPr="00A1306E">
        <w:rPr>
          <w:rFonts w:ascii="Arial" w:eastAsia="Times New Roman" w:hAnsi="Arial" w:cs="Arial"/>
          <w:bCs/>
          <w:sz w:val="26"/>
          <w:szCs w:val="26"/>
          <w:lang w:val="es-ES" w:eastAsia="es-ES"/>
        </w:rPr>
        <w:lastRenderedPageBreak/>
        <w:t>Administrativo para el Estado de San Luis Potosí, determina que lo procedente es decretar</w:t>
      </w:r>
      <w:r w:rsidRPr="00A1306E">
        <w:rPr>
          <w:rFonts w:ascii="Arial" w:eastAsia="Times New Roman" w:hAnsi="Arial" w:cs="Arial"/>
          <w:b/>
          <w:bCs/>
          <w:sz w:val="26"/>
          <w:szCs w:val="26"/>
          <w:lang w:val="es-ES" w:eastAsia="es-ES"/>
        </w:rPr>
        <w:t xml:space="preserve"> la ILEGALIDAD E INVALIDEZ </w:t>
      </w:r>
      <w:r w:rsidRPr="00A1306E">
        <w:rPr>
          <w:rFonts w:ascii="Arial" w:eastAsia="Times New Roman" w:hAnsi="Arial" w:cs="Arial"/>
          <w:bCs/>
          <w:sz w:val="26"/>
          <w:szCs w:val="26"/>
          <w:lang w:val="es-ES" w:eastAsia="es-ES"/>
        </w:rPr>
        <w:t>del acto impugnado,</w:t>
      </w:r>
      <w:r w:rsidRPr="00A1306E">
        <w:rPr>
          <w:rFonts w:ascii="Arial" w:eastAsia="Calibri" w:hAnsi="Arial" w:cs="Arial"/>
          <w:sz w:val="26"/>
          <w:szCs w:val="26"/>
        </w:rPr>
        <w:t xml:space="preserve"> consistente en: la baja o Separación Injustificada de</w:t>
      </w:r>
      <w:r w:rsidR="002F4D0F">
        <w:rPr>
          <w:rFonts w:ascii="Arial" w:eastAsia="Calibri" w:hAnsi="Arial" w:cs="Arial"/>
          <w:sz w:val="26"/>
          <w:szCs w:val="26"/>
        </w:rPr>
        <w:t>l actor</w:t>
      </w:r>
      <w:r w:rsidRPr="00A1306E">
        <w:rPr>
          <w:rFonts w:ascii="Arial" w:eastAsia="Calibri" w:hAnsi="Arial" w:cs="Arial"/>
          <w:sz w:val="26"/>
          <w:szCs w:val="26"/>
        </w:rPr>
        <w:t xml:space="preserve"> en el cargo que ocupaba como elemento </w:t>
      </w:r>
      <w:r>
        <w:rPr>
          <w:rFonts w:ascii="Arial" w:eastAsia="Calibri" w:hAnsi="Arial" w:cs="Arial"/>
          <w:sz w:val="26"/>
          <w:szCs w:val="26"/>
        </w:rPr>
        <w:t xml:space="preserve">de Policía, adscrito a la Dirección </w:t>
      </w:r>
      <w:r w:rsidR="00290BDD">
        <w:rPr>
          <w:rFonts w:ascii="Arial" w:eastAsia="Calibri" w:hAnsi="Arial" w:cs="Arial"/>
          <w:sz w:val="26"/>
          <w:szCs w:val="26"/>
        </w:rPr>
        <w:t>de Fuerzas Municipales de la Dirección General de Seguridad Pública Municipal de Soledad de Graciano Sánchez, S.L.P.</w:t>
      </w:r>
      <w:r w:rsidRPr="00A1306E">
        <w:rPr>
          <w:rFonts w:ascii="Arial" w:eastAsia="Calibri" w:hAnsi="Arial" w:cs="Arial"/>
          <w:sz w:val="26"/>
          <w:szCs w:val="26"/>
        </w:rPr>
        <w:t>, por las autoridades demandadas;</w:t>
      </w:r>
      <w:r w:rsidRPr="00A1306E">
        <w:rPr>
          <w:rFonts w:ascii="Arial" w:eastAsia="Calibri" w:hAnsi="Arial" w:cs="Arial"/>
          <w:sz w:val="26"/>
          <w:szCs w:val="26"/>
          <w:lang w:val="es-ES_tradnl"/>
        </w:rPr>
        <w:t xml:space="preserve"> y en consecuencia se decreta la </w:t>
      </w:r>
      <w:r w:rsidRPr="00A1306E">
        <w:rPr>
          <w:rFonts w:ascii="Arial" w:eastAsia="Calibri" w:hAnsi="Arial" w:cs="Arial"/>
          <w:b/>
          <w:sz w:val="26"/>
          <w:szCs w:val="26"/>
          <w:lang w:val="es-ES_tradnl"/>
        </w:rPr>
        <w:t xml:space="preserve">NULIDAD </w:t>
      </w:r>
      <w:r>
        <w:rPr>
          <w:rFonts w:ascii="Arial" w:eastAsia="Calibri" w:hAnsi="Arial" w:cs="Arial"/>
          <w:b/>
          <w:sz w:val="26"/>
          <w:szCs w:val="26"/>
          <w:lang w:val="es-ES_tradnl"/>
        </w:rPr>
        <w:t>LISA y LLANA</w:t>
      </w:r>
      <w:r w:rsidRPr="00A1306E">
        <w:rPr>
          <w:rFonts w:ascii="Arial" w:eastAsia="Calibri" w:hAnsi="Arial" w:cs="Arial"/>
          <w:b/>
          <w:sz w:val="26"/>
          <w:szCs w:val="26"/>
          <w:lang w:val="es-ES_tradnl"/>
        </w:rPr>
        <w:t xml:space="preserve"> </w:t>
      </w:r>
      <w:r w:rsidRPr="00A1306E">
        <w:rPr>
          <w:rFonts w:ascii="Arial" w:eastAsia="Calibri" w:hAnsi="Arial" w:cs="Arial"/>
          <w:sz w:val="26"/>
          <w:szCs w:val="26"/>
          <w:lang w:val="es-ES_tradnl"/>
        </w:rPr>
        <w:t>de la misma, al ser afectada por la violación a los</w:t>
      </w:r>
      <w:r w:rsidRPr="00A1306E">
        <w:rPr>
          <w:rFonts w:ascii="Arial" w:eastAsia="Calibri" w:hAnsi="Arial" w:cs="Arial"/>
          <w:sz w:val="26"/>
          <w:szCs w:val="26"/>
        </w:rPr>
        <w:t xml:space="preserve"> </w:t>
      </w:r>
      <w:r w:rsidRPr="00A1306E">
        <w:rPr>
          <w:rFonts w:ascii="Arial" w:eastAsia="Calibri" w:hAnsi="Arial" w:cs="Arial"/>
          <w:sz w:val="26"/>
          <w:szCs w:val="26"/>
          <w:lang w:val="es-ES_tradnl"/>
        </w:rPr>
        <w:t xml:space="preserve">derechos humanos de audiencia, legalidad, seguridad jurídica y debido proceso, previstos en los artículos 14 y 16 Constitucionales; </w:t>
      </w:r>
      <w:r w:rsidRPr="00A1306E">
        <w:rPr>
          <w:rFonts w:ascii="Arial" w:eastAsia="Times New Roman" w:hAnsi="Arial" w:cs="Arial"/>
          <w:sz w:val="26"/>
          <w:szCs w:val="26"/>
          <w:lang w:eastAsia="es-MX"/>
        </w:rPr>
        <w:t xml:space="preserve">por lo que se le deja sin efecto legal alguno, </w:t>
      </w:r>
      <w:r w:rsidRPr="00A1306E">
        <w:rPr>
          <w:rFonts w:ascii="Arial" w:eastAsia="Calibri" w:hAnsi="Arial" w:cs="Arial"/>
          <w:sz w:val="26"/>
          <w:szCs w:val="26"/>
          <w:lang w:val="es-ES_tradnl"/>
        </w:rPr>
        <w:t>debiendo las autoridades demandadas restituir al</w:t>
      </w:r>
      <w:r w:rsidR="00290BDD">
        <w:rPr>
          <w:rFonts w:ascii="Arial" w:eastAsia="Calibri" w:hAnsi="Arial" w:cs="Arial"/>
          <w:sz w:val="26"/>
          <w:szCs w:val="26"/>
          <w:lang w:val="es-ES_tradnl"/>
        </w:rPr>
        <w:t xml:space="preserve"> </w:t>
      </w:r>
      <w:r w:rsidRPr="00A1306E">
        <w:rPr>
          <w:rFonts w:ascii="Arial" w:eastAsia="Calibri" w:hAnsi="Arial" w:cs="Arial"/>
          <w:sz w:val="26"/>
          <w:szCs w:val="26"/>
          <w:lang w:val="es-ES_tradnl"/>
        </w:rPr>
        <w:t xml:space="preserve">actor en el goce de los derechos que le hubieren sido indebidamente afectados. </w:t>
      </w:r>
    </w:p>
    <w:p w:rsidR="00004FC0" w:rsidRDefault="00004FC0" w:rsidP="00004FC0">
      <w:pPr>
        <w:spacing w:after="0" w:line="360" w:lineRule="auto"/>
        <w:ind w:firstLine="709"/>
        <w:jc w:val="both"/>
        <w:rPr>
          <w:rFonts w:ascii="Arial" w:eastAsia="Calibri" w:hAnsi="Arial" w:cs="Arial"/>
          <w:sz w:val="26"/>
          <w:szCs w:val="26"/>
          <w:lang w:val="es-ES_tradnl"/>
        </w:rPr>
      </w:pPr>
    </w:p>
    <w:p w:rsidR="00004FC0" w:rsidRPr="002D66E6" w:rsidRDefault="00004FC0" w:rsidP="00004FC0">
      <w:pPr>
        <w:spacing w:after="0" w:line="360" w:lineRule="auto"/>
        <w:ind w:firstLine="708"/>
        <w:jc w:val="both"/>
        <w:rPr>
          <w:rFonts w:ascii="Arial" w:eastAsia="Calibri" w:hAnsi="Arial" w:cs="Arial"/>
          <w:sz w:val="26"/>
          <w:szCs w:val="26"/>
        </w:rPr>
      </w:pPr>
      <w:r w:rsidRPr="002D66E6">
        <w:rPr>
          <w:rFonts w:ascii="Arial" w:eastAsia="Calibri" w:hAnsi="Arial" w:cs="Arial"/>
          <w:b/>
          <w:sz w:val="26"/>
          <w:szCs w:val="26"/>
        </w:rPr>
        <w:t>SÉPTIMO. -</w:t>
      </w:r>
      <w:r w:rsidRPr="002D66E6">
        <w:rPr>
          <w:rFonts w:ascii="Arial" w:eastAsia="Calibri" w:hAnsi="Arial" w:cs="Arial"/>
          <w:sz w:val="26"/>
          <w:szCs w:val="26"/>
        </w:rPr>
        <w:t xml:space="preserve"> En este orden de ideas, el artículo 252 del Código Procesal Administrativo para el Estado de San Luis Potosí, establece: </w:t>
      </w:r>
    </w:p>
    <w:p w:rsidR="00004FC0" w:rsidRPr="002D66E6" w:rsidRDefault="00004FC0" w:rsidP="00004FC0">
      <w:pPr>
        <w:spacing w:after="0" w:line="360" w:lineRule="auto"/>
        <w:ind w:firstLine="708"/>
        <w:jc w:val="both"/>
        <w:rPr>
          <w:rFonts w:ascii="Arial" w:eastAsia="Calibri" w:hAnsi="Arial" w:cs="Arial"/>
          <w:sz w:val="26"/>
          <w:szCs w:val="26"/>
        </w:rPr>
      </w:pPr>
    </w:p>
    <w:p w:rsidR="00004FC0" w:rsidRPr="00943146" w:rsidRDefault="00004FC0" w:rsidP="00004FC0">
      <w:pPr>
        <w:autoSpaceDE w:val="0"/>
        <w:autoSpaceDN w:val="0"/>
        <w:adjustRightInd w:val="0"/>
        <w:spacing w:after="0"/>
        <w:ind w:left="709"/>
        <w:jc w:val="both"/>
        <w:rPr>
          <w:rFonts w:ascii="Arial" w:eastAsia="Calibri" w:hAnsi="Arial" w:cs="Arial"/>
          <w:i/>
        </w:rPr>
      </w:pPr>
      <w:r w:rsidRPr="00943146">
        <w:rPr>
          <w:rFonts w:ascii="Arial" w:eastAsia="Times New Roman" w:hAnsi="Arial" w:cs="Arial"/>
          <w:iCs/>
          <w:color w:val="000000"/>
          <w:lang w:val="es-ES" w:eastAsia="es-MX"/>
        </w:rPr>
        <w:t xml:space="preserve"> </w:t>
      </w:r>
      <w:r w:rsidRPr="00943146">
        <w:rPr>
          <w:rFonts w:ascii="Arial" w:eastAsia="Calibri" w:hAnsi="Arial" w:cs="Arial"/>
          <w:b/>
          <w:i/>
        </w:rPr>
        <w:t>"Artículo 252</w:t>
      </w:r>
      <w:r w:rsidRPr="00943146">
        <w:rPr>
          <w:rFonts w:ascii="Arial" w:eastAsia="Calibri" w:hAnsi="Arial" w:cs="Arial"/>
          <w:i/>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p>
    <w:p w:rsidR="00290BDD" w:rsidRDefault="00290BDD" w:rsidP="00004FC0">
      <w:pPr>
        <w:spacing w:after="0" w:line="360" w:lineRule="auto"/>
        <w:ind w:firstLine="708"/>
        <w:jc w:val="both"/>
        <w:rPr>
          <w:rFonts w:ascii="Arial" w:eastAsia="Calibri" w:hAnsi="Arial" w:cs="Arial"/>
          <w:sz w:val="26"/>
          <w:szCs w:val="26"/>
        </w:rPr>
      </w:pPr>
    </w:p>
    <w:p w:rsidR="00004FC0" w:rsidRPr="00943146" w:rsidRDefault="00004FC0" w:rsidP="00004FC0">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Por consiguiente, atendiendo al dispositivo</w:t>
      </w:r>
      <w:r w:rsidRPr="00943146">
        <w:rPr>
          <w:rFonts w:ascii="Arial" w:eastAsia="Calibri" w:hAnsi="Arial" w:cs="Arial"/>
          <w:color w:val="000000"/>
          <w:sz w:val="26"/>
          <w:szCs w:val="26"/>
        </w:rPr>
        <w:t xml:space="preserve"> 123 apartado B fracción XIII de la Constitución Política de los Estados Unidos Mexicanos</w:t>
      </w:r>
      <w:r w:rsidRPr="00943146">
        <w:rPr>
          <w:rFonts w:ascii="Arial" w:eastAsia="Calibri" w:hAnsi="Arial" w:cs="Arial"/>
          <w:sz w:val="26"/>
          <w:szCs w:val="26"/>
        </w:rPr>
        <w:t>, lo procedente es que las autoridades demandadas restituyan a al aparte actora  los derechos que le fueron indebidamente privados, mediante la ilegal baja decretada, cuya ilegalidad y nulidad se ha determinado, a fin de que proceda al pago de la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w:t>
      </w:r>
      <w:r w:rsidRPr="00943146">
        <w:rPr>
          <w:rFonts w:ascii="Arial" w:eastAsia="Calibri" w:hAnsi="Arial" w:cs="Arial"/>
          <w:b/>
          <w:sz w:val="26"/>
          <w:szCs w:val="26"/>
        </w:rPr>
        <w:t>, hasta por un periodo máximo de seis meses,</w:t>
      </w:r>
      <w:r w:rsidRPr="00943146">
        <w:rPr>
          <w:rFonts w:ascii="Arial" w:eastAsia="Calibri" w:hAnsi="Arial" w:cs="Arial"/>
          <w:sz w:val="26"/>
          <w:szCs w:val="26"/>
        </w:rPr>
        <w:t xml:space="preserve"> lo que deberá hacerse conforme a las leyes especiales administrativas bajo las cuales se rige su </w:t>
      </w:r>
      <w:r w:rsidRPr="00943146">
        <w:rPr>
          <w:rFonts w:ascii="Arial" w:eastAsia="Calibri" w:hAnsi="Arial" w:cs="Arial"/>
          <w:sz w:val="26"/>
          <w:szCs w:val="26"/>
        </w:rPr>
        <w:lastRenderedPageBreak/>
        <w:t>relación con la demandada, dado que tal determinación se ha dejado sin efectos.</w:t>
      </w:r>
    </w:p>
    <w:p w:rsidR="00004FC0" w:rsidRPr="00943146" w:rsidRDefault="00004FC0" w:rsidP="00004FC0">
      <w:pPr>
        <w:spacing w:after="0" w:line="360" w:lineRule="auto"/>
        <w:ind w:firstLine="708"/>
        <w:jc w:val="both"/>
        <w:rPr>
          <w:rFonts w:ascii="Arial" w:eastAsia="Calibri" w:hAnsi="Arial" w:cs="Arial"/>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Ahora bien, conforme al artículo 123, apartado B, fracción XIII, segundo párrafo, de la Constitución Política de los Estados Unidos Mexicanos, el Constituyente otorgó a favor de los miembros de las instituciones policiales de la Federación, el Distrito Federal (ahora Ciudad de México), los Estados y los Municipios, el derecho al pago de una indemnización en el caso de que, a través de una resolución emitida por autoridad jurisdiccional competente, se resuelva que su separación o cualquier vía de terminación del servicio de la que fue objeto resulta injustificada, lo anterior para no dejarla en estado de indefensión al existir una prohibición absoluta de reincorporarla en el servicio.</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De la propia normatividad constitucional, se advierte la obligación del legislador secundario de fijar, dentro de las leyes especiales que se emitan a nivel federal, estatal, municipal o en el Distrito Federal (ahora Ciudad de México), los montos o mecanismos de delimitación de aquellos que, por concepto de indemnización, corresponden a dichos servidores públicos ante una terminación injustificada del servicio.</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Asimismo, el Poder Legislativo del Estado en los numerales 51 y 54 de la Ley de Sistema de Seguridad Pública, estableció lo siguiente:</w:t>
      </w:r>
    </w:p>
    <w:p w:rsidR="00004FC0" w:rsidRPr="00943146" w:rsidRDefault="00004FC0" w:rsidP="00004FC0">
      <w:pPr>
        <w:autoSpaceDE w:val="0"/>
        <w:autoSpaceDN w:val="0"/>
        <w:adjustRightInd w:val="0"/>
        <w:spacing w:after="0"/>
        <w:ind w:left="709"/>
        <w:jc w:val="both"/>
        <w:rPr>
          <w:rFonts w:ascii="Arial" w:eastAsia="Times New Roman" w:hAnsi="Arial" w:cs="Arial"/>
          <w:iCs/>
          <w:color w:val="000000"/>
          <w:sz w:val="21"/>
          <w:szCs w:val="21"/>
          <w:lang w:val="es-ES" w:eastAsia="es-MX"/>
        </w:rPr>
      </w:pP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Times New Roman" w:hAnsi="Arial" w:cs="Arial"/>
          <w:iCs/>
          <w:color w:val="000000"/>
          <w:sz w:val="21"/>
          <w:szCs w:val="21"/>
          <w:lang w:val="es-ES" w:eastAsia="es-MX"/>
        </w:rPr>
        <w:t xml:space="preserve"> </w:t>
      </w:r>
      <w:r w:rsidRPr="00943146">
        <w:rPr>
          <w:rFonts w:ascii="Arial" w:eastAsia="Calibri" w:hAnsi="Arial" w:cs="Arial"/>
          <w:b/>
          <w:bCs/>
          <w:i/>
          <w:color w:val="000000"/>
          <w:sz w:val="21"/>
          <w:szCs w:val="21"/>
        </w:rPr>
        <w:t>“ARTICULO 51.</w:t>
      </w:r>
      <w:r w:rsidRPr="00943146">
        <w:rPr>
          <w:rFonts w:ascii="Arial" w:eastAsia="Calibri" w:hAnsi="Arial" w:cs="Arial"/>
          <w:bCs/>
          <w:i/>
          <w:color w:val="000000"/>
          <w:sz w:val="21"/>
          <w:szCs w:val="21"/>
        </w:rPr>
        <w:t xml:space="preserve"> Los integrantes de las instituciones de seguridad pública en el Estado y los ayuntamientos, por la naturaleza de su función, y atendiendo a lo establecido en lo conducente por los artículos, 123 Apartado B fracción XIII de la Constitución Política de los Estados Unidos Mexicanos; y 89 de la Constitución Política del Estado Libre y Soberano de San Luis Potosí, tendrán el carácter de agentes depositarios de autoridad. Por tanto, su relación con la administración pública será de carácter administrativo, y se regirá por lo establecido en esta Ley y demás ordenamientos aplicables.</w:t>
      </w: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Cs/>
          <w:i/>
          <w:color w:val="000000"/>
          <w:sz w:val="21"/>
          <w:szCs w:val="21"/>
        </w:rPr>
        <w:t xml:space="preserve">“Las instituciones de seguridad pública deberán garantizar para su personal, </w:t>
      </w:r>
      <w:r w:rsidRPr="00943146">
        <w:rPr>
          <w:rFonts w:ascii="Arial" w:eastAsia="Calibri" w:hAnsi="Arial" w:cs="Arial"/>
          <w:b/>
          <w:bCs/>
          <w:i/>
          <w:color w:val="000000"/>
          <w:sz w:val="21"/>
          <w:szCs w:val="21"/>
        </w:rPr>
        <w:t>al menos las prestaciones previstas para los trabajadores</w:t>
      </w:r>
      <w:r w:rsidRPr="00943146">
        <w:rPr>
          <w:rFonts w:ascii="Arial" w:eastAsia="Calibri" w:hAnsi="Arial" w:cs="Arial"/>
          <w:bCs/>
          <w:i/>
          <w:color w:val="000000"/>
          <w:sz w:val="21"/>
          <w:szCs w:val="21"/>
        </w:rPr>
        <w:t xml:space="preserve"> al servicio del Estado y municipios; </w:t>
      </w:r>
      <w:r w:rsidRPr="00943146">
        <w:rPr>
          <w:rFonts w:ascii="Arial" w:eastAsia="Calibri" w:hAnsi="Arial" w:cs="Arial"/>
          <w:b/>
          <w:bCs/>
          <w:i/>
          <w:color w:val="000000"/>
          <w:sz w:val="21"/>
          <w:szCs w:val="21"/>
        </w:rPr>
        <w:t>generarán, de acuerdo a sus necesidades y con cargo a sus presupuestos, una normatividad de régimen complementario de seguridad social y reconocimientos,</w:t>
      </w:r>
      <w:r w:rsidRPr="00943146">
        <w:rPr>
          <w:rFonts w:ascii="Arial" w:eastAsia="Calibri" w:hAnsi="Arial" w:cs="Arial"/>
          <w:bCs/>
          <w:i/>
          <w:color w:val="000000"/>
          <w:sz w:val="21"/>
          <w:szCs w:val="21"/>
        </w:rPr>
        <w:t xml:space="preserve"> de acuerdo a lo previsto en el artículo 123 apartado B fracción XIII párrafo segundo, de la Constitución Política de los Estados Unidos Mexicanos.” </w:t>
      </w: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
          <w:bCs/>
          <w:i/>
          <w:color w:val="000000"/>
          <w:sz w:val="21"/>
          <w:szCs w:val="21"/>
        </w:rPr>
        <w:t>“ARTÍCULO 54</w:t>
      </w:r>
      <w:r w:rsidRPr="00943146">
        <w:rPr>
          <w:rFonts w:ascii="Arial" w:eastAsia="Calibri" w:hAnsi="Arial" w:cs="Arial"/>
          <w:bCs/>
          <w:i/>
          <w:color w:val="000000"/>
          <w:sz w:val="21"/>
          <w:szCs w:val="21"/>
        </w:rPr>
        <w:t xml:space="preserve">. Los integrantes de las instituciones de seguridad pública podrán ser separados de su cargo si no cumplen con los requisitos de las leyes </w:t>
      </w:r>
      <w:r w:rsidRPr="00943146">
        <w:rPr>
          <w:rFonts w:ascii="Arial" w:eastAsia="Calibri" w:hAnsi="Arial" w:cs="Arial"/>
          <w:bCs/>
          <w:i/>
          <w:color w:val="000000"/>
          <w:sz w:val="21"/>
          <w:szCs w:val="21"/>
        </w:rPr>
        <w:lastRenderedPageBreak/>
        <w:t xml:space="preserve">vigentes, que en el momento de la separación señalen para permanecer en dichas Instituciones, sin que en ningún caso proceda su reinstalación al servicio. </w:t>
      </w:r>
    </w:p>
    <w:p w:rsidR="00004FC0" w:rsidRPr="00943146" w:rsidRDefault="00004FC0" w:rsidP="00004FC0">
      <w:pPr>
        <w:autoSpaceDE w:val="0"/>
        <w:autoSpaceDN w:val="0"/>
        <w:adjustRightInd w:val="0"/>
        <w:spacing w:after="0"/>
        <w:ind w:left="709"/>
        <w:jc w:val="both"/>
        <w:rPr>
          <w:rFonts w:ascii="Arial" w:eastAsia="Calibri" w:hAnsi="Arial" w:cs="Arial"/>
          <w:bCs/>
          <w:i/>
          <w:color w:val="000000"/>
          <w:sz w:val="21"/>
          <w:szCs w:val="21"/>
        </w:rPr>
      </w:pPr>
    </w:p>
    <w:p w:rsidR="00004FC0" w:rsidRPr="00943146" w:rsidRDefault="00004FC0" w:rsidP="00004FC0">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 xml:space="preserve"> (REFORMADO, P.O. 23 DE FEBRERO DE 2023) 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w:t>
      </w:r>
      <w:r w:rsidRPr="00943146">
        <w:rPr>
          <w:rFonts w:ascii="Arial" w:eastAsia="Calibri" w:hAnsi="Arial" w:cs="Arial"/>
          <w:b/>
          <w:bCs/>
          <w:i/>
          <w:color w:val="000000"/>
          <w:sz w:val="21"/>
          <w:szCs w:val="21"/>
          <w:u w:val="single"/>
        </w:rPr>
        <w:t>o cualquier otro concepto que percibía el servidor público por la prestación de su servicio, hasta por un periodo máximo de seis meses. “</w:t>
      </w:r>
    </w:p>
    <w:p w:rsidR="00004FC0" w:rsidRPr="00943146" w:rsidRDefault="00004FC0" w:rsidP="00004FC0">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w:t>
      </w:r>
      <w:proofErr w:type="gramStart"/>
      <w:r w:rsidRPr="00943146">
        <w:rPr>
          <w:rFonts w:ascii="Arial" w:eastAsia="Calibri" w:hAnsi="Arial" w:cs="Arial"/>
          <w:bCs/>
          <w:i/>
          <w:color w:val="000000"/>
          <w:sz w:val="21"/>
          <w:szCs w:val="21"/>
        </w:rPr>
        <w:t>lo</w:t>
      </w:r>
      <w:proofErr w:type="gramEnd"/>
      <w:r w:rsidRPr="00943146">
        <w:rPr>
          <w:rFonts w:ascii="Arial" w:eastAsia="Calibri" w:hAnsi="Arial" w:cs="Arial"/>
          <w:bCs/>
          <w:i/>
          <w:color w:val="000000"/>
          <w:sz w:val="21"/>
          <w:szCs w:val="21"/>
        </w:rPr>
        <w:t xml:space="preserve"> resaltado es nuestro)</w:t>
      </w:r>
    </w:p>
    <w:p w:rsidR="00004FC0" w:rsidRPr="00943146" w:rsidRDefault="00004FC0" w:rsidP="00004FC0">
      <w:pPr>
        <w:autoSpaceDE w:val="0"/>
        <w:autoSpaceDN w:val="0"/>
        <w:adjustRightInd w:val="0"/>
        <w:spacing w:after="0"/>
        <w:ind w:left="709"/>
        <w:jc w:val="both"/>
        <w:rPr>
          <w:rFonts w:ascii="Arial" w:eastAsia="Calibri" w:hAnsi="Arial" w:cs="Arial"/>
          <w:color w:val="000000"/>
          <w:sz w:val="24"/>
          <w:szCs w:val="24"/>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color w:val="000000"/>
          <w:sz w:val="26"/>
          <w:szCs w:val="26"/>
        </w:rPr>
        <w:t>De acuerdo con los numerales transcritos, se establece que las instituciones de seguridad pública deberán garantizar para su personal, al menos las prestaciones previstas para los trabajadores al servicio del Estado y Municipios; y que, tendrán derecho</w:t>
      </w:r>
      <w:r w:rsidRPr="00943146">
        <w:rPr>
          <w:rFonts w:ascii="Arial" w:eastAsia="Calibri" w:hAnsi="Arial" w:cs="Arial"/>
          <w:sz w:val="26"/>
          <w:szCs w:val="26"/>
          <w:lang w:val="es-ES"/>
        </w:rPr>
        <w:t xml:space="preserve"> </w:t>
      </w:r>
      <w:r w:rsidRPr="00943146">
        <w:rPr>
          <w:rFonts w:ascii="Arial" w:eastAsia="Calibri" w:hAnsi="Arial" w:cs="Arial"/>
          <w:color w:val="000000"/>
          <w:sz w:val="26"/>
          <w:szCs w:val="26"/>
        </w:rPr>
        <w:t xml:space="preserve">a una indemnización </w:t>
      </w:r>
      <w:r w:rsidRPr="00943146">
        <w:rPr>
          <w:rFonts w:ascii="Arial" w:eastAsia="Calibri" w:hAnsi="Arial" w:cs="Arial"/>
          <w:bCs/>
          <w:color w:val="000000"/>
          <w:sz w:val="26"/>
          <w:szCs w:val="26"/>
        </w:rPr>
        <w:t xml:space="preserve">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w:t>
      </w:r>
      <w:r w:rsidRPr="00943146">
        <w:rPr>
          <w:rFonts w:ascii="Arial" w:eastAsia="Calibri" w:hAnsi="Arial" w:cs="Arial"/>
          <w:b/>
          <w:bCs/>
          <w:color w:val="000000"/>
          <w:sz w:val="26"/>
          <w:szCs w:val="26"/>
        </w:rPr>
        <w:t>por la prestación de su servicio, hasta por un periodo máximo de seis meses</w:t>
      </w:r>
      <w:r w:rsidRPr="00943146">
        <w:rPr>
          <w:rFonts w:ascii="Arial" w:eastAsia="Calibri" w:hAnsi="Arial" w:cs="Arial"/>
          <w:bCs/>
          <w:color w:val="000000"/>
          <w:sz w:val="26"/>
          <w:szCs w:val="26"/>
        </w:rPr>
        <w:t xml:space="preserve">.  </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i/>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También se advierte, la obligación para las instituciones de seguridad pública de generar, conforme a sus necesidades y con cargo a sus presupuestos, una normatividad de régimen complementario de seguridad social y reconocimientos, de acuerdo a lo previsto en el artículo 123 apartado B fracción XIII párrafo segundo, de la Ley Suprema.</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i/>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 xml:space="preserve">Asimismo, se reconoce a favor del personal de las instituciones de seguridad pública, que éstas les garanticen al menos las prestaciones previstas para los trabajadores al servicio del Estado y municipios; coetáneo del derecho de exigir al Estado el pago de esas prestaciones, cuyo respeto no puede considerarse postergado o sujeto a la condición suspensiva de que la propia autoridad administrativa </w:t>
      </w:r>
      <w:r w:rsidRPr="00943146">
        <w:rPr>
          <w:rFonts w:ascii="Arial" w:eastAsia="Calibri" w:hAnsi="Arial" w:cs="Arial"/>
          <w:color w:val="000000"/>
          <w:sz w:val="26"/>
          <w:szCs w:val="26"/>
        </w:rPr>
        <w:lastRenderedPageBreak/>
        <w:t>emita la normatividad correspondiente que reglamente las hipótesis en las que operarán los derechos respectivos, puesto que, en principio, ante la vigencia de la disposición legal relativa, la protección del derecho garantizado es inmediata, ya que, en tal hipótesis, no se requieren medios legales diferentes al existente para que la autoridad cumpla cabalmente y desde luego, con el mandato legal de hacer efectivo el derecho de los miembros de las instituciones de seguridad pública cesados injustificadamente, de que le sean cubiertas al menos las prestaciones previstas para los trabajadores al servicio del Estado y Municipios.</w:t>
      </w:r>
    </w:p>
    <w:p w:rsidR="00004FC0" w:rsidRPr="00943146" w:rsidRDefault="00004FC0" w:rsidP="00004FC0">
      <w:pPr>
        <w:autoSpaceDE w:val="0"/>
        <w:autoSpaceDN w:val="0"/>
        <w:adjustRightInd w:val="0"/>
        <w:spacing w:after="0" w:line="360" w:lineRule="auto"/>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consiguiente, </w:t>
      </w:r>
      <w:r w:rsidRPr="00943146">
        <w:rPr>
          <w:rFonts w:ascii="Arial" w:eastAsia="Calibri" w:hAnsi="Arial" w:cs="Arial"/>
          <w:b/>
          <w:color w:val="000000"/>
          <w:sz w:val="26"/>
          <w:szCs w:val="26"/>
        </w:rPr>
        <w:t>la ausencia de la normatividad</w:t>
      </w:r>
      <w:r w:rsidRPr="00943146">
        <w:rPr>
          <w:rFonts w:ascii="Arial" w:eastAsia="Calibri" w:hAnsi="Arial" w:cs="Arial"/>
          <w:color w:val="000000"/>
          <w:sz w:val="26"/>
          <w:szCs w:val="26"/>
        </w:rPr>
        <w:t xml:space="preserve"> emitida por las propias instituciones de seguridad pública para hacer efectivo ese derecho, </w:t>
      </w:r>
      <w:r w:rsidRPr="00943146">
        <w:rPr>
          <w:rFonts w:ascii="Arial" w:eastAsia="Calibri" w:hAnsi="Arial" w:cs="Arial"/>
          <w:b/>
          <w:color w:val="000000"/>
          <w:sz w:val="26"/>
          <w:szCs w:val="26"/>
        </w:rPr>
        <w:t>no impide su cumplimiento, dado que al concederlo el legislador estatal,</w:t>
      </w:r>
      <w:r w:rsidRPr="00943146">
        <w:rPr>
          <w:rFonts w:ascii="Arial" w:eastAsia="Calibri" w:hAnsi="Arial" w:cs="Arial"/>
          <w:color w:val="000000"/>
          <w:sz w:val="26"/>
          <w:szCs w:val="26"/>
        </w:rPr>
        <w:t xml:space="preserve"> en el citado artículo 51 de la Ley del Sistema de Seguridad Pública, permite exigir su cumplimiento, pues arribar a una postura contraria, sería tanto como desconocer la existencia del mencionado derecho instituido a favor de los miembros de las instituciones de seguridad pública.</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En otras palabras, no es la normatividad que al efecto emitan las instituciones de seguridad pública la que condiciona que se garanticen para su personal, al menos las prestaciones previstas para los trabajadores al servicio del Estado y municipios, sino el propio texto de la legislación de seguridad pública estatal en consulta es lo que permite que esas prestaciones mínimas sean garantizadas.</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004FC0" w:rsidRPr="00943146" w:rsidRDefault="00004FC0" w:rsidP="00004FC0">
      <w:pPr>
        <w:autoSpaceDE w:val="0"/>
        <w:autoSpaceDN w:val="0"/>
        <w:adjustRightInd w:val="0"/>
        <w:spacing w:after="0"/>
        <w:ind w:left="709"/>
        <w:jc w:val="both"/>
        <w:rPr>
          <w:rFonts w:ascii="Arial" w:eastAsia="Times New Roman" w:hAnsi="Arial" w:cs="Arial"/>
          <w:b/>
          <w:bCs/>
          <w:i/>
          <w:color w:val="000000"/>
          <w:lang w:eastAsia="es-MX"/>
        </w:rPr>
      </w:pPr>
    </w:p>
    <w:p w:rsidR="00004FC0" w:rsidRPr="00943146" w:rsidRDefault="00004FC0" w:rsidP="00004FC0">
      <w:pPr>
        <w:autoSpaceDE w:val="0"/>
        <w:autoSpaceDN w:val="0"/>
        <w:adjustRightInd w:val="0"/>
        <w:spacing w:after="0"/>
        <w:ind w:left="709"/>
        <w:jc w:val="both"/>
        <w:rPr>
          <w:rFonts w:ascii="Arial" w:eastAsia="Times New Roman" w:hAnsi="Arial" w:cs="Arial"/>
          <w:i/>
          <w:color w:val="000000"/>
          <w:sz w:val="21"/>
          <w:szCs w:val="21"/>
          <w:lang w:eastAsia="es-MX"/>
        </w:rPr>
      </w:pPr>
      <w:r w:rsidRPr="00943146">
        <w:rPr>
          <w:rFonts w:ascii="Arial" w:eastAsia="Times New Roman" w:hAnsi="Arial" w:cs="Arial"/>
          <w:b/>
          <w:bCs/>
          <w:i/>
          <w:color w:val="000000"/>
          <w:sz w:val="21"/>
          <w:szCs w:val="21"/>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943146">
        <w:rPr>
          <w:rFonts w:ascii="Arial" w:eastAsia="Times New Roman" w:hAnsi="Arial" w:cs="Arial"/>
          <w:b/>
          <w:bCs/>
          <w:i/>
          <w:sz w:val="21"/>
          <w:szCs w:val="21"/>
          <w:lang w:eastAsia="es-MX"/>
        </w:rPr>
        <w:t xml:space="preserve">VEINTE DÍAS POR AÑO </w:t>
      </w:r>
      <w:r w:rsidRPr="00943146">
        <w:rPr>
          <w:rFonts w:ascii="Arial" w:eastAsia="Times New Roman" w:hAnsi="Arial" w:cs="Arial"/>
          <w:b/>
          <w:bCs/>
          <w:i/>
          <w:color w:val="000000"/>
          <w:sz w:val="21"/>
          <w:szCs w:val="21"/>
          <w:lang w:eastAsia="es-MX"/>
        </w:rPr>
        <w:t xml:space="preserve">LABORADO (APLICACIÓN ANALÓGICA DE LA FRACCIÓN XXII DEL APARTADO A DEL ARTÍCULO 123 DE LA CONSTITUCIÓN FEDERAL). </w:t>
      </w:r>
      <w:r w:rsidRPr="00943146">
        <w:rPr>
          <w:rFonts w:ascii="Arial" w:eastAsia="Times New Roman" w:hAnsi="Arial" w:cs="Arial"/>
          <w:i/>
          <w:color w:val="000000"/>
          <w:sz w:val="21"/>
          <w:szCs w:val="21"/>
          <w:lang w:eastAsia="es-MX"/>
        </w:rPr>
        <w:t xml:space="preserve">El </w:t>
      </w:r>
      <w:r w:rsidRPr="00943146">
        <w:rPr>
          <w:rFonts w:ascii="Arial" w:eastAsia="Times New Roman" w:hAnsi="Arial" w:cs="Arial"/>
          <w:i/>
          <w:color w:val="000000"/>
          <w:sz w:val="21"/>
          <w:szCs w:val="21"/>
          <w:lang w:eastAsia="es-MX"/>
        </w:rPr>
        <w:lastRenderedPageBreak/>
        <w:t xml:space="preserve">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i/>
          <w:color w:val="000000"/>
          <w:sz w:val="21"/>
          <w:szCs w:val="21"/>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disposición legal, tres meses de salario y </w:t>
      </w:r>
      <w:r w:rsidRPr="00943146">
        <w:rPr>
          <w:rFonts w:ascii="Arial" w:eastAsia="Times New Roman" w:hAnsi="Arial" w:cs="Arial"/>
          <w:bCs/>
          <w:i/>
          <w:sz w:val="21"/>
          <w:szCs w:val="21"/>
          <w:lang w:eastAsia="es-MX"/>
        </w:rPr>
        <w:t>veinte</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cada </w:t>
      </w:r>
      <w:r w:rsidRPr="00943146">
        <w:rPr>
          <w:rFonts w:ascii="Arial" w:eastAsia="Times New Roman" w:hAnsi="Arial" w:cs="Arial"/>
          <w:bCs/>
          <w:i/>
          <w:sz w:val="21"/>
          <w:szCs w:val="21"/>
          <w:lang w:eastAsia="es-MX"/>
        </w:rPr>
        <w:t xml:space="preserve">año </w:t>
      </w:r>
      <w:r w:rsidRPr="00943146">
        <w:rPr>
          <w:rFonts w:ascii="Arial" w:eastAsia="Times New Roman" w:hAnsi="Arial" w:cs="Arial"/>
          <w:i/>
          <w:sz w:val="21"/>
          <w:szCs w:val="21"/>
          <w:lang w:eastAsia="es-MX"/>
        </w:rPr>
        <w:t xml:space="preserve">laborado, puesto que es el mínimo suficiente para indemnizar al trabajador de los daños y perjuicios que se le provocaron con el despido ilegal.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la reinstalación debe aplicarse,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analogía, la fracción XXII del apartado A citada, en el sentido de que la indemnización que debe cubrir el Estado incluye el pago de tres meses de sueldo, más </w:t>
      </w:r>
      <w:r w:rsidRPr="00943146">
        <w:rPr>
          <w:rFonts w:ascii="Arial" w:eastAsia="Times New Roman" w:hAnsi="Arial" w:cs="Arial"/>
          <w:bCs/>
          <w:i/>
          <w:sz w:val="21"/>
          <w:szCs w:val="21"/>
          <w:lang w:eastAsia="es-MX"/>
        </w:rPr>
        <w:t>veinte 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año</w:t>
      </w:r>
      <w:r w:rsidRPr="00943146">
        <w:rPr>
          <w:rFonts w:ascii="Arial" w:eastAsia="Times New Roman" w:hAnsi="Arial" w:cs="Arial"/>
          <w:i/>
          <w:sz w:val="21"/>
          <w:szCs w:val="21"/>
          <w:lang w:eastAsia="es-MX"/>
        </w:rPr>
        <w:t xml:space="preserve"> efectivo de servicios, salvo que exista una norma específica en el ordenamiento federal o local, según correspond</w:t>
      </w:r>
      <w:r w:rsidRPr="00943146">
        <w:rPr>
          <w:rFonts w:ascii="Arial" w:eastAsia="Times New Roman" w:hAnsi="Arial" w:cs="Arial"/>
          <w:i/>
          <w:color w:val="000000"/>
          <w:sz w:val="21"/>
          <w:szCs w:val="21"/>
          <w:lang w:eastAsia="es-MX"/>
        </w:rPr>
        <w:t>a, que estatuya una indemnización mayor ...”</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4"/>
          <w:szCs w:val="24"/>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las relatadas condiciones, en el caso concreto, a efecto de determinar el monto que corresponde a los servidores públicos sujetos al régimen constitucional de excepción contenido en el artículo 123, apartado B, fracción XIII, segundo párrafo, de la Carta Magna, resulta aplicable como mínimo, el monto establecido deriva por la remisión que hace el artículo 54 de la Ley del Sistema de Seguridad Pública, así como de los parámetros a los que el propio Constituyente refirió al permitir fuese la normatividad secundaria la que los delimitara. En </w:t>
      </w:r>
      <w:r w:rsidRPr="00943146">
        <w:rPr>
          <w:rFonts w:ascii="Arial" w:eastAsia="Calibri" w:hAnsi="Arial" w:cs="Arial"/>
          <w:color w:val="000000"/>
          <w:sz w:val="26"/>
          <w:szCs w:val="26"/>
        </w:rPr>
        <w:lastRenderedPageBreak/>
        <w:t xml:space="preserve">consecuencia, </w:t>
      </w:r>
      <w:r w:rsidRPr="00943146">
        <w:rPr>
          <w:rFonts w:ascii="Arial" w:eastAsia="Calibri" w:hAnsi="Arial" w:cs="Arial"/>
          <w:b/>
          <w:color w:val="000000"/>
          <w:sz w:val="26"/>
          <w:szCs w:val="26"/>
        </w:rPr>
        <w:t>dicha indemnización de tres meses de salario, también engloba el pago de veinte días por cada año de servicio</w:t>
      </w:r>
      <w:r w:rsidRPr="00943146">
        <w:rPr>
          <w:rFonts w:ascii="Arial" w:eastAsia="Calibri" w:hAnsi="Arial" w:cs="Arial"/>
          <w:color w:val="000000"/>
          <w:sz w:val="26"/>
          <w:szCs w:val="26"/>
        </w:rPr>
        <w:t>.</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último, se aclara que con el criterio adoptado, no se contraviene la jurisprudencia 2ª/J. 119/2011, de rubro: </w:t>
      </w:r>
      <w:r w:rsidRPr="00943146">
        <w:rPr>
          <w:rFonts w:ascii="Arial" w:eastAsia="Calibri" w:hAnsi="Arial" w:cs="Arial"/>
          <w:bCs/>
          <w:i/>
          <w:color w:val="000000"/>
          <w:sz w:val="26"/>
          <w:szCs w:val="26"/>
        </w:rPr>
        <w:t>“SEGURIDAD PUBLICA. PARA DETERMINAR LOS CONCEPTOS QUE DEBEN INTEGRAR LA INDEMNIZACIÓN ESTABLECIDA EN EL ARTICULO 123, APARTADO B, FRACCIÓN XIII, DE LA CONSTITUCIÓN POLÍTICA DE LOS ESTADOS UNIDOS MEXICANOS, NO ES APLICABLE, NI AUN SUPLETORIAMENTE, LA LEY FEDERAL DEL TRABAJO.”;</w:t>
      </w:r>
      <w:r w:rsidRPr="00943146">
        <w:rPr>
          <w:rFonts w:ascii="Arial" w:eastAsia="Calibri" w:hAnsi="Arial" w:cs="Arial"/>
          <w:i/>
          <w:color w:val="000000"/>
          <w:sz w:val="26"/>
          <w:szCs w:val="26"/>
        </w:rPr>
        <w:t xml:space="preserve"> </w:t>
      </w:r>
      <w:r w:rsidRPr="00943146">
        <w:rPr>
          <w:rFonts w:ascii="Arial" w:eastAsia="Calibri" w:hAnsi="Arial" w:cs="Arial"/>
          <w:color w:val="000000"/>
          <w:sz w:val="26"/>
          <w:szCs w:val="26"/>
        </w:rPr>
        <w:t>toda vez que de su texto se colige que para determinar los conceptos que deben integrar la indemnización prevista en el citado precepto constitucional ha de estarse a lo dispuesto en la propia Constitución y, en su caso, en las leyes administrativas correspondientes; de ahí que, si como ha quedado de manifiesto, la Ley del Sistema de Seguridad Pública del Estado es la que permite la aplicación de la Ley Burocrática local, es válido acudir a esta última para integrar la indemnización de que se trata.</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consecuencia, </w:t>
      </w:r>
      <w:r w:rsidRPr="00943146">
        <w:rPr>
          <w:rFonts w:ascii="Arial" w:eastAsia="Calibri" w:hAnsi="Arial" w:cs="Arial"/>
          <w:b/>
          <w:color w:val="000000"/>
          <w:sz w:val="26"/>
          <w:szCs w:val="26"/>
        </w:rPr>
        <w:t>se ordena la restitución de la parte actora</w:t>
      </w:r>
      <w:r w:rsidRPr="00943146">
        <w:rPr>
          <w:rFonts w:ascii="Arial" w:eastAsia="Calibri" w:hAnsi="Arial" w:cs="Arial"/>
          <w:color w:val="000000"/>
          <w:sz w:val="26"/>
          <w:szCs w:val="26"/>
        </w:rPr>
        <w:t xml:space="preserve"> en los derechos que le fueron indebidamente privados con el acto impugnado, </w:t>
      </w:r>
      <w:r w:rsidRPr="00943146">
        <w:rPr>
          <w:rFonts w:ascii="Arial" w:eastAsia="Calibri" w:hAnsi="Arial" w:cs="Arial"/>
          <w:b/>
          <w:color w:val="000000"/>
          <w:sz w:val="26"/>
          <w:szCs w:val="26"/>
        </w:rPr>
        <w:t xml:space="preserve">consistente en: </w:t>
      </w:r>
      <w:r w:rsidRPr="00943146">
        <w:rPr>
          <w:rFonts w:ascii="Arial" w:eastAsia="Calibri" w:hAnsi="Arial" w:cs="Arial"/>
          <w:color w:val="000000"/>
          <w:sz w:val="26"/>
          <w:szCs w:val="26"/>
        </w:rPr>
        <w:t xml:space="preserve">el pago de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color w:val="000000"/>
          <w:sz w:val="26"/>
          <w:szCs w:val="26"/>
          <w:u w:val="single"/>
        </w:rPr>
        <w:t>hasta por un periodo máximo de seis meses</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en cumplimiento de esta sentencia</w:t>
      </w:r>
      <w:r w:rsidRPr="00943146">
        <w:rPr>
          <w:rFonts w:ascii="Arial" w:eastAsia="Calibri" w:hAnsi="Arial" w:cs="Arial"/>
          <w:i/>
          <w:iCs/>
          <w:color w:val="000000"/>
          <w:sz w:val="26"/>
          <w:szCs w:val="26"/>
        </w:rPr>
        <w:t xml:space="preserve">, </w:t>
      </w:r>
      <w:r w:rsidRPr="00943146">
        <w:rPr>
          <w:rFonts w:ascii="Arial" w:eastAsia="Calibri" w:hAnsi="Arial" w:cs="Arial"/>
          <w:color w:val="000000"/>
          <w:sz w:val="26"/>
          <w:szCs w:val="26"/>
        </w:rPr>
        <w:t>lo que deberá hacerse conforme a la Constitución, legislación y reglamentos estatales y municipales, y criterios Jurisprudenciales que prevén expresamente el monto por indemnización para estos casos.</w:t>
      </w:r>
    </w:p>
    <w:p w:rsidR="00004FC0" w:rsidRPr="00943146" w:rsidRDefault="00004FC0" w:rsidP="00004FC0">
      <w:pPr>
        <w:autoSpaceDE w:val="0"/>
        <w:autoSpaceDN w:val="0"/>
        <w:adjustRightInd w:val="0"/>
        <w:spacing w:after="0" w:line="360" w:lineRule="auto"/>
        <w:jc w:val="both"/>
        <w:rPr>
          <w:rFonts w:ascii="Arial" w:eastAsia="Calibri" w:hAnsi="Arial" w:cs="Arial"/>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
          <w:color w:val="000000"/>
          <w:sz w:val="26"/>
          <w:szCs w:val="26"/>
        </w:rPr>
      </w:pPr>
      <w:r w:rsidRPr="00943146">
        <w:rPr>
          <w:rFonts w:ascii="Arial" w:eastAsia="Calibri" w:hAnsi="Arial" w:cs="Arial"/>
          <w:color w:val="000000"/>
          <w:sz w:val="26"/>
          <w:szCs w:val="26"/>
        </w:rPr>
        <w:t xml:space="preserve">Por lo que, con fundamento en el artículo 252 del </w:t>
      </w:r>
      <w:r w:rsidRPr="00943146">
        <w:rPr>
          <w:rFonts w:ascii="Arial" w:eastAsia="Times New Roman" w:hAnsi="Arial" w:cs="Arial"/>
          <w:bCs/>
          <w:color w:val="000000"/>
          <w:sz w:val="26"/>
          <w:szCs w:val="26"/>
          <w:lang w:val="es-ES" w:eastAsia="es-ES"/>
        </w:rPr>
        <w:t>Código Procesal Administrativo para el Estado de San Luis Potosí,</w:t>
      </w:r>
      <w:r w:rsidRPr="00943146">
        <w:rPr>
          <w:rFonts w:ascii="Arial" w:eastAsia="Calibri" w:hAnsi="Arial" w:cs="Arial"/>
          <w:color w:val="000000"/>
          <w:sz w:val="26"/>
          <w:szCs w:val="26"/>
        </w:rPr>
        <w:t xml:space="preserve"> concatenados con el precepto 123 apartado B fracción XIII de la </w:t>
      </w:r>
      <w:r w:rsidRPr="00943146">
        <w:rPr>
          <w:rFonts w:ascii="Arial" w:eastAsia="Calibri" w:hAnsi="Arial" w:cs="Arial"/>
          <w:color w:val="000000"/>
          <w:sz w:val="26"/>
          <w:szCs w:val="26"/>
        </w:rPr>
        <w:lastRenderedPageBreak/>
        <w:t xml:space="preserve">Constitución Política de los Estados Unidos Mexicanos, y numerales 51 y 54 de la Ley del Sistema de Seguridad Pública del Estado; </w:t>
      </w:r>
      <w:r w:rsidRPr="00943146">
        <w:rPr>
          <w:rFonts w:ascii="Arial" w:eastAsia="Calibri" w:hAnsi="Arial" w:cs="Arial"/>
          <w:b/>
          <w:color w:val="000000"/>
          <w:sz w:val="26"/>
          <w:szCs w:val="26"/>
        </w:rPr>
        <w:t>la autoridad demandada deberá pagar a la actora lo siguiente:</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b/>
          <w:bCs/>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b/>
          <w:bCs/>
          <w:color w:val="000000"/>
          <w:sz w:val="26"/>
          <w:szCs w:val="26"/>
        </w:rPr>
        <w:t xml:space="preserve">a) </w:t>
      </w:r>
      <w:r w:rsidRPr="00943146">
        <w:rPr>
          <w:rFonts w:ascii="Arial" w:eastAsia="Calibri" w:hAnsi="Arial" w:cs="Arial"/>
          <w:b/>
          <w:color w:val="000000"/>
          <w:sz w:val="26"/>
          <w:szCs w:val="26"/>
        </w:rPr>
        <w:t xml:space="preserve">La </w:t>
      </w:r>
      <w:r w:rsidRPr="00943146">
        <w:rPr>
          <w:rFonts w:ascii="Arial" w:eastAsia="Calibri" w:hAnsi="Arial" w:cs="Arial"/>
          <w:b/>
          <w:bCs/>
          <w:color w:val="000000"/>
          <w:sz w:val="26"/>
          <w:szCs w:val="26"/>
          <w:u w:val="single"/>
        </w:rPr>
        <w:t>indemnización</w:t>
      </w:r>
      <w:r w:rsidRPr="00943146">
        <w:rPr>
          <w:rFonts w:ascii="Arial" w:eastAsia="Calibri" w:hAnsi="Arial" w:cs="Arial"/>
          <w:color w:val="000000"/>
          <w:sz w:val="26"/>
          <w:szCs w:val="26"/>
        </w:rPr>
        <w:t xml:space="preserve"> a que se refiere el artículo 123 apartado B fracción XIII, segundo párrafo, de la Constitución Política de los Estados Unidos Mexicanos, misma que debe ser un importe igual a </w:t>
      </w:r>
      <w:r w:rsidRPr="00943146">
        <w:rPr>
          <w:rFonts w:ascii="Arial" w:eastAsia="Calibri" w:hAnsi="Arial" w:cs="Arial"/>
          <w:b/>
          <w:bCs/>
          <w:color w:val="000000"/>
          <w:sz w:val="26"/>
          <w:szCs w:val="26"/>
          <w:u w:val="single"/>
        </w:rPr>
        <w:t>tres meses</w:t>
      </w:r>
      <w:r w:rsidRPr="00943146">
        <w:rPr>
          <w:rFonts w:ascii="Arial" w:eastAsia="Calibri" w:hAnsi="Arial" w:cs="Arial"/>
          <w:b/>
          <w:bCs/>
          <w:color w:val="000000"/>
          <w:sz w:val="26"/>
          <w:szCs w:val="26"/>
        </w:rPr>
        <w:t xml:space="preserve"> de los últimos haberes percibidos, debidamente integrados;</w:t>
      </w:r>
      <w:r w:rsidRPr="00943146">
        <w:rPr>
          <w:rFonts w:ascii="Arial" w:eastAsia="Calibri" w:hAnsi="Arial" w:cs="Arial"/>
          <w:color w:val="000000"/>
          <w:sz w:val="26"/>
          <w:szCs w:val="26"/>
        </w:rPr>
        <w:t xml:space="preserve"> y además,</w:t>
      </w:r>
      <w:r w:rsidRPr="00943146">
        <w:rPr>
          <w:rFonts w:ascii="Arial" w:eastAsia="Calibri" w:hAnsi="Arial" w:cs="Arial"/>
          <w:b/>
          <w:bCs/>
          <w:color w:val="000000"/>
          <w:sz w:val="26"/>
          <w:szCs w:val="26"/>
        </w:rPr>
        <w:t xml:space="preserve"> </w:t>
      </w:r>
      <w:r w:rsidRPr="00943146">
        <w:rPr>
          <w:rFonts w:ascii="Arial" w:eastAsia="Calibri" w:hAnsi="Arial" w:cs="Arial"/>
          <w:b/>
          <w:bCs/>
          <w:color w:val="000000"/>
          <w:sz w:val="26"/>
          <w:szCs w:val="26"/>
          <w:u w:val="single"/>
        </w:rPr>
        <w:t>veinte días</w:t>
      </w:r>
      <w:r w:rsidRPr="00943146">
        <w:rPr>
          <w:rFonts w:ascii="Arial" w:eastAsia="Calibri" w:hAnsi="Arial" w:cs="Arial"/>
          <w:b/>
          <w:bCs/>
          <w:color w:val="000000"/>
          <w:sz w:val="26"/>
          <w:szCs w:val="26"/>
        </w:rPr>
        <w:t xml:space="preserve"> por cada año de servicio. </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bCs/>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b/>
          <w:iCs/>
          <w:color w:val="000000"/>
          <w:sz w:val="26"/>
          <w:szCs w:val="26"/>
        </w:rPr>
      </w:pPr>
      <w:r w:rsidRPr="00943146">
        <w:rPr>
          <w:rFonts w:ascii="Arial" w:eastAsia="Calibri" w:hAnsi="Arial" w:cs="Arial"/>
          <w:b/>
          <w:bCs/>
          <w:color w:val="000000"/>
          <w:sz w:val="26"/>
          <w:szCs w:val="26"/>
        </w:rPr>
        <w:t>b) L</w:t>
      </w:r>
      <w:r w:rsidRPr="00943146">
        <w:rPr>
          <w:rFonts w:ascii="Arial" w:eastAsia="Calibri" w:hAnsi="Arial" w:cs="Arial"/>
          <w:b/>
          <w:color w:val="000000"/>
          <w:sz w:val="26"/>
          <w:szCs w:val="26"/>
        </w:rPr>
        <w:t xml:space="preserve">as </w:t>
      </w:r>
      <w:r w:rsidRPr="00943146">
        <w:rPr>
          <w:rFonts w:ascii="Arial" w:eastAsia="Calibri" w:hAnsi="Arial" w:cs="Arial"/>
          <w:b/>
          <w:bCs/>
          <w:color w:val="000000"/>
          <w:sz w:val="26"/>
          <w:szCs w:val="26"/>
          <w:u w:val="single"/>
        </w:rPr>
        <w:t>prestaciones a que tiene derecho</w:t>
      </w:r>
      <w:r w:rsidRPr="00943146">
        <w:rPr>
          <w:rFonts w:ascii="Arial" w:eastAsia="Calibri" w:hAnsi="Arial" w:cs="Arial"/>
          <w:b/>
          <w:bCs/>
          <w:color w:val="000000"/>
          <w:sz w:val="26"/>
          <w:szCs w:val="26"/>
        </w:rPr>
        <w:t>,</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 xml:space="preserve">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iCs/>
          <w:color w:val="000000"/>
          <w:sz w:val="26"/>
          <w:szCs w:val="26"/>
          <w:u w:val="single"/>
        </w:rPr>
        <w:t>hasta por un periodo máximo de seis meses</w:t>
      </w:r>
      <w:r w:rsidRPr="00943146">
        <w:rPr>
          <w:rFonts w:ascii="Arial" w:eastAsia="Calibri" w:hAnsi="Arial" w:cs="Arial"/>
          <w:b/>
          <w:iCs/>
          <w:color w:val="000000"/>
          <w:sz w:val="26"/>
          <w:szCs w:val="26"/>
        </w:rPr>
        <w:t xml:space="preserve">.  </w:t>
      </w:r>
    </w:p>
    <w:p w:rsidR="00004FC0" w:rsidRPr="00943146" w:rsidRDefault="00004FC0" w:rsidP="00004FC0">
      <w:pPr>
        <w:autoSpaceDE w:val="0"/>
        <w:autoSpaceDN w:val="0"/>
        <w:adjustRightInd w:val="0"/>
        <w:spacing w:after="0" w:line="360" w:lineRule="auto"/>
        <w:ind w:firstLine="708"/>
        <w:jc w:val="both"/>
        <w:rPr>
          <w:rFonts w:ascii="Arial" w:eastAsia="Calibri" w:hAnsi="Arial" w:cs="Arial"/>
          <w:iCs/>
          <w:color w:val="000000"/>
          <w:sz w:val="26"/>
          <w:szCs w:val="26"/>
        </w:rPr>
      </w:pPr>
    </w:p>
    <w:p w:rsidR="00004FC0" w:rsidRPr="00943146" w:rsidRDefault="00004FC0" w:rsidP="00004FC0">
      <w:pPr>
        <w:autoSpaceDE w:val="0"/>
        <w:autoSpaceDN w:val="0"/>
        <w:adjustRightInd w:val="0"/>
        <w:spacing w:after="0" w:line="360" w:lineRule="auto"/>
        <w:ind w:firstLine="708"/>
        <w:jc w:val="both"/>
        <w:rPr>
          <w:rFonts w:ascii="Arial" w:eastAsia="Calibri" w:hAnsi="Arial" w:cs="Arial"/>
          <w:sz w:val="26"/>
          <w:szCs w:val="26"/>
        </w:rPr>
      </w:pPr>
      <w:r w:rsidRPr="00943146">
        <w:rPr>
          <w:rFonts w:ascii="Arial" w:eastAsia="Calibri" w:hAnsi="Arial" w:cs="Arial"/>
          <w:b/>
          <w:color w:val="000000"/>
          <w:sz w:val="26"/>
          <w:szCs w:val="26"/>
        </w:rPr>
        <w:t xml:space="preserve">d) Se ordena también a las autoridades demandadas </w:t>
      </w:r>
      <w:r w:rsidRPr="00943146">
        <w:rPr>
          <w:rFonts w:ascii="Arial" w:eastAsia="Calibri" w:hAnsi="Arial" w:cs="Arial"/>
          <w:sz w:val="26"/>
          <w:szCs w:val="26"/>
        </w:rPr>
        <w:t>con la finalidad de resarcir  integralmente a  la actora</w:t>
      </w:r>
      <w:r w:rsidRPr="00943146">
        <w:rPr>
          <w:rFonts w:ascii="Arial" w:eastAsia="Calibri" w:hAnsi="Arial" w:cs="Arial"/>
          <w:color w:val="000000"/>
          <w:sz w:val="26"/>
          <w:szCs w:val="26"/>
        </w:rPr>
        <w:t xml:space="preserve"> en los derechos que le fueron indebidamente privados con el acto impugnado que se declaró ilegal, </w:t>
      </w:r>
      <w:r w:rsidRPr="00943146">
        <w:rPr>
          <w:rFonts w:ascii="Arial" w:eastAsia="Calibri" w:hAnsi="Arial" w:cs="Arial"/>
          <w:sz w:val="26"/>
          <w:szCs w:val="26"/>
        </w:rPr>
        <w:t xml:space="preserve">lo siguiente:  </w:t>
      </w:r>
      <w:r w:rsidRPr="00943146">
        <w:rPr>
          <w:rFonts w:ascii="Arial" w:eastAsia="Calibri" w:hAnsi="Arial" w:cs="Arial"/>
          <w:b/>
          <w:sz w:val="26"/>
          <w:szCs w:val="26"/>
        </w:rPr>
        <w:t xml:space="preserve">Hacer la anotación en el expediente personal del actor, así como en el Registro Nacional de Seguridad Pública, de que fue separado, destituido o cesado de manera injustificada, </w:t>
      </w:r>
      <w:r w:rsidRPr="00943146">
        <w:rPr>
          <w:rFonts w:ascii="Arial" w:eastAsia="Calibri" w:hAnsi="Arial" w:cs="Arial"/>
          <w:sz w:val="26"/>
          <w:szCs w:val="26"/>
        </w:rPr>
        <w:t>pero que derivado de la restricción constitucional establecida en la fracción XIII, apartado B, del artículo 123 de la Constitución Política de los Estados Unidos Mexicanos, no fue posible reinstalarla en su cargo.</w:t>
      </w:r>
    </w:p>
    <w:p w:rsidR="00004FC0" w:rsidRPr="00943146" w:rsidRDefault="00004FC0" w:rsidP="00004FC0">
      <w:pPr>
        <w:spacing w:after="0" w:line="360" w:lineRule="auto"/>
        <w:ind w:firstLine="709"/>
        <w:jc w:val="both"/>
        <w:rPr>
          <w:rFonts w:ascii="Arial" w:eastAsia="Calibri" w:hAnsi="Arial" w:cs="Arial"/>
          <w:sz w:val="26"/>
          <w:szCs w:val="26"/>
        </w:rPr>
      </w:pPr>
    </w:p>
    <w:p w:rsidR="00004FC0" w:rsidRPr="00943146" w:rsidRDefault="00004FC0" w:rsidP="00004FC0">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 xml:space="preserve">Ello,  ante el cese injustificado del actor que se decretó por esta Sala, debiendo ser </w:t>
      </w:r>
      <w:r w:rsidRPr="00943146">
        <w:rPr>
          <w:rFonts w:ascii="Arial" w:eastAsia="Calibri" w:hAnsi="Arial" w:cs="Arial"/>
          <w:b/>
          <w:sz w:val="26"/>
          <w:szCs w:val="26"/>
        </w:rPr>
        <w:t xml:space="preserve"> reparado integralmente el derecho violado</w:t>
      </w:r>
      <w:r w:rsidRPr="00943146">
        <w:rPr>
          <w:rFonts w:ascii="Arial" w:eastAsia="Calibri" w:hAnsi="Arial" w:cs="Arial"/>
          <w:sz w:val="26"/>
          <w:szCs w:val="26"/>
        </w:rPr>
        <w:t>, lo que se logra, además del pago de la indemnización correspondiente y de las prestaciones a que tiene derecho, con la anotación en su expediente, resguardado en el Registro Nacional y Estatal de Personal de Seguridad Pública, de que fue separad</w:t>
      </w:r>
      <w:r w:rsidRPr="00BC3101">
        <w:rPr>
          <w:rFonts w:ascii="Arial" w:eastAsia="Calibri" w:hAnsi="Arial" w:cs="Arial"/>
          <w:sz w:val="26"/>
          <w:szCs w:val="26"/>
        </w:rPr>
        <w:t>o</w:t>
      </w:r>
      <w:r w:rsidRPr="00943146">
        <w:rPr>
          <w:rFonts w:ascii="Arial" w:eastAsia="Calibri" w:hAnsi="Arial" w:cs="Arial"/>
          <w:sz w:val="26"/>
          <w:szCs w:val="26"/>
        </w:rPr>
        <w:t>, destitu</w:t>
      </w:r>
      <w:r w:rsidRPr="00BC3101">
        <w:rPr>
          <w:rFonts w:ascii="Arial" w:eastAsia="Calibri" w:hAnsi="Arial" w:cs="Arial"/>
          <w:sz w:val="26"/>
          <w:szCs w:val="26"/>
        </w:rPr>
        <w:t>ido</w:t>
      </w:r>
      <w:r w:rsidRPr="00943146">
        <w:rPr>
          <w:rFonts w:ascii="Arial" w:eastAsia="Calibri" w:hAnsi="Arial" w:cs="Arial"/>
          <w:sz w:val="26"/>
          <w:szCs w:val="26"/>
        </w:rPr>
        <w:t xml:space="preserve"> o cesad</w:t>
      </w:r>
      <w:r w:rsidRPr="00BC3101">
        <w:rPr>
          <w:rFonts w:ascii="Arial" w:eastAsia="Calibri" w:hAnsi="Arial" w:cs="Arial"/>
          <w:sz w:val="26"/>
          <w:szCs w:val="26"/>
        </w:rPr>
        <w:t>o</w:t>
      </w:r>
      <w:r w:rsidRPr="00943146">
        <w:rPr>
          <w:rFonts w:ascii="Arial" w:eastAsia="Calibri" w:hAnsi="Arial" w:cs="Arial"/>
          <w:sz w:val="26"/>
          <w:szCs w:val="26"/>
        </w:rPr>
        <w:t xml:space="preserve"> de manera injustificada, pero</w:t>
      </w:r>
      <w:r w:rsidRPr="00BC3101">
        <w:rPr>
          <w:rFonts w:ascii="Arial" w:eastAsia="Calibri" w:hAnsi="Arial" w:cs="Arial"/>
          <w:sz w:val="26"/>
          <w:szCs w:val="26"/>
        </w:rPr>
        <w:t xml:space="preserve"> que no fue posible reinstalarlo</w:t>
      </w:r>
      <w:r w:rsidRPr="00943146">
        <w:rPr>
          <w:rFonts w:ascii="Arial" w:eastAsia="Calibri" w:hAnsi="Arial" w:cs="Arial"/>
          <w:sz w:val="26"/>
          <w:szCs w:val="26"/>
        </w:rPr>
        <w:t xml:space="preserve"> en su cargo, derivado de la restricción constitucional establecida en la fracción XIII, </w:t>
      </w:r>
      <w:r w:rsidRPr="00943146">
        <w:rPr>
          <w:rFonts w:ascii="Arial" w:eastAsia="Calibri" w:hAnsi="Arial" w:cs="Arial"/>
          <w:sz w:val="26"/>
          <w:szCs w:val="26"/>
        </w:rPr>
        <w:lastRenderedPageBreak/>
        <w:t>apartado B, del artículo 123 de la Constitución Política de los Estados Unidos Mexicanos.</w:t>
      </w:r>
    </w:p>
    <w:p w:rsidR="00004FC0" w:rsidRPr="00943146" w:rsidRDefault="00004FC0" w:rsidP="00004FC0">
      <w:pPr>
        <w:spacing w:after="0" w:line="360" w:lineRule="auto"/>
        <w:ind w:firstLine="708"/>
        <w:jc w:val="both"/>
        <w:rPr>
          <w:rFonts w:ascii="Arial" w:eastAsia="Calibri" w:hAnsi="Arial" w:cs="Arial"/>
          <w:sz w:val="26"/>
          <w:szCs w:val="26"/>
        </w:rPr>
      </w:pPr>
    </w:p>
    <w:p w:rsidR="00004FC0" w:rsidRPr="00943146" w:rsidRDefault="00004FC0" w:rsidP="00004FC0">
      <w:pPr>
        <w:spacing w:after="0" w:line="360" w:lineRule="auto"/>
        <w:jc w:val="both"/>
        <w:rPr>
          <w:rFonts w:ascii="Arial" w:eastAsia="Calibri" w:hAnsi="Arial" w:cs="Arial"/>
          <w:sz w:val="26"/>
          <w:szCs w:val="26"/>
        </w:rPr>
      </w:pPr>
      <w:r w:rsidRPr="00943146">
        <w:rPr>
          <w:rFonts w:ascii="Arial" w:eastAsia="Calibri" w:hAnsi="Arial" w:cs="Arial"/>
          <w:sz w:val="26"/>
          <w:szCs w:val="26"/>
        </w:rPr>
        <w:tab/>
        <w:t>Sirve de apoyo a lo anterior la Tesis de Jurisprudencia Época: Décima Época, Registro: 2012722,  Instancia: Segunda Sala,  Fuente: Gaceta del Semanario Judicial de la Federación, Libro 35, Octubre de 2016, Tomo I, Materia(s): Común, Administrativa, Tesis: 2a</w:t>
      </w:r>
      <w:proofErr w:type="gramStart"/>
      <w:r w:rsidRPr="00943146">
        <w:rPr>
          <w:rFonts w:ascii="Arial" w:eastAsia="Calibri" w:hAnsi="Arial" w:cs="Arial"/>
          <w:sz w:val="26"/>
          <w:szCs w:val="26"/>
        </w:rPr>
        <w:t>./</w:t>
      </w:r>
      <w:proofErr w:type="gramEnd"/>
      <w:r w:rsidRPr="00943146">
        <w:rPr>
          <w:rFonts w:ascii="Arial" w:eastAsia="Calibri" w:hAnsi="Arial" w:cs="Arial"/>
          <w:sz w:val="26"/>
          <w:szCs w:val="26"/>
        </w:rPr>
        <w:t xml:space="preserve">J. 117/2016 (10a.), Página: 897, que dice: </w:t>
      </w:r>
    </w:p>
    <w:p w:rsidR="00004FC0" w:rsidRPr="00943146" w:rsidRDefault="00004FC0" w:rsidP="00004FC0">
      <w:pPr>
        <w:spacing w:after="0" w:line="240" w:lineRule="auto"/>
        <w:ind w:firstLine="708"/>
        <w:jc w:val="both"/>
        <w:rPr>
          <w:rFonts w:ascii="Arial" w:eastAsia="Calibri" w:hAnsi="Arial" w:cs="Arial"/>
          <w:sz w:val="24"/>
          <w:szCs w:val="24"/>
        </w:rPr>
      </w:pPr>
    </w:p>
    <w:p w:rsidR="00004FC0" w:rsidRPr="00943146" w:rsidRDefault="00004FC0" w:rsidP="00004FC0">
      <w:pPr>
        <w:autoSpaceDE w:val="0"/>
        <w:autoSpaceDN w:val="0"/>
        <w:adjustRightInd w:val="0"/>
        <w:spacing w:after="0"/>
        <w:ind w:left="709"/>
        <w:jc w:val="both"/>
        <w:rPr>
          <w:rFonts w:ascii="Arial" w:eastAsia="Calibri" w:hAnsi="Arial" w:cs="Arial"/>
          <w:i/>
          <w:sz w:val="21"/>
          <w:szCs w:val="21"/>
        </w:rPr>
      </w:pPr>
      <w:r w:rsidRPr="00943146">
        <w:rPr>
          <w:rFonts w:ascii="Arial" w:eastAsia="Calibri" w:hAnsi="Arial" w:cs="Arial"/>
          <w:b/>
          <w:i/>
          <w:sz w:val="21"/>
          <w:szCs w:val="21"/>
        </w:rPr>
        <w:t>“MIEMBROS DE LAS INSTITUCIONES POLICIALES. EFECTOS DE LA CONCESIÓN DEL AMPARO DIRECTO CONTRA LA SENTENCIA DICTADA EN SEDE JURISDICCIONAL CUANDO SE ADVIERTAN VIOLACIONES PROCESALES, FORMALES O DE FONDO EN LA RESOLUCIÓN DEFINITIVA DICTADA EN SEDE ADMINISTRATIVA QUE DECIDE SEPARARLOS, DESTITUIRLOS O CESARLOS.-</w:t>
      </w:r>
      <w:r w:rsidRPr="00943146">
        <w:rPr>
          <w:rFonts w:ascii="Arial" w:eastAsia="Calibri" w:hAnsi="Arial" w:cs="Arial"/>
          <w:i/>
          <w:sz w:val="21"/>
          <w:szCs w:val="21"/>
        </w:rPr>
        <w:t xml:space="preserve"> Conforme a lo establecido por la Segunda Sala de la Suprema Corte de Justicia de la Nación en la jurisprudencia 2a./J. 103/2012 (10a.) (*), </w:t>
      </w:r>
      <w:proofErr w:type="gramStart"/>
      <w:r w:rsidRPr="00943146">
        <w:rPr>
          <w:rFonts w:ascii="Arial" w:eastAsia="Calibri" w:hAnsi="Arial" w:cs="Arial"/>
          <w:i/>
          <w:sz w:val="21"/>
          <w:szCs w:val="21"/>
        </w:rPr>
        <w:t>de</w:t>
      </w:r>
      <w:proofErr w:type="gramEnd"/>
      <w:r w:rsidRPr="00943146">
        <w:rPr>
          <w:rFonts w:ascii="Arial" w:eastAsia="Calibri" w:hAnsi="Arial" w:cs="Arial"/>
          <w:i/>
          <w:sz w:val="21"/>
          <w:szCs w:val="21"/>
        </w:rPr>
        <w:t xml:space="preserve"> rubro: "SEGURIDAD PÚBLICA. LA SENTENCIA EN LA QUE SE CONCEDE EL AMPARO CONTRA LA SEPARACIÓN, REMOCIÓN, BAJA, CESE O CUALQUIER OTRA FORMA DE TERMINACIÓN DEL SERVICIO DE MIEMBROS DE LAS INSTITUCIONES POLICIALES, POR VIOLACIÓN AL DERECHO DE AUDIENCIA, DEBE CONSTREÑIR A LA AUTORIDAD RESPONSABLE A PAGAR LA INDEMNIZACIÓN CORRESPONDIENTE Y LAS DEMÁS PRESTACIONES A QUE EL QUEJOSO TENGA DERECHO.", cuando el quejoso impugne en amparo directo la ilegalidad de la resolución definitiva, mediante la cual haya sido separado del cargo que desempeñaba como servidor público de una institución policial, por violaciones procesales, formales o de fondo en el procedimiento administrativo de separación; tomando en cuenta la imposibilidad de regresar las cosas al estado en el que se encontraban previo a la violación, por existir una restricción constitucional expresa, no debe ordenarse la reposición del procedimiento, sino que el efecto de la concesión del amparo </w:t>
      </w:r>
      <w:r w:rsidRPr="00943146">
        <w:rPr>
          <w:rFonts w:ascii="Arial" w:eastAsia="Calibri" w:hAnsi="Arial" w:cs="Arial"/>
          <w:b/>
          <w:i/>
          <w:sz w:val="21"/>
          <w:szCs w:val="21"/>
          <w:u w:val="single"/>
        </w:rPr>
        <w:t>debe ser de constreñir a la autoridad responsable a resarcir integralmente el derecho del que se vio privado el quejoso</w:t>
      </w:r>
      <w:r w:rsidRPr="00943146">
        <w:rPr>
          <w:rFonts w:ascii="Arial" w:eastAsia="Calibri" w:hAnsi="Arial" w:cs="Arial"/>
          <w:i/>
          <w:sz w:val="21"/>
          <w:szCs w:val="21"/>
        </w:rPr>
        <w:t xml:space="preserve">. En estos casos, la reparación integral consiste en ordenar a la autoridad administrativa: a) el pago de la indemnización correspondiente y demás prestaciones a que tenga derecho, </w:t>
      </w:r>
      <w:r w:rsidRPr="00943146">
        <w:rPr>
          <w:rFonts w:ascii="Arial" w:eastAsia="Calibri" w:hAnsi="Arial" w:cs="Arial"/>
          <w:b/>
          <w:i/>
          <w:sz w:val="21"/>
          <w:szCs w:val="21"/>
          <w:u w:val="single"/>
        </w:rPr>
        <w:t>y b) la anotación en el expediente personal del servidor público, así como en el Registro Nacional de Seguridad Pública, de que éste fue separado o destituido de manera injustificada</w:t>
      </w:r>
      <w:r w:rsidRPr="00943146">
        <w:rPr>
          <w:rFonts w:ascii="Arial" w:eastAsia="Calibri" w:hAnsi="Arial" w:cs="Arial"/>
          <w:i/>
          <w:sz w:val="21"/>
          <w:szCs w:val="21"/>
        </w:rPr>
        <w:t xml:space="preserve">.” </w:t>
      </w:r>
    </w:p>
    <w:p w:rsidR="00004FC0" w:rsidRPr="00943146" w:rsidRDefault="00004FC0" w:rsidP="00004FC0">
      <w:pPr>
        <w:spacing w:after="0" w:line="240" w:lineRule="auto"/>
        <w:ind w:firstLine="709"/>
        <w:jc w:val="both"/>
        <w:rPr>
          <w:rFonts w:ascii="Arial" w:eastAsia="Calibri" w:hAnsi="Arial" w:cs="Arial"/>
          <w:i/>
          <w:sz w:val="21"/>
          <w:szCs w:val="21"/>
        </w:rPr>
      </w:pPr>
    </w:p>
    <w:p w:rsidR="00004FC0" w:rsidRPr="00943146" w:rsidRDefault="00004FC0" w:rsidP="00004FC0">
      <w:pPr>
        <w:spacing w:after="0" w:line="240" w:lineRule="auto"/>
        <w:ind w:firstLine="709"/>
        <w:jc w:val="both"/>
        <w:rPr>
          <w:rFonts w:ascii="Arial" w:eastAsia="Calibri" w:hAnsi="Arial" w:cs="Arial"/>
          <w:b/>
          <w:i/>
          <w:sz w:val="21"/>
          <w:szCs w:val="21"/>
        </w:rPr>
      </w:pPr>
      <w:r w:rsidRPr="00943146">
        <w:rPr>
          <w:rFonts w:ascii="Arial" w:eastAsia="Calibri" w:hAnsi="Arial" w:cs="Arial"/>
          <w:i/>
          <w:sz w:val="21"/>
          <w:szCs w:val="21"/>
        </w:rPr>
        <w:t xml:space="preserve"> [Énfasis añadido]</w:t>
      </w:r>
    </w:p>
    <w:p w:rsidR="00004FC0" w:rsidRPr="00943146" w:rsidRDefault="00004FC0" w:rsidP="00004FC0">
      <w:pPr>
        <w:spacing w:after="0" w:line="240" w:lineRule="auto"/>
        <w:ind w:firstLine="709"/>
        <w:jc w:val="both"/>
        <w:rPr>
          <w:rFonts w:ascii="Arial" w:eastAsia="Calibri" w:hAnsi="Arial" w:cs="Arial"/>
          <w:i/>
          <w:sz w:val="24"/>
          <w:szCs w:val="24"/>
        </w:rPr>
      </w:pPr>
    </w:p>
    <w:p w:rsidR="00004FC0" w:rsidRPr="00943146" w:rsidRDefault="00004FC0" w:rsidP="00004FC0">
      <w:pPr>
        <w:spacing w:after="0" w:line="360" w:lineRule="auto"/>
        <w:ind w:firstLine="709"/>
        <w:jc w:val="both"/>
        <w:rPr>
          <w:rFonts w:ascii="Arial" w:eastAsia="Times New Roman" w:hAnsi="Arial" w:cs="Arial"/>
          <w:sz w:val="26"/>
          <w:szCs w:val="26"/>
          <w:lang w:eastAsia="es-ES"/>
        </w:rPr>
      </w:pPr>
      <w:r w:rsidRPr="00943146">
        <w:rPr>
          <w:rFonts w:ascii="Arial" w:eastAsia="Calibri" w:hAnsi="Arial" w:cs="Arial"/>
          <w:sz w:val="26"/>
          <w:szCs w:val="26"/>
          <w:lang w:val="es-ES"/>
        </w:rPr>
        <w:t xml:space="preserve">En consecuencia, con fundamento en lo dispuesto en los artículos 255 y 256 del Código Procesal Administrativo para el Estado de San Luis Potosí, </w:t>
      </w:r>
      <w:r w:rsidRPr="00943146">
        <w:rPr>
          <w:rFonts w:ascii="Arial" w:eastAsia="Times New Roman" w:hAnsi="Arial" w:cs="Arial"/>
          <w:b/>
          <w:sz w:val="26"/>
          <w:szCs w:val="26"/>
          <w:u w:val="single"/>
          <w:lang w:eastAsia="es-ES"/>
        </w:rPr>
        <w:t>dígase</w:t>
      </w:r>
      <w:r w:rsidRPr="00943146">
        <w:rPr>
          <w:rFonts w:ascii="Arial" w:eastAsia="Times New Roman" w:hAnsi="Arial" w:cs="Arial"/>
          <w:b/>
          <w:sz w:val="26"/>
          <w:szCs w:val="26"/>
          <w:lang w:eastAsia="es-ES"/>
        </w:rPr>
        <w:t xml:space="preserve"> a las autoridades demandadas que una vez que cause ejecutoria la presente sentencia,</w:t>
      </w:r>
      <w:r w:rsidRPr="00943146">
        <w:rPr>
          <w:rFonts w:ascii="Arial" w:eastAsia="Times New Roman" w:hAnsi="Arial" w:cs="Arial"/>
          <w:sz w:val="26"/>
          <w:szCs w:val="26"/>
          <w:lang w:eastAsia="es-ES"/>
        </w:rPr>
        <w:t xml:space="preserve"> esta Tercera Sala Unitaria </w:t>
      </w:r>
      <w:r w:rsidRPr="00943146">
        <w:rPr>
          <w:rFonts w:ascii="Arial" w:eastAsia="Times New Roman" w:hAnsi="Arial" w:cs="Arial"/>
          <w:b/>
          <w:sz w:val="26"/>
          <w:szCs w:val="26"/>
          <w:lang w:eastAsia="es-ES"/>
        </w:rPr>
        <w:t xml:space="preserve">las </w:t>
      </w:r>
      <w:r w:rsidRPr="00943146">
        <w:rPr>
          <w:rFonts w:ascii="Arial" w:eastAsia="Times New Roman" w:hAnsi="Arial" w:cs="Arial"/>
          <w:b/>
          <w:sz w:val="26"/>
          <w:szCs w:val="26"/>
          <w:u w:val="single"/>
          <w:lang w:eastAsia="es-ES"/>
        </w:rPr>
        <w:t>prevendrá</w:t>
      </w:r>
      <w:r w:rsidRPr="00943146">
        <w:rPr>
          <w:rFonts w:ascii="Arial" w:eastAsia="Times New Roman" w:hAnsi="Arial" w:cs="Arial"/>
          <w:b/>
          <w:sz w:val="26"/>
          <w:szCs w:val="26"/>
          <w:lang w:eastAsia="es-ES"/>
        </w:rPr>
        <w:t xml:space="preserve"> por el cumplimiento de lo ordenado en los considerandos Sexto y Séptimo de la misma, o en su caso, las </w:t>
      </w:r>
      <w:r w:rsidRPr="00943146">
        <w:rPr>
          <w:rFonts w:ascii="Arial" w:eastAsia="Times New Roman" w:hAnsi="Arial" w:cs="Arial"/>
          <w:b/>
          <w:sz w:val="26"/>
          <w:szCs w:val="26"/>
          <w:u w:val="single"/>
          <w:lang w:eastAsia="es-ES"/>
        </w:rPr>
        <w:t>requerirá</w:t>
      </w:r>
      <w:r w:rsidRPr="00943146">
        <w:rPr>
          <w:rFonts w:ascii="Arial" w:eastAsia="Times New Roman" w:hAnsi="Arial" w:cs="Arial"/>
          <w:b/>
          <w:sz w:val="26"/>
          <w:szCs w:val="26"/>
          <w:lang w:eastAsia="es-ES"/>
        </w:rPr>
        <w:t xml:space="preserve"> por su ejecución,</w:t>
      </w:r>
      <w:r w:rsidRPr="00943146">
        <w:rPr>
          <w:rFonts w:ascii="Arial" w:eastAsia="Times New Roman" w:hAnsi="Arial" w:cs="Arial"/>
          <w:sz w:val="26"/>
          <w:szCs w:val="26"/>
          <w:lang w:eastAsia="es-ES"/>
        </w:rPr>
        <w:t xml:space="preserve"> </w:t>
      </w:r>
      <w:r w:rsidRPr="00943146">
        <w:rPr>
          <w:rFonts w:ascii="Arial" w:eastAsia="Calibri" w:hAnsi="Arial" w:cs="Arial"/>
          <w:b/>
          <w:color w:val="000000"/>
          <w:sz w:val="26"/>
          <w:szCs w:val="26"/>
          <w:u w:val="single"/>
          <w:lang w:val="es-ES"/>
        </w:rPr>
        <w:t>apercibidas</w:t>
      </w:r>
      <w:r w:rsidRPr="00943146">
        <w:rPr>
          <w:rFonts w:ascii="Arial" w:eastAsia="Calibri" w:hAnsi="Arial" w:cs="Arial"/>
          <w:b/>
          <w:color w:val="000000"/>
          <w:sz w:val="26"/>
          <w:szCs w:val="26"/>
          <w:lang w:val="es-ES"/>
        </w:rPr>
        <w:t xml:space="preserve"> </w:t>
      </w:r>
      <w:r w:rsidRPr="00943146">
        <w:rPr>
          <w:rFonts w:ascii="Arial" w:eastAsia="Calibri" w:hAnsi="Arial" w:cs="Arial"/>
          <w:color w:val="000000"/>
          <w:sz w:val="26"/>
          <w:szCs w:val="26"/>
          <w:lang w:val="es-ES"/>
        </w:rPr>
        <w:t xml:space="preserve">que de no hacerlo, se </w:t>
      </w:r>
      <w:r w:rsidRPr="00943146">
        <w:rPr>
          <w:rFonts w:ascii="Arial" w:eastAsia="Calibri" w:hAnsi="Arial" w:cs="Arial"/>
          <w:color w:val="000000"/>
          <w:sz w:val="26"/>
          <w:szCs w:val="26"/>
          <w:lang w:val="es-ES"/>
        </w:rPr>
        <w:lastRenderedPageBreak/>
        <w:t xml:space="preserve">continuará con la ejecución de la sentencia y se aplicarán </w:t>
      </w:r>
      <w:r w:rsidRPr="00943146">
        <w:rPr>
          <w:rFonts w:ascii="Arial" w:eastAsia="Calibri" w:hAnsi="Arial" w:cs="Arial"/>
          <w:b/>
          <w:color w:val="000000"/>
          <w:sz w:val="26"/>
          <w:szCs w:val="26"/>
          <w:lang w:val="es-ES"/>
        </w:rPr>
        <w:t>multa, destitución</w:t>
      </w:r>
      <w:r w:rsidRPr="00943146">
        <w:rPr>
          <w:rFonts w:ascii="Arial" w:eastAsia="Calibri" w:hAnsi="Arial" w:cs="Arial"/>
          <w:color w:val="000000"/>
          <w:sz w:val="26"/>
          <w:szCs w:val="26"/>
          <w:lang w:val="es-ES"/>
        </w:rPr>
        <w:t xml:space="preserve"> y demás medidas procedentes.</w:t>
      </w:r>
    </w:p>
    <w:p w:rsidR="00004FC0" w:rsidRPr="00943146" w:rsidRDefault="00004FC0" w:rsidP="00004FC0">
      <w:pPr>
        <w:spacing w:after="0" w:line="360" w:lineRule="auto"/>
        <w:ind w:firstLine="709"/>
        <w:jc w:val="both"/>
        <w:rPr>
          <w:rFonts w:ascii="Arial" w:eastAsia="Times New Roman" w:hAnsi="Arial" w:cs="Arial"/>
          <w:sz w:val="26"/>
          <w:szCs w:val="26"/>
          <w:lang w:eastAsia="es-ES"/>
        </w:rPr>
      </w:pPr>
    </w:p>
    <w:p w:rsidR="00004FC0" w:rsidRPr="00943146" w:rsidRDefault="00004FC0" w:rsidP="00004FC0">
      <w:pPr>
        <w:spacing w:after="0" w:line="360" w:lineRule="auto"/>
        <w:ind w:firstLine="709"/>
        <w:jc w:val="both"/>
        <w:rPr>
          <w:rFonts w:ascii="Arial" w:eastAsia="Calibri" w:hAnsi="Arial" w:cs="Arial"/>
          <w:sz w:val="26"/>
          <w:szCs w:val="26"/>
          <w:lang w:val="es-ES"/>
        </w:rPr>
      </w:pPr>
      <w:r w:rsidRPr="00943146">
        <w:rPr>
          <w:rFonts w:ascii="Arial" w:eastAsia="Times New Roman" w:hAnsi="Arial" w:cs="Arial"/>
          <w:sz w:val="26"/>
          <w:szCs w:val="26"/>
          <w:lang w:eastAsia="es-ES"/>
        </w:rPr>
        <w:t>En el entendido de que al informar</w:t>
      </w:r>
      <w:r w:rsidRPr="00943146">
        <w:rPr>
          <w:rFonts w:ascii="Arial" w:eastAsia="Calibri" w:hAnsi="Arial" w:cs="Arial"/>
          <w:sz w:val="26"/>
          <w:szCs w:val="26"/>
          <w:lang w:val="es-ES"/>
        </w:rPr>
        <w:t xml:space="preserve"> a esta Sala Unitaria sobre su cumplimiento, deberán acompañar para acreditarlo las copias certificadas de los documentos correspondientes, inclusive las constancias de notificación al actor de lo proveído para su cumplimiento, así como </w:t>
      </w:r>
      <w:r w:rsidRPr="00943146">
        <w:rPr>
          <w:rFonts w:ascii="Arial" w:eastAsia="Calibri" w:hAnsi="Arial" w:cs="Arial"/>
          <w:b/>
          <w:sz w:val="26"/>
          <w:szCs w:val="26"/>
          <w:lang w:val="es-ES"/>
        </w:rPr>
        <w:t>los informes detallados de los cálculos y operaciones</w:t>
      </w:r>
      <w:r w:rsidRPr="00943146">
        <w:rPr>
          <w:rFonts w:ascii="Arial" w:eastAsia="Calibri" w:hAnsi="Arial" w:cs="Arial"/>
          <w:sz w:val="26"/>
          <w:szCs w:val="26"/>
          <w:lang w:val="es-ES"/>
        </w:rPr>
        <w:t xml:space="preserve"> que se tomen en cuenta para determinar los montos susceptibles del pago de indemnización y haberes. </w:t>
      </w:r>
    </w:p>
    <w:p w:rsidR="00004FC0" w:rsidRPr="00943146" w:rsidRDefault="00004FC0" w:rsidP="00004FC0">
      <w:pPr>
        <w:spacing w:after="0" w:line="360" w:lineRule="auto"/>
        <w:ind w:firstLine="709"/>
        <w:jc w:val="both"/>
        <w:rPr>
          <w:rFonts w:ascii="Arial" w:eastAsia="Calibri" w:hAnsi="Arial" w:cs="Arial"/>
          <w:sz w:val="26"/>
          <w:szCs w:val="26"/>
          <w:lang w:val="es-ES"/>
        </w:rPr>
      </w:pPr>
    </w:p>
    <w:p w:rsidR="00004FC0" w:rsidRPr="00943146" w:rsidRDefault="00004FC0" w:rsidP="00004FC0">
      <w:pPr>
        <w:spacing w:after="0" w:line="360" w:lineRule="auto"/>
        <w:ind w:firstLine="708"/>
        <w:jc w:val="both"/>
        <w:rPr>
          <w:rFonts w:ascii="Arial" w:eastAsia="Calibri" w:hAnsi="Arial" w:cs="Arial"/>
          <w:sz w:val="26"/>
          <w:szCs w:val="26"/>
          <w:lang w:val="es-ES"/>
        </w:rPr>
      </w:pPr>
      <w:r w:rsidRPr="00943146">
        <w:rPr>
          <w:rFonts w:ascii="Arial" w:eastAsia="Calibri" w:hAnsi="Arial" w:cs="Arial"/>
          <w:sz w:val="26"/>
          <w:szCs w:val="26"/>
          <w:lang w:val="es-ES"/>
        </w:rPr>
        <w:t xml:space="preserve">Por lo expuesto, fundado </w:t>
      </w:r>
      <w:r w:rsidRPr="00943146">
        <w:rPr>
          <w:rFonts w:ascii="Arial" w:eastAsia="Times New Roman" w:hAnsi="Arial" w:cs="Arial"/>
          <w:sz w:val="26"/>
          <w:szCs w:val="26"/>
          <w:lang w:val="es-ES" w:eastAsia="es-ES"/>
        </w:rPr>
        <w:t xml:space="preserve">en términos de los artículos 123 de la Constitución Política del Estado de San Luis Potosí, 7º, 9º fracción III, 24, 25, 26, 28, 29, 30, 33, 34, 35, 36, 37, y Transitorio Quinto </w:t>
      </w:r>
      <w:r w:rsidRPr="00943146">
        <w:rPr>
          <w:rFonts w:ascii="Arial" w:eastAsia="Calibri" w:hAnsi="Arial" w:cs="Arial"/>
          <w:sz w:val="26"/>
          <w:szCs w:val="26"/>
          <w:lang w:val="es-ES"/>
        </w:rPr>
        <w:t xml:space="preserve">de la Ley Orgánica del Tribunal Estatal de Justicia Administrativa de San Luis Potosí; 250, 251, 252 y el </w:t>
      </w:r>
      <w:r w:rsidRPr="00943146">
        <w:rPr>
          <w:rFonts w:ascii="Arial" w:eastAsia="Times New Roman" w:hAnsi="Arial" w:cs="Arial"/>
          <w:sz w:val="26"/>
          <w:szCs w:val="26"/>
          <w:lang w:val="es-ES" w:eastAsia="es-ES"/>
        </w:rPr>
        <w:t xml:space="preserve">Transitorio Segundo del Código Procesal Administrativo para el Estado de San Luis Potosí; </w:t>
      </w:r>
      <w:r w:rsidRPr="00943146">
        <w:rPr>
          <w:rFonts w:ascii="Arial" w:eastAsia="Calibri" w:hAnsi="Arial" w:cs="Arial"/>
          <w:sz w:val="26"/>
          <w:szCs w:val="26"/>
          <w:lang w:val="es-ES"/>
        </w:rPr>
        <w:t>es de resolverse y se,</w:t>
      </w:r>
    </w:p>
    <w:p w:rsidR="00004FC0" w:rsidRPr="00943146" w:rsidRDefault="00004FC0" w:rsidP="00004FC0">
      <w:pPr>
        <w:spacing w:after="0" w:line="360" w:lineRule="auto"/>
        <w:ind w:firstLine="708"/>
        <w:jc w:val="both"/>
        <w:rPr>
          <w:rFonts w:ascii="Arial" w:eastAsia="Calibri" w:hAnsi="Arial" w:cs="Arial"/>
          <w:sz w:val="26"/>
          <w:szCs w:val="26"/>
          <w:lang w:val="es-ES"/>
        </w:rPr>
      </w:pPr>
    </w:p>
    <w:p w:rsidR="00004FC0" w:rsidRPr="00943146" w:rsidRDefault="00004FC0" w:rsidP="00004FC0">
      <w:pPr>
        <w:spacing w:after="0" w:line="360" w:lineRule="auto"/>
        <w:jc w:val="center"/>
        <w:rPr>
          <w:rFonts w:ascii="Arial" w:eastAsia="Times New Roman" w:hAnsi="Arial" w:cs="Arial"/>
          <w:b/>
          <w:sz w:val="26"/>
          <w:szCs w:val="26"/>
          <w:lang w:val="es-ES" w:eastAsia="es-ES"/>
        </w:rPr>
      </w:pPr>
      <w:r w:rsidRPr="00943146">
        <w:rPr>
          <w:rFonts w:ascii="Arial" w:eastAsia="Times New Roman" w:hAnsi="Arial" w:cs="Arial"/>
          <w:b/>
          <w:sz w:val="26"/>
          <w:szCs w:val="26"/>
          <w:lang w:val="es-ES" w:eastAsia="es-ES"/>
        </w:rPr>
        <w:t>R E S U E L V E:</w:t>
      </w:r>
    </w:p>
    <w:p w:rsidR="00004FC0" w:rsidRPr="00943146" w:rsidRDefault="00004FC0" w:rsidP="00004FC0">
      <w:pPr>
        <w:spacing w:after="0" w:line="360" w:lineRule="auto"/>
        <w:jc w:val="center"/>
        <w:rPr>
          <w:rFonts w:ascii="Arial" w:eastAsia="Times New Roman" w:hAnsi="Arial" w:cs="Arial"/>
          <w:b/>
          <w:sz w:val="26"/>
          <w:szCs w:val="26"/>
          <w:lang w:val="es-ES" w:eastAsia="es-ES"/>
        </w:rPr>
      </w:pPr>
    </w:p>
    <w:p w:rsidR="00004FC0" w:rsidRPr="00943146" w:rsidRDefault="00004FC0" w:rsidP="00004FC0">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PRIMERO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Esta </w:t>
      </w:r>
      <w:r w:rsidRPr="00943146">
        <w:rPr>
          <w:rFonts w:ascii="Arial" w:eastAsia="Calibri" w:hAnsi="Arial" w:cs="Arial"/>
          <w:b/>
          <w:sz w:val="26"/>
          <w:szCs w:val="26"/>
        </w:rPr>
        <w:t>Tercera Sala Unitaria del Tribunal Estatal de Justicia Administrativa de San Luis Potosí</w:t>
      </w:r>
      <w:r w:rsidRPr="00943146">
        <w:rPr>
          <w:rFonts w:ascii="Arial" w:eastAsia="Calibri" w:hAnsi="Arial" w:cs="Arial"/>
          <w:sz w:val="26"/>
          <w:szCs w:val="26"/>
        </w:rPr>
        <w:t>, resultó competente para conocer y resolver la presente controversia.</w:t>
      </w:r>
    </w:p>
    <w:p w:rsidR="00004FC0" w:rsidRPr="00943146" w:rsidRDefault="00004FC0" w:rsidP="00004FC0">
      <w:pPr>
        <w:spacing w:after="0" w:line="360" w:lineRule="auto"/>
        <w:ind w:firstLine="708"/>
        <w:jc w:val="both"/>
        <w:rPr>
          <w:rFonts w:ascii="Arial" w:eastAsia="Times New Roman" w:hAnsi="Arial" w:cs="Arial"/>
          <w:sz w:val="26"/>
          <w:szCs w:val="26"/>
          <w:lang w:val="es-ES" w:eastAsia="es-ES"/>
        </w:rPr>
      </w:pPr>
    </w:p>
    <w:p w:rsidR="00004FC0" w:rsidRPr="00943146" w:rsidRDefault="00004FC0" w:rsidP="00004FC0">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SEGUNDO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Se decreta la </w:t>
      </w:r>
      <w:r w:rsidRPr="00943146">
        <w:rPr>
          <w:rFonts w:ascii="Arial" w:eastAsia="Calibri" w:hAnsi="Arial" w:cs="Arial"/>
          <w:b/>
          <w:sz w:val="26"/>
          <w:szCs w:val="26"/>
        </w:rPr>
        <w:t xml:space="preserve">ILEGALIDAD E INVALIDEZ </w:t>
      </w:r>
      <w:r w:rsidRPr="00943146">
        <w:rPr>
          <w:rFonts w:ascii="Arial" w:eastAsia="Times New Roman" w:hAnsi="Arial" w:cs="Arial"/>
          <w:sz w:val="26"/>
          <w:szCs w:val="26"/>
          <w:lang w:val="es-ES" w:eastAsia="es-ES"/>
        </w:rPr>
        <w:t>del acto reclamado y, por consecuencia, l</w:t>
      </w:r>
      <w:r w:rsidRPr="00943146">
        <w:rPr>
          <w:rFonts w:ascii="Arial" w:eastAsia="Calibri" w:hAnsi="Arial" w:cs="Arial"/>
          <w:sz w:val="26"/>
          <w:szCs w:val="26"/>
        </w:rPr>
        <w:t>a</w:t>
      </w:r>
      <w:r w:rsidRPr="00943146">
        <w:rPr>
          <w:rFonts w:ascii="Arial" w:eastAsia="Calibri" w:hAnsi="Arial" w:cs="Arial"/>
          <w:b/>
          <w:sz w:val="26"/>
          <w:szCs w:val="26"/>
        </w:rPr>
        <w:t xml:space="preserve"> NULIDAD  LISA Y LLANA  </w:t>
      </w:r>
      <w:r w:rsidRPr="00943146">
        <w:rPr>
          <w:rFonts w:ascii="Arial" w:eastAsia="Calibri" w:hAnsi="Arial" w:cs="Arial"/>
          <w:sz w:val="26"/>
          <w:szCs w:val="26"/>
        </w:rPr>
        <w:t xml:space="preserve">del mismo, </w:t>
      </w:r>
      <w:r w:rsidRPr="00943146">
        <w:rPr>
          <w:rFonts w:ascii="Arial" w:eastAsia="Times New Roman" w:hAnsi="Arial" w:cs="Arial"/>
          <w:sz w:val="26"/>
          <w:szCs w:val="26"/>
          <w:lang w:val="es-ES" w:eastAsia="es-ES"/>
        </w:rPr>
        <w:t xml:space="preserve">de acuerdo con los razonamientos y para los efectos precisados en los considerandos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 xml:space="preserve">exto y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éptimo de la presente sentencia.</w:t>
      </w:r>
      <w:r w:rsidRPr="00943146">
        <w:rPr>
          <w:rFonts w:ascii="Arial" w:eastAsia="Calibri" w:hAnsi="Arial" w:cs="Arial"/>
          <w:sz w:val="26"/>
          <w:szCs w:val="26"/>
        </w:rPr>
        <w:t xml:space="preserve"> </w:t>
      </w:r>
    </w:p>
    <w:p w:rsidR="00004FC0" w:rsidRPr="00943146" w:rsidRDefault="00004FC0" w:rsidP="00004FC0">
      <w:pPr>
        <w:spacing w:after="0" w:line="360" w:lineRule="auto"/>
        <w:ind w:firstLine="709"/>
        <w:jc w:val="both"/>
        <w:rPr>
          <w:rFonts w:ascii="Arial" w:eastAsia="Calibri" w:hAnsi="Arial" w:cs="Arial"/>
          <w:sz w:val="26"/>
          <w:szCs w:val="26"/>
        </w:rPr>
      </w:pPr>
    </w:p>
    <w:p w:rsidR="00004FC0" w:rsidRPr="00943146" w:rsidRDefault="00004FC0" w:rsidP="00004FC0">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eastAsia="es-MX"/>
        </w:rPr>
        <w:t>TERCERO.-</w:t>
      </w:r>
      <w:r w:rsidRPr="00943146">
        <w:rPr>
          <w:rFonts w:ascii="Arial" w:eastAsia="Times New Roman" w:hAnsi="Arial" w:cs="Arial"/>
          <w:sz w:val="26"/>
          <w:szCs w:val="26"/>
          <w:lang w:eastAsia="es-MX"/>
        </w:rPr>
        <w:t xml:space="preserve"> C</w:t>
      </w:r>
      <w:r w:rsidRPr="00943146">
        <w:rPr>
          <w:rFonts w:ascii="Arial" w:eastAsia="Calibri" w:hAnsi="Arial" w:cs="Arial"/>
          <w:sz w:val="26"/>
          <w:szCs w:val="26"/>
        </w:rPr>
        <w:t>on copia autorizada de esta resolución, notifíquese personalmente a la parte actora y por oficio a las autoridades demandadas.</w:t>
      </w:r>
    </w:p>
    <w:p w:rsidR="00004FC0" w:rsidRPr="00BC3101" w:rsidRDefault="00004FC0" w:rsidP="00004FC0">
      <w:pPr>
        <w:spacing w:after="0" w:line="360" w:lineRule="auto"/>
        <w:ind w:firstLine="709"/>
        <w:jc w:val="both"/>
        <w:rPr>
          <w:rFonts w:ascii="Arial" w:eastAsia="Calibri" w:hAnsi="Arial" w:cs="Arial"/>
          <w:sz w:val="26"/>
          <w:szCs w:val="26"/>
        </w:rPr>
      </w:pPr>
    </w:p>
    <w:p w:rsidR="00AA4704" w:rsidRPr="004C3CBF" w:rsidRDefault="00004FC0" w:rsidP="000E62F4">
      <w:pPr>
        <w:spacing w:after="0" w:line="360" w:lineRule="auto"/>
        <w:ind w:firstLine="709"/>
        <w:jc w:val="both"/>
        <w:rPr>
          <w:rFonts w:ascii="Arial Narrow" w:hAnsi="Arial Narrow"/>
          <w:sz w:val="28"/>
          <w:szCs w:val="28"/>
        </w:rPr>
      </w:pPr>
      <w:r w:rsidRPr="003872AC">
        <w:rPr>
          <w:rFonts w:ascii="Arial" w:eastAsia="Calibri" w:hAnsi="Arial" w:cs="Arial"/>
          <w:sz w:val="26"/>
          <w:szCs w:val="26"/>
        </w:rPr>
        <w:lastRenderedPageBreak/>
        <w:t xml:space="preserve">Así lo resolvió y firma, el Magistrado Titular de la Tercera Sala Unitaria del Tribunal Estatal de Justicia Administrativa de San Luis Potosí, </w:t>
      </w:r>
      <w:r w:rsidRPr="003872AC">
        <w:rPr>
          <w:rFonts w:ascii="Arial" w:eastAsia="Calibri" w:hAnsi="Arial" w:cs="Arial"/>
          <w:b/>
          <w:sz w:val="26"/>
          <w:szCs w:val="26"/>
        </w:rPr>
        <w:t>Licenciado Jorge Alejandro Vera Noyola,</w:t>
      </w:r>
      <w:r w:rsidRPr="003872AC">
        <w:rPr>
          <w:rFonts w:ascii="Arial" w:eastAsia="Calibri" w:hAnsi="Arial" w:cs="Arial"/>
          <w:sz w:val="26"/>
          <w:szCs w:val="26"/>
        </w:rPr>
        <w:t xml:space="preserve"> quien actúa con Secretario de Acuerdos, </w:t>
      </w:r>
      <w:r w:rsidRPr="003872AC">
        <w:rPr>
          <w:rFonts w:ascii="Arial" w:eastAsia="Calibri" w:hAnsi="Arial" w:cs="Arial"/>
          <w:b/>
          <w:sz w:val="26"/>
          <w:szCs w:val="26"/>
        </w:rPr>
        <w:t>Licenciado Ismael Méndez Hernández,</w:t>
      </w:r>
      <w:r w:rsidRPr="003872AC">
        <w:rPr>
          <w:rFonts w:ascii="Arial" w:eastAsia="Calibri" w:hAnsi="Arial" w:cs="Arial"/>
          <w:sz w:val="26"/>
          <w:szCs w:val="26"/>
        </w:rPr>
        <w:t xml:space="preserve"> que autoriza y da fe</w:t>
      </w:r>
      <w:r w:rsidR="008E32F2">
        <w:rPr>
          <w:rFonts w:ascii="Arial" w:eastAsia="Calibri" w:hAnsi="Arial" w:cs="Arial"/>
          <w:sz w:val="26"/>
          <w:szCs w:val="26"/>
        </w:rPr>
        <w:t>.</w:t>
      </w:r>
      <w:r w:rsidR="00AA4704">
        <w:rPr>
          <w:rFonts w:ascii="Arial" w:eastAsia="Calibri" w:hAnsi="Arial" w:cs="Arial"/>
          <w:sz w:val="26"/>
          <w:szCs w:val="26"/>
        </w:rPr>
        <w:t xml:space="preserve"> </w:t>
      </w:r>
    </w:p>
    <w:p w:rsidR="00DC0399" w:rsidRDefault="00484AD1">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bookmarkStart w:id="0" w:name="_GoBack"/>
      <w:bookmarkEnd w:id="0"/>
    </w:p>
    <w:sectPr w:rsidR="00DC0399" w:rsidSect="0006317E">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F73" w:rsidRDefault="00C63F73" w:rsidP="00C00806">
      <w:pPr>
        <w:spacing w:after="0" w:line="240" w:lineRule="auto"/>
      </w:pPr>
      <w:r>
        <w:separator/>
      </w:r>
    </w:p>
  </w:endnote>
  <w:endnote w:type="continuationSeparator" w:id="0">
    <w:p w:rsidR="00C63F73" w:rsidRDefault="00C63F73" w:rsidP="00C00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F73" w:rsidRDefault="00C63F73" w:rsidP="00C00806">
      <w:pPr>
        <w:spacing w:after="0" w:line="240" w:lineRule="auto"/>
      </w:pPr>
      <w:r>
        <w:separator/>
      </w:r>
    </w:p>
  </w:footnote>
  <w:footnote w:type="continuationSeparator" w:id="0">
    <w:p w:rsidR="00C63F73" w:rsidRDefault="00C63F73" w:rsidP="00C008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B56" w:rsidRDefault="00484AD1" w:rsidP="00EC5B34">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B4B56" w:rsidRPr="006C0427" w:rsidRDefault="00C43DEF" w:rsidP="00EC5B34">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84AD1">
      <w:rPr>
        <w:rStyle w:val="Nmerodepgina"/>
        <w:noProof/>
        <w:color w:val="FFFFFF"/>
      </w:rPr>
      <w:t>27</w:t>
    </w:r>
    <w:r w:rsidRPr="006C0427">
      <w:rPr>
        <w:rStyle w:val="Nmerodepgina"/>
        <w:color w:val="FFFFFF"/>
      </w:rPr>
      <w:fldChar w:fldCharType="end"/>
    </w:r>
    <w:r w:rsidRPr="006C0427">
      <w:rPr>
        <w:rStyle w:val="Nmerodepgina"/>
        <w:color w:val="FFFFFF"/>
      </w:rPr>
      <w:t xml:space="preserve"> </w:t>
    </w:r>
  </w:p>
  <w:bookmarkEnd w:id="1"/>
  <w:p w:rsidR="008B4B56" w:rsidRPr="00364AFE" w:rsidRDefault="00C43DEF" w:rsidP="00EC5B34">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484AD1">
      <w:rPr>
        <w:rFonts w:ascii="Arial Narrow" w:hAnsi="Arial Narrow"/>
        <w:noProof/>
      </w:rPr>
      <w:t>14</w:t>
    </w:r>
    <w:r w:rsidRPr="00364AFE">
      <w:rPr>
        <w:rFonts w:ascii="Arial Narrow" w:hAnsi="Arial Narrow"/>
      </w:rPr>
      <w:fldChar w:fldCharType="end"/>
    </w:r>
    <w:r>
      <w:rPr>
        <w:rFonts w:ascii="Arial Narrow" w:hAnsi="Arial Narrow"/>
      </w:rPr>
      <w:t>.-</w:t>
    </w:r>
  </w:p>
  <w:p w:rsidR="008B4B56" w:rsidRPr="00364AFE" w:rsidRDefault="00C43DEF" w:rsidP="00EC5B34">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3C16DABF" wp14:editId="53D2A66E">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B4B56" w:rsidRDefault="00C43DEF" w:rsidP="00EC5B34">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5590D49" wp14:editId="745F9B0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B4B56" w:rsidRPr="00B23B9D" w:rsidRDefault="00484AD1" w:rsidP="00EC5B34">
                          <w:pPr>
                            <w:pStyle w:val="Sinespaciado"/>
                            <w:jc w:val="center"/>
                            <w:rPr>
                              <w:rFonts w:ascii="Microsoft Sans Serif" w:eastAsia="SimHei" w:hAnsi="Microsoft Sans Serif" w:cs="Microsoft Sans Serif"/>
                              <w:b/>
                              <w:sz w:val="14"/>
                              <w:szCs w:val="14"/>
                            </w:rPr>
                          </w:pPr>
                        </w:p>
                        <w:p w:rsidR="008B4B56" w:rsidRPr="00B23B9D" w:rsidRDefault="00C43DEF" w:rsidP="00EC5B34">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8B4B56" w:rsidRDefault="00C43DEF" w:rsidP="00EC5B34">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5590D49" wp14:editId="745F9B0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B4B56" w:rsidRPr="00B23B9D" w:rsidRDefault="00484AD1" w:rsidP="00EC5B34">
                    <w:pPr>
                      <w:pStyle w:val="Sinespaciado"/>
                      <w:jc w:val="center"/>
                      <w:rPr>
                        <w:rFonts w:ascii="Microsoft Sans Serif" w:eastAsia="SimHei" w:hAnsi="Microsoft Sans Serif" w:cs="Microsoft Sans Serif"/>
                        <w:b/>
                        <w:sz w:val="14"/>
                        <w:szCs w:val="14"/>
                      </w:rPr>
                    </w:pPr>
                  </w:p>
                  <w:p w:rsidR="008B4B56" w:rsidRPr="00B23B9D" w:rsidRDefault="00C43DEF" w:rsidP="00EC5B34">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10</w:t>
    </w:r>
    <w:r w:rsidR="00C00806">
      <w:rPr>
        <w:rFonts w:ascii="Arial Narrow" w:hAnsi="Arial Narrow"/>
      </w:rPr>
      <w:t>09</w:t>
    </w:r>
    <w:r w:rsidRPr="00364AFE">
      <w:rPr>
        <w:rFonts w:ascii="Arial Narrow" w:hAnsi="Arial Narrow"/>
      </w:rPr>
      <w:t>/20</w:t>
    </w:r>
    <w:r>
      <w:rPr>
        <w:rFonts w:ascii="Arial Narrow" w:hAnsi="Arial Narrow"/>
      </w:rPr>
      <w:t>22</w:t>
    </w:r>
    <w:r w:rsidRPr="00364AFE">
      <w:rPr>
        <w:rFonts w:ascii="Arial Narrow" w:hAnsi="Arial Narrow"/>
      </w:rPr>
      <w:t xml:space="preserve">-3 </w:t>
    </w:r>
  </w:p>
  <w:p w:rsidR="008B4B56" w:rsidRPr="00E47A61" w:rsidRDefault="00484AD1" w:rsidP="00EC5B34">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B56" w:rsidRPr="004A456E" w:rsidRDefault="00C43DEF" w:rsidP="00EC5B34">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5347AA05" wp14:editId="7F525668">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B4B56" w:rsidRDefault="00C43DEF" w:rsidP="00EC5B34">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BE16A0" wp14:editId="0376D14B">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B4B56" w:rsidRPr="00B23B9D" w:rsidRDefault="00484AD1" w:rsidP="00EC5B34">
                          <w:pPr>
                            <w:pStyle w:val="Sinespaciado"/>
                            <w:jc w:val="center"/>
                            <w:rPr>
                              <w:rFonts w:ascii="Microsoft Sans Serif" w:eastAsia="SimHei" w:hAnsi="Microsoft Sans Serif" w:cs="Microsoft Sans Serif"/>
                              <w:b/>
                              <w:sz w:val="14"/>
                              <w:szCs w:val="14"/>
                            </w:rPr>
                          </w:pPr>
                        </w:p>
                        <w:p w:rsidR="008B4B56" w:rsidRPr="00B23B9D" w:rsidRDefault="00C43DEF" w:rsidP="00EC5B34">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8B4B56" w:rsidRDefault="00C43DEF" w:rsidP="00EC5B34">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CBE16A0" wp14:editId="0376D14B">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B4B56" w:rsidRPr="00B23B9D" w:rsidRDefault="00C43DEF" w:rsidP="00EC5B34">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B4B56" w:rsidRPr="00B23B9D" w:rsidRDefault="00484AD1" w:rsidP="00EC5B34">
                    <w:pPr>
                      <w:pStyle w:val="Sinespaciado"/>
                      <w:jc w:val="center"/>
                      <w:rPr>
                        <w:rFonts w:ascii="Microsoft Sans Serif" w:eastAsia="SimHei" w:hAnsi="Microsoft Sans Serif" w:cs="Microsoft Sans Serif"/>
                        <w:b/>
                        <w:sz w:val="14"/>
                        <w:szCs w:val="14"/>
                      </w:rPr>
                    </w:pPr>
                  </w:p>
                  <w:p w:rsidR="008B4B56" w:rsidRPr="00B23B9D" w:rsidRDefault="00C43DEF" w:rsidP="00EC5B34">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FC0"/>
    <w:rsid w:val="00004FC0"/>
    <w:rsid w:val="0006317E"/>
    <w:rsid w:val="000E62F4"/>
    <w:rsid w:val="000E7F04"/>
    <w:rsid w:val="000F2E15"/>
    <w:rsid w:val="00142FFB"/>
    <w:rsid w:val="00146016"/>
    <w:rsid w:val="00155DFD"/>
    <w:rsid w:val="00167E54"/>
    <w:rsid w:val="00187345"/>
    <w:rsid w:val="001E190B"/>
    <w:rsid w:val="00270D80"/>
    <w:rsid w:val="00290BDD"/>
    <w:rsid w:val="00297A55"/>
    <w:rsid w:val="002D66E6"/>
    <w:rsid w:val="002E0C42"/>
    <w:rsid w:val="002F4D0F"/>
    <w:rsid w:val="00320BF0"/>
    <w:rsid w:val="003F65A9"/>
    <w:rsid w:val="0043079D"/>
    <w:rsid w:val="00484AD1"/>
    <w:rsid w:val="004A1A5A"/>
    <w:rsid w:val="004B4DB1"/>
    <w:rsid w:val="004C6E88"/>
    <w:rsid w:val="004D521E"/>
    <w:rsid w:val="004F4808"/>
    <w:rsid w:val="00571C9E"/>
    <w:rsid w:val="00575C9F"/>
    <w:rsid w:val="005A76CD"/>
    <w:rsid w:val="005E0F15"/>
    <w:rsid w:val="005E4CAD"/>
    <w:rsid w:val="00600AB8"/>
    <w:rsid w:val="00604B9C"/>
    <w:rsid w:val="006070E5"/>
    <w:rsid w:val="006F6633"/>
    <w:rsid w:val="00717078"/>
    <w:rsid w:val="007A46E3"/>
    <w:rsid w:val="007B5C75"/>
    <w:rsid w:val="007D2B18"/>
    <w:rsid w:val="007D7F66"/>
    <w:rsid w:val="007E2BF8"/>
    <w:rsid w:val="008C501D"/>
    <w:rsid w:val="008E32F2"/>
    <w:rsid w:val="009237F6"/>
    <w:rsid w:val="0096047B"/>
    <w:rsid w:val="00976B89"/>
    <w:rsid w:val="009B00F5"/>
    <w:rsid w:val="009C5E6B"/>
    <w:rsid w:val="009F0687"/>
    <w:rsid w:val="00A00C47"/>
    <w:rsid w:val="00A10A33"/>
    <w:rsid w:val="00A27D5F"/>
    <w:rsid w:val="00A5440A"/>
    <w:rsid w:val="00A85BAB"/>
    <w:rsid w:val="00AA4704"/>
    <w:rsid w:val="00AC3F37"/>
    <w:rsid w:val="00AE024F"/>
    <w:rsid w:val="00AE7C7E"/>
    <w:rsid w:val="00B7287D"/>
    <w:rsid w:val="00B73297"/>
    <w:rsid w:val="00B936FC"/>
    <w:rsid w:val="00C00806"/>
    <w:rsid w:val="00C05439"/>
    <w:rsid w:val="00C43DEF"/>
    <w:rsid w:val="00C543CB"/>
    <w:rsid w:val="00C63AEA"/>
    <w:rsid w:val="00C63F73"/>
    <w:rsid w:val="00D2735D"/>
    <w:rsid w:val="00DC0399"/>
    <w:rsid w:val="00DC0CA4"/>
    <w:rsid w:val="00DE2BC5"/>
    <w:rsid w:val="00E15F1B"/>
    <w:rsid w:val="00E23CE4"/>
    <w:rsid w:val="00ED4357"/>
    <w:rsid w:val="00EF2071"/>
    <w:rsid w:val="00F11D67"/>
    <w:rsid w:val="00F268D9"/>
    <w:rsid w:val="00F509D9"/>
    <w:rsid w:val="00F52A89"/>
    <w:rsid w:val="00F63633"/>
    <w:rsid w:val="00F644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FC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04F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04FC0"/>
  </w:style>
  <w:style w:type="character" w:styleId="Nmerodepgina">
    <w:name w:val="page number"/>
    <w:basedOn w:val="Fuentedeprrafopredeter"/>
    <w:rsid w:val="00004FC0"/>
  </w:style>
  <w:style w:type="paragraph" w:styleId="Sinespaciado">
    <w:name w:val="No Spacing"/>
    <w:link w:val="SinespaciadoCar"/>
    <w:uiPriority w:val="1"/>
    <w:qFormat/>
    <w:rsid w:val="00004FC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04FC0"/>
    <w:rPr>
      <w:rFonts w:ascii="Calibri" w:eastAsia="Calibri" w:hAnsi="Calibri" w:cs="Times New Roman"/>
    </w:rPr>
  </w:style>
  <w:style w:type="paragraph" w:styleId="Textodeglobo">
    <w:name w:val="Balloon Text"/>
    <w:basedOn w:val="Normal"/>
    <w:link w:val="TextodegloboCar"/>
    <w:uiPriority w:val="99"/>
    <w:semiHidden/>
    <w:unhideWhenUsed/>
    <w:rsid w:val="00004F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FC0"/>
    <w:rPr>
      <w:rFonts w:ascii="Tahoma" w:hAnsi="Tahoma" w:cs="Tahoma"/>
      <w:sz w:val="16"/>
      <w:szCs w:val="16"/>
    </w:rPr>
  </w:style>
  <w:style w:type="paragraph" w:styleId="Piedepgina">
    <w:name w:val="footer"/>
    <w:basedOn w:val="Normal"/>
    <w:link w:val="PiedepginaCar"/>
    <w:uiPriority w:val="99"/>
    <w:unhideWhenUsed/>
    <w:rsid w:val="00C0080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0806"/>
  </w:style>
  <w:style w:type="paragraph" w:customStyle="1" w:styleId="Style1">
    <w:name w:val="Style 1"/>
    <w:basedOn w:val="Normal"/>
    <w:uiPriority w:val="99"/>
    <w:rsid w:val="00A5440A"/>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FC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04F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04FC0"/>
  </w:style>
  <w:style w:type="character" w:styleId="Nmerodepgina">
    <w:name w:val="page number"/>
    <w:basedOn w:val="Fuentedeprrafopredeter"/>
    <w:rsid w:val="00004FC0"/>
  </w:style>
  <w:style w:type="paragraph" w:styleId="Sinespaciado">
    <w:name w:val="No Spacing"/>
    <w:link w:val="SinespaciadoCar"/>
    <w:uiPriority w:val="1"/>
    <w:qFormat/>
    <w:rsid w:val="00004FC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04FC0"/>
    <w:rPr>
      <w:rFonts w:ascii="Calibri" w:eastAsia="Calibri" w:hAnsi="Calibri" w:cs="Times New Roman"/>
    </w:rPr>
  </w:style>
  <w:style w:type="paragraph" w:styleId="Textodeglobo">
    <w:name w:val="Balloon Text"/>
    <w:basedOn w:val="Normal"/>
    <w:link w:val="TextodegloboCar"/>
    <w:uiPriority w:val="99"/>
    <w:semiHidden/>
    <w:unhideWhenUsed/>
    <w:rsid w:val="00004F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FC0"/>
    <w:rPr>
      <w:rFonts w:ascii="Tahoma" w:hAnsi="Tahoma" w:cs="Tahoma"/>
      <w:sz w:val="16"/>
      <w:szCs w:val="16"/>
    </w:rPr>
  </w:style>
  <w:style w:type="paragraph" w:styleId="Piedepgina">
    <w:name w:val="footer"/>
    <w:basedOn w:val="Normal"/>
    <w:link w:val="PiedepginaCar"/>
    <w:uiPriority w:val="99"/>
    <w:unhideWhenUsed/>
    <w:rsid w:val="00C0080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0806"/>
  </w:style>
  <w:style w:type="paragraph" w:customStyle="1" w:styleId="Style1">
    <w:name w:val="Style 1"/>
    <w:basedOn w:val="Normal"/>
    <w:uiPriority w:val="99"/>
    <w:rsid w:val="00A5440A"/>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TotalTime>
  <Pages>28</Pages>
  <Words>10621</Words>
  <Characters>58421</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ENRIQUE</cp:lastModifiedBy>
  <cp:revision>135</cp:revision>
  <cp:lastPrinted>2024-04-18T20:20:00Z</cp:lastPrinted>
  <dcterms:created xsi:type="dcterms:W3CDTF">2024-04-17T18:17:00Z</dcterms:created>
  <dcterms:modified xsi:type="dcterms:W3CDTF">2024-05-09T19:06:00Z</dcterms:modified>
</cp:coreProperties>
</file>