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65D3AD" w14:textId="108952D0" w:rsidR="003770F9" w:rsidRPr="008B55BE" w:rsidRDefault="003770F9"/>
    <w:p w14:paraId="4E8B58A6" w14:textId="16B75094" w:rsidR="00CA777A" w:rsidRPr="008B55BE" w:rsidRDefault="00CA777A" w:rsidP="0073286D">
      <w:pPr>
        <w:tabs>
          <w:tab w:val="left" w:pos="6840"/>
        </w:tabs>
        <w:spacing w:line="360" w:lineRule="auto"/>
        <w:ind w:firstLine="680"/>
        <w:jc w:val="both"/>
        <w:outlineLvl w:val="5"/>
        <w:rPr>
          <w:rFonts w:ascii="AvantGarde Bk BT" w:eastAsia="Calibri" w:hAnsi="AvantGarde Bk BT" w:cs="Arial"/>
          <w:lang w:val="es-MX"/>
        </w:rPr>
      </w:pPr>
      <w:r w:rsidRPr="008B55BE">
        <w:rPr>
          <w:rFonts w:ascii="AvantGarde Bk BT" w:eastAsia="Calibri" w:hAnsi="AvantGarde Bk BT" w:cs="Arial"/>
          <w:lang w:val="es-MX"/>
        </w:rPr>
        <w:t xml:space="preserve">San Luis Potosí, </w:t>
      </w:r>
      <w:r w:rsidR="00157814" w:rsidRPr="008B55BE">
        <w:rPr>
          <w:rFonts w:ascii="AvantGarde Bk BT" w:eastAsia="Calibri" w:hAnsi="AvantGarde Bk BT" w:cs="Arial"/>
          <w:lang w:val="es-MX"/>
        </w:rPr>
        <w:t xml:space="preserve">San Luis Potosí, a </w:t>
      </w:r>
      <w:r w:rsidR="00EC1741">
        <w:rPr>
          <w:rFonts w:ascii="AvantGarde Bk BT" w:eastAsia="Calibri" w:hAnsi="AvantGarde Bk BT" w:cs="Arial"/>
          <w:lang w:val="es-MX"/>
        </w:rPr>
        <w:t>26 veintiséis</w:t>
      </w:r>
      <w:r w:rsidR="0082212B">
        <w:rPr>
          <w:rFonts w:ascii="AvantGarde Bk BT" w:eastAsia="Calibri" w:hAnsi="AvantGarde Bk BT" w:cs="Arial"/>
          <w:lang w:val="es-MX"/>
        </w:rPr>
        <w:t xml:space="preserve"> de febrero </w:t>
      </w:r>
      <w:r w:rsidR="009D4F38" w:rsidRPr="008B55BE">
        <w:rPr>
          <w:rFonts w:ascii="AvantGarde Bk BT" w:eastAsia="Calibri" w:hAnsi="AvantGarde Bk BT" w:cs="Arial"/>
          <w:lang w:val="es-MX"/>
        </w:rPr>
        <w:t>de 2024 dos mil veinticuatro</w:t>
      </w:r>
      <w:r w:rsidRPr="008B55BE">
        <w:rPr>
          <w:rFonts w:ascii="AvantGarde Bk BT" w:eastAsia="Calibri" w:hAnsi="AvantGarde Bk BT" w:cs="Arial"/>
          <w:lang w:val="es-MX"/>
        </w:rPr>
        <w:t>.</w:t>
      </w:r>
    </w:p>
    <w:p w14:paraId="24F50085" w14:textId="59D8F348" w:rsidR="00FD01C5" w:rsidRDefault="00CA777A" w:rsidP="00FD01C5">
      <w:pPr>
        <w:spacing w:line="360" w:lineRule="auto"/>
        <w:ind w:firstLine="708"/>
        <w:jc w:val="both"/>
        <w:rPr>
          <w:rFonts w:ascii="AvantGarde Bk BT" w:hAnsi="AvantGarde Bk BT" w:cs="Arial"/>
        </w:rPr>
      </w:pPr>
      <w:r w:rsidRPr="008B55BE">
        <w:rPr>
          <w:rFonts w:ascii="AvantGarde Bk BT" w:hAnsi="AvantGarde Bk BT" w:cs="Arial"/>
        </w:rPr>
        <w:t>Visto el estado que guardan los presentes autos y de una revisión a las constancias que integran el expediente, co</w:t>
      </w:r>
      <w:r w:rsidR="00535463" w:rsidRPr="008B55BE">
        <w:rPr>
          <w:rFonts w:ascii="AvantGarde Bk BT" w:hAnsi="AvantGarde Bk BT" w:cs="Arial"/>
        </w:rPr>
        <w:t>n fundamento en los artículos 8, 10,</w:t>
      </w:r>
      <w:r w:rsidRPr="008B55BE">
        <w:rPr>
          <w:rFonts w:ascii="AvantGarde Bk BT" w:hAnsi="AvantGarde Bk BT" w:cs="Arial"/>
        </w:rPr>
        <w:t xml:space="preserve">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00C73204" w:rsidRPr="008B55BE">
        <w:rPr>
          <w:rFonts w:ascii="AvantGarde Bk BT" w:hAnsi="AvantGarde Bk BT" w:cs="Arial"/>
          <w:b/>
        </w:rPr>
        <w:t>RR-</w:t>
      </w:r>
      <w:r w:rsidR="00421652">
        <w:rPr>
          <w:rFonts w:ascii="AvantGarde Bk BT" w:hAnsi="AvantGarde Bk BT" w:cs="Arial"/>
          <w:b/>
        </w:rPr>
        <w:t>20</w:t>
      </w:r>
      <w:r w:rsidR="00CF1C58">
        <w:rPr>
          <w:rFonts w:ascii="AvantGarde Bk BT" w:hAnsi="AvantGarde Bk BT" w:cs="Arial"/>
          <w:b/>
        </w:rPr>
        <w:t>69</w:t>
      </w:r>
      <w:r w:rsidR="00242A34">
        <w:rPr>
          <w:rFonts w:ascii="AvantGarde Bk BT" w:hAnsi="AvantGarde Bk BT" w:cs="Arial"/>
          <w:b/>
        </w:rPr>
        <w:t>/20</w:t>
      </w:r>
      <w:r w:rsidR="00421652">
        <w:rPr>
          <w:rFonts w:ascii="AvantGarde Bk BT" w:hAnsi="AvantGarde Bk BT" w:cs="Arial"/>
          <w:b/>
        </w:rPr>
        <w:t>22</w:t>
      </w:r>
      <w:r w:rsidR="00242A34">
        <w:rPr>
          <w:rFonts w:ascii="AvantGarde Bk BT" w:hAnsi="AvantGarde Bk BT" w:cs="Arial"/>
          <w:b/>
        </w:rPr>
        <w:t>- 1</w:t>
      </w:r>
      <w:r w:rsidR="00CB14C3" w:rsidRPr="008B55BE">
        <w:rPr>
          <w:rFonts w:ascii="AvantGarde Bk BT" w:hAnsi="AvantGarde Bk BT" w:cs="Arial"/>
        </w:rPr>
        <w:t xml:space="preserve">, </w:t>
      </w:r>
      <w:r w:rsidR="003907AA" w:rsidRPr="008B55BE">
        <w:rPr>
          <w:rFonts w:ascii="AvantGarde Bk BT" w:hAnsi="AvantGarde Bk BT" w:cs="Arial"/>
        </w:rPr>
        <w:t xml:space="preserve">con folio número </w:t>
      </w:r>
      <w:r w:rsidR="00170C35">
        <w:rPr>
          <w:rFonts w:ascii="AvantGarde Bk BT" w:hAnsi="AvantGarde Bk BT" w:cs="Arial"/>
          <w:b/>
        </w:rPr>
        <w:t>2404703220001</w:t>
      </w:r>
      <w:r w:rsidR="00CF1C58">
        <w:rPr>
          <w:rFonts w:ascii="AvantGarde Bk BT" w:hAnsi="AvantGarde Bk BT" w:cs="Arial"/>
          <w:b/>
        </w:rPr>
        <w:t>29</w:t>
      </w:r>
      <w:r w:rsidR="003907AA" w:rsidRPr="008B55BE">
        <w:rPr>
          <w:rFonts w:ascii="AvantGarde Bk BT" w:hAnsi="AvantGarde Bk BT" w:cs="Arial"/>
        </w:rPr>
        <w:t xml:space="preserve">, </w:t>
      </w:r>
      <w:r w:rsidRPr="008B55BE">
        <w:rPr>
          <w:rFonts w:ascii="AvantGarde Bk BT" w:hAnsi="AvantGarde Bk BT" w:cs="Arial"/>
        </w:rPr>
        <w:t>del</w:t>
      </w:r>
      <w:r w:rsidRPr="008B55BE">
        <w:rPr>
          <w:rFonts w:ascii="AvantGarde Bk BT" w:hAnsi="AvantGarde Bk BT" w:cs="Arial"/>
          <w:b/>
        </w:rPr>
        <w:t xml:space="preserve"> </w:t>
      </w:r>
      <w:r w:rsidRPr="008B55BE">
        <w:rPr>
          <w:rFonts w:ascii="AvantGarde Bk BT" w:hAnsi="AvantGarde Bk BT" w:cs="Arial"/>
        </w:rPr>
        <w:t>sujeto obligado</w:t>
      </w:r>
      <w:r w:rsidR="000F1938" w:rsidRPr="008B55BE">
        <w:rPr>
          <w:rFonts w:ascii="AvantGarde Bk BT" w:hAnsi="AvantGarde Bk BT" w:cs="Arial"/>
          <w:b/>
        </w:rPr>
        <w:t xml:space="preserve"> </w:t>
      </w:r>
      <w:r w:rsidR="00170C35">
        <w:rPr>
          <w:rFonts w:ascii="AvantGarde Bk BT" w:hAnsi="AvantGarde Bk BT" w:cs="Arial"/>
          <w:b/>
        </w:rPr>
        <w:t>SECRETARÍA DE DESARROLLO URBANO, VIVIENDA Y OBRAS PÚBLICAS (SEDUVOP)</w:t>
      </w:r>
      <w:r w:rsidR="007741E1">
        <w:rPr>
          <w:rFonts w:ascii="AvantGarde Bk BT" w:hAnsi="AvantGarde Bk BT" w:cs="Arial"/>
        </w:rPr>
        <w:t xml:space="preserve">, para lo que, </w:t>
      </w:r>
      <w:r w:rsidRPr="008B55BE">
        <w:rPr>
          <w:rFonts w:ascii="AvantGarde Bk BT" w:hAnsi="AvantGarde Bk BT" w:cs="Arial"/>
        </w:rPr>
        <w:t>resulta necesario insertar los efectos dictados en la resolución:</w:t>
      </w:r>
    </w:p>
    <w:p w14:paraId="69DBAD10" w14:textId="77777777" w:rsidR="00F1632C" w:rsidRPr="00F1632C" w:rsidRDefault="00BE69EE" w:rsidP="00F1632C">
      <w:pPr>
        <w:pStyle w:val="corte4fondo"/>
        <w:tabs>
          <w:tab w:val="left" w:pos="567"/>
        </w:tabs>
        <w:ind w:firstLine="680"/>
        <w:rPr>
          <w:rFonts w:ascii="AvantGarde Bk BT" w:hAnsi="AvantGarde Bk BT" w:cs="Arial"/>
          <w:b/>
          <w:sz w:val="22"/>
        </w:rPr>
      </w:pPr>
      <w:r w:rsidRPr="00F1632C">
        <w:rPr>
          <w:rFonts w:ascii="AvantGarde Bk BT" w:hAnsi="AvantGarde Bk BT" w:cs="Arial"/>
          <w:color w:val="000000" w:themeColor="text1"/>
          <w:sz w:val="22"/>
        </w:rPr>
        <w:t>“</w:t>
      </w:r>
      <w:r w:rsidR="00F1632C" w:rsidRPr="00F1632C">
        <w:rPr>
          <w:rFonts w:ascii="AvantGarde Bk BT" w:hAnsi="AvantGarde Bk BT" w:cs="Arial"/>
          <w:b/>
          <w:sz w:val="22"/>
        </w:rPr>
        <w:t>6.1. Sentido y efectos de esta resolución.</w:t>
      </w:r>
    </w:p>
    <w:p w14:paraId="2B8B259E" w14:textId="77777777" w:rsidR="00F1632C" w:rsidRPr="00F1632C" w:rsidRDefault="00F1632C" w:rsidP="00F1632C">
      <w:pPr>
        <w:pStyle w:val="corte4fondo"/>
        <w:tabs>
          <w:tab w:val="left" w:pos="567"/>
        </w:tabs>
        <w:ind w:firstLine="0"/>
        <w:rPr>
          <w:rFonts w:ascii="AvantGarde Bk BT" w:hAnsi="AvantGarde Bk BT" w:cs="Arial"/>
          <w:b/>
          <w:sz w:val="22"/>
        </w:rPr>
      </w:pPr>
    </w:p>
    <w:p w14:paraId="142ED9F8" w14:textId="77777777" w:rsidR="00F1632C" w:rsidRPr="00F1632C" w:rsidRDefault="00F1632C" w:rsidP="00F1632C">
      <w:pPr>
        <w:pStyle w:val="corte4fondo"/>
        <w:tabs>
          <w:tab w:val="left" w:pos="567"/>
        </w:tabs>
        <w:ind w:firstLine="680"/>
        <w:rPr>
          <w:rFonts w:ascii="AvantGarde Bk BT" w:hAnsi="AvantGarde Bk BT" w:cs="Arial"/>
          <w:color w:val="000000" w:themeColor="text1"/>
          <w:sz w:val="22"/>
        </w:rPr>
      </w:pPr>
      <w:r w:rsidRPr="00F1632C">
        <w:rPr>
          <w:rFonts w:ascii="AvantGarde Bk BT" w:hAnsi="AvantGarde Bk BT" w:cs="Arial"/>
          <w:sz w:val="22"/>
        </w:rPr>
        <w:t xml:space="preserve">Por las consideraciones expuestas, esta Comisión Estatal de Garantía de Acceso a la Información Pública de conformidad con el artículo 175 fracción III de la Ley de Transparencia y Acceso a la Información Pública del Estado, </w:t>
      </w:r>
      <w:r w:rsidRPr="00F1632C">
        <w:rPr>
          <w:rFonts w:ascii="AvantGarde Bk BT" w:hAnsi="AvantGarde Bk BT" w:cs="Arial"/>
          <w:b/>
          <w:sz w:val="22"/>
        </w:rPr>
        <w:t>REVOCA EL ACTO IMPUGNADO</w:t>
      </w:r>
      <w:r w:rsidRPr="00F1632C">
        <w:rPr>
          <w:rFonts w:ascii="AvantGarde Bk BT" w:hAnsi="AvantGarde Bk BT" w:cs="Arial"/>
          <w:sz w:val="22"/>
        </w:rPr>
        <w:t xml:space="preserve"> y conmina al sujeto obligado para que entregue al peticionario </w:t>
      </w:r>
      <w:r w:rsidRPr="00F1632C">
        <w:rPr>
          <w:rFonts w:ascii="AvantGarde Bk BT" w:hAnsi="AvantGarde Bk BT" w:cs="Arial"/>
          <w:b/>
          <w:sz w:val="22"/>
        </w:rPr>
        <w:t>en formato digital</w:t>
      </w:r>
      <w:r w:rsidRPr="00F1632C">
        <w:rPr>
          <w:rFonts w:ascii="AvantGarde Bk BT" w:hAnsi="AvantGarde Bk BT" w:cs="Arial"/>
          <w:color w:val="000000" w:themeColor="text1"/>
          <w:sz w:val="22"/>
        </w:rPr>
        <w:t>:</w:t>
      </w:r>
    </w:p>
    <w:p w14:paraId="646CC214" w14:textId="77777777" w:rsidR="00F1632C" w:rsidRPr="00F1632C" w:rsidRDefault="00F1632C" w:rsidP="00F1632C">
      <w:pPr>
        <w:pStyle w:val="corte4fondo"/>
        <w:tabs>
          <w:tab w:val="left" w:pos="567"/>
        </w:tabs>
        <w:ind w:firstLine="0"/>
        <w:rPr>
          <w:rFonts w:ascii="AvantGarde Bk BT" w:hAnsi="AvantGarde Bk BT" w:cs="Arial"/>
          <w:sz w:val="22"/>
        </w:rPr>
      </w:pPr>
    </w:p>
    <w:p w14:paraId="3B5E61F1" w14:textId="77777777" w:rsidR="00F1632C" w:rsidRPr="00F1632C" w:rsidRDefault="00F1632C" w:rsidP="00F1632C">
      <w:pPr>
        <w:pStyle w:val="corte4fondo"/>
        <w:tabs>
          <w:tab w:val="left" w:pos="567"/>
        </w:tabs>
        <w:ind w:left="680" w:right="680" w:firstLine="0"/>
        <w:rPr>
          <w:rFonts w:ascii="AvantGarde Bk BT" w:hAnsi="AvantGarde Bk BT" w:cs="Arial"/>
          <w:sz w:val="22"/>
        </w:rPr>
      </w:pPr>
      <w:r w:rsidRPr="00F1632C">
        <w:rPr>
          <w:rFonts w:ascii="AvantGarde Bk BT" w:hAnsi="AvantGarde Bk BT" w:cs="Arial"/>
          <w:b/>
          <w:sz w:val="22"/>
        </w:rPr>
        <w:t>6.1.1.</w:t>
      </w:r>
      <w:r w:rsidRPr="00F1632C">
        <w:rPr>
          <w:rFonts w:ascii="AvantGarde Bk BT" w:hAnsi="AvantGarde Bk BT" w:cs="Arial"/>
          <w:sz w:val="22"/>
        </w:rPr>
        <w:t xml:space="preserve"> Lista de personas y/o empresas que se encargaron de la remodelación del Parque Tangamanga I.</w:t>
      </w:r>
    </w:p>
    <w:p w14:paraId="2EE02AE0" w14:textId="77777777" w:rsidR="00F1632C" w:rsidRPr="00F1632C" w:rsidRDefault="00F1632C" w:rsidP="00F1632C">
      <w:pPr>
        <w:pStyle w:val="corte4fondo"/>
        <w:tabs>
          <w:tab w:val="left" w:pos="567"/>
        </w:tabs>
        <w:ind w:left="680" w:right="680"/>
        <w:rPr>
          <w:rFonts w:ascii="AvantGarde Bk BT" w:hAnsi="AvantGarde Bk BT" w:cs="Arial"/>
          <w:sz w:val="22"/>
        </w:rPr>
      </w:pPr>
    </w:p>
    <w:p w14:paraId="68D9A26C" w14:textId="77777777" w:rsidR="00F1632C" w:rsidRPr="00F1632C" w:rsidRDefault="00F1632C" w:rsidP="00F1632C">
      <w:pPr>
        <w:pStyle w:val="corte4fondo"/>
        <w:tabs>
          <w:tab w:val="left" w:pos="567"/>
        </w:tabs>
        <w:ind w:left="680" w:right="680" w:firstLine="0"/>
        <w:rPr>
          <w:rFonts w:ascii="AvantGarde Bk BT" w:hAnsi="AvantGarde Bk BT" w:cs="Arial"/>
          <w:sz w:val="22"/>
        </w:rPr>
      </w:pPr>
      <w:r w:rsidRPr="00F1632C">
        <w:rPr>
          <w:rFonts w:ascii="AvantGarde Bk BT" w:hAnsi="AvantGarde Bk BT" w:cs="Arial"/>
          <w:b/>
          <w:sz w:val="22"/>
        </w:rPr>
        <w:t>6.1.2.</w:t>
      </w:r>
      <w:r w:rsidRPr="00F1632C">
        <w:rPr>
          <w:rFonts w:ascii="AvantGarde Bk BT" w:hAnsi="AvantGarde Bk BT" w:cs="Arial"/>
          <w:sz w:val="22"/>
        </w:rPr>
        <w:t xml:space="preserve"> Costo total de la remodelación del Parque Tangamanga I.</w:t>
      </w:r>
    </w:p>
    <w:p w14:paraId="0038FB48" w14:textId="77777777" w:rsidR="00F1632C" w:rsidRPr="00F1632C" w:rsidRDefault="00F1632C" w:rsidP="00F1632C">
      <w:pPr>
        <w:pStyle w:val="corte4fondo"/>
        <w:tabs>
          <w:tab w:val="left" w:pos="567"/>
        </w:tabs>
        <w:ind w:left="680" w:right="680"/>
        <w:rPr>
          <w:rFonts w:ascii="AvantGarde Bk BT" w:hAnsi="AvantGarde Bk BT" w:cs="Arial"/>
          <w:sz w:val="22"/>
        </w:rPr>
      </w:pPr>
    </w:p>
    <w:p w14:paraId="250C97CE" w14:textId="77777777" w:rsidR="00F1632C" w:rsidRPr="00F1632C" w:rsidRDefault="00F1632C" w:rsidP="00F1632C">
      <w:pPr>
        <w:pStyle w:val="corte4fondo"/>
        <w:tabs>
          <w:tab w:val="left" w:pos="567"/>
        </w:tabs>
        <w:ind w:left="680" w:right="680" w:firstLine="0"/>
        <w:rPr>
          <w:rFonts w:ascii="AvantGarde Bk BT" w:hAnsi="AvantGarde Bk BT" w:cs="Arial"/>
          <w:sz w:val="22"/>
        </w:rPr>
      </w:pPr>
      <w:r w:rsidRPr="00F1632C">
        <w:rPr>
          <w:rFonts w:ascii="AvantGarde Bk BT" w:hAnsi="AvantGarde Bk BT" w:cs="Arial"/>
          <w:b/>
          <w:sz w:val="22"/>
        </w:rPr>
        <w:t>6.1.3.</w:t>
      </w:r>
      <w:r w:rsidRPr="00F1632C">
        <w:rPr>
          <w:rFonts w:ascii="AvantGarde Bk BT" w:hAnsi="AvantGarde Bk BT" w:cs="Arial"/>
          <w:sz w:val="22"/>
        </w:rPr>
        <w:t xml:space="preserve"> Todos los contratos firmados por la remodelación del Parque Tangamanga I.</w:t>
      </w:r>
    </w:p>
    <w:p w14:paraId="6F28787A" w14:textId="77777777" w:rsidR="00F1632C" w:rsidRPr="00F1632C" w:rsidRDefault="00F1632C" w:rsidP="00F1632C">
      <w:pPr>
        <w:pStyle w:val="corte4fondo"/>
        <w:tabs>
          <w:tab w:val="left" w:pos="567"/>
        </w:tabs>
        <w:ind w:left="680" w:right="680"/>
        <w:rPr>
          <w:rFonts w:ascii="AvantGarde Bk BT" w:hAnsi="AvantGarde Bk BT" w:cs="Arial"/>
          <w:sz w:val="22"/>
        </w:rPr>
      </w:pPr>
    </w:p>
    <w:p w14:paraId="085106CC" w14:textId="3C250099" w:rsidR="00282C68" w:rsidRPr="00F1632C" w:rsidRDefault="00F1632C" w:rsidP="00F1632C">
      <w:pPr>
        <w:pStyle w:val="corte4fondo"/>
        <w:tabs>
          <w:tab w:val="left" w:pos="567"/>
        </w:tabs>
        <w:ind w:left="680" w:right="680" w:firstLine="0"/>
        <w:rPr>
          <w:rFonts w:ascii="AvantGarde Bk BT" w:hAnsi="AvantGarde Bk BT" w:cs="Arial"/>
          <w:sz w:val="24"/>
          <w:szCs w:val="24"/>
        </w:rPr>
      </w:pPr>
      <w:r w:rsidRPr="00F1632C">
        <w:rPr>
          <w:rFonts w:ascii="AvantGarde Bk BT" w:hAnsi="AvantGarde Bk BT" w:cs="Arial"/>
          <w:b/>
          <w:sz w:val="22"/>
        </w:rPr>
        <w:t>6.1.4.</w:t>
      </w:r>
      <w:r w:rsidRPr="00F1632C">
        <w:rPr>
          <w:rFonts w:ascii="AvantGarde Bk BT" w:hAnsi="AvantGarde Bk BT" w:cs="Arial"/>
          <w:sz w:val="22"/>
        </w:rPr>
        <w:t xml:space="preserve"> Todas las facturas pagadas por la remodelación del Parque Tangamanga I.</w:t>
      </w:r>
      <w:r w:rsidR="009B6A4E" w:rsidRPr="00282C68">
        <w:rPr>
          <w:rFonts w:ascii="AvantGarde Bk BT" w:hAnsi="AvantGarde Bk BT" w:cs="Arial"/>
          <w:color w:val="000000" w:themeColor="text1"/>
          <w:sz w:val="24"/>
          <w:szCs w:val="24"/>
        </w:rPr>
        <w:t>”</w:t>
      </w:r>
    </w:p>
    <w:p w14:paraId="361E2578" w14:textId="77777777" w:rsidR="00FD01C5" w:rsidRPr="00FD01C5" w:rsidRDefault="00FD01C5" w:rsidP="00FD01C5">
      <w:pPr>
        <w:pStyle w:val="corte4fondo"/>
        <w:tabs>
          <w:tab w:val="left" w:pos="567"/>
        </w:tabs>
        <w:ind w:left="680" w:right="680" w:firstLine="0"/>
        <w:rPr>
          <w:rFonts w:ascii="AvantGarde Bk BT" w:hAnsi="AvantGarde Bk BT" w:cs="Arial"/>
          <w:sz w:val="24"/>
          <w:szCs w:val="24"/>
        </w:rPr>
      </w:pPr>
    </w:p>
    <w:p w14:paraId="217E3B7B" w14:textId="6CDD10FB" w:rsidR="00CA777A" w:rsidRDefault="009F79BB" w:rsidP="005F0301">
      <w:pPr>
        <w:pStyle w:val="corte4fondo"/>
        <w:tabs>
          <w:tab w:val="left" w:pos="567"/>
        </w:tabs>
        <w:ind w:firstLine="680"/>
        <w:rPr>
          <w:rFonts w:ascii="AvantGarde Bk BT" w:hAnsi="AvantGarde Bk BT" w:cs="Arial"/>
          <w:sz w:val="22"/>
        </w:rPr>
      </w:pPr>
      <w:r>
        <w:rPr>
          <w:rFonts w:ascii="AvantGarde Bk BT" w:hAnsi="AvantGarde Bk BT" w:cs="Arial"/>
          <w:sz w:val="22"/>
        </w:rPr>
        <w:t>Por lo cual</w:t>
      </w:r>
      <w:r w:rsidR="00CA777A" w:rsidRPr="008B55BE">
        <w:rPr>
          <w:rFonts w:ascii="AvantGarde Bk BT" w:hAnsi="AvantGarde Bk BT" w:cs="Arial"/>
          <w:sz w:val="22"/>
        </w:rPr>
        <w:t xml:space="preserve">, el sujeto obligado, mediante oficio </w:t>
      </w:r>
      <w:r w:rsidR="008D39C1" w:rsidRPr="008B55BE">
        <w:rPr>
          <w:rFonts w:ascii="AvantGarde Bk BT" w:hAnsi="AvantGarde Bk BT" w:cs="Arial"/>
          <w:sz w:val="22"/>
        </w:rPr>
        <w:t>número</w:t>
      </w:r>
      <w:r w:rsidR="00346226">
        <w:rPr>
          <w:rFonts w:ascii="AvantGarde Bk BT" w:hAnsi="AvantGarde Bk BT" w:cs="Arial"/>
          <w:sz w:val="22"/>
        </w:rPr>
        <w:t xml:space="preserve"> </w:t>
      </w:r>
      <w:r w:rsidR="00BD7547">
        <w:rPr>
          <w:rFonts w:ascii="AvantGarde Bk BT" w:hAnsi="AvantGarde Bk BT" w:cs="Arial"/>
          <w:sz w:val="22"/>
        </w:rPr>
        <w:t>UT</w:t>
      </w:r>
      <w:r>
        <w:rPr>
          <w:rFonts w:ascii="AvantGarde Bk BT" w:hAnsi="AvantGarde Bk BT" w:cs="Arial"/>
          <w:sz w:val="22"/>
        </w:rPr>
        <w:t>-03</w:t>
      </w:r>
      <w:r w:rsidR="00F1632C">
        <w:rPr>
          <w:rFonts w:ascii="AvantGarde Bk BT" w:hAnsi="AvantGarde Bk BT" w:cs="Arial"/>
          <w:sz w:val="22"/>
        </w:rPr>
        <w:t>4</w:t>
      </w:r>
      <w:r>
        <w:rPr>
          <w:rFonts w:ascii="AvantGarde Bk BT" w:hAnsi="AvantGarde Bk BT" w:cs="Arial"/>
          <w:sz w:val="22"/>
        </w:rPr>
        <w:t>/</w:t>
      </w:r>
      <w:r w:rsidR="00BD7547">
        <w:rPr>
          <w:rFonts w:ascii="AvantGarde Bk BT" w:hAnsi="AvantGarde Bk BT" w:cs="Arial"/>
          <w:sz w:val="22"/>
        </w:rPr>
        <w:t>202</w:t>
      </w:r>
      <w:r>
        <w:rPr>
          <w:rFonts w:ascii="AvantGarde Bk BT" w:hAnsi="AvantGarde Bk BT" w:cs="Arial"/>
          <w:sz w:val="22"/>
        </w:rPr>
        <w:t>3</w:t>
      </w:r>
      <w:r w:rsidR="00CA777A" w:rsidRPr="008B55BE">
        <w:rPr>
          <w:rFonts w:ascii="AvantGarde Bk BT" w:hAnsi="AvantGarde Bk BT" w:cs="Arial"/>
          <w:sz w:val="22"/>
        </w:rPr>
        <w:t xml:space="preserve">, </w:t>
      </w:r>
      <w:r w:rsidR="00BD7547">
        <w:rPr>
          <w:rFonts w:ascii="AvantGarde Bk BT" w:hAnsi="AvantGarde Bk BT" w:cs="Arial"/>
          <w:sz w:val="22"/>
        </w:rPr>
        <w:t xml:space="preserve">recibido en la oficialía de partes de esta Comisión el </w:t>
      </w:r>
      <w:r>
        <w:rPr>
          <w:rFonts w:ascii="AvantGarde Bk BT" w:hAnsi="AvantGarde Bk BT" w:cs="Arial"/>
          <w:sz w:val="22"/>
        </w:rPr>
        <w:t>06 seis de octubre de 2023 dos mil veintitrés</w:t>
      </w:r>
      <w:r w:rsidR="009A6472">
        <w:rPr>
          <w:rFonts w:ascii="AvantGarde Bk BT" w:hAnsi="AvantGarde Bk BT" w:cs="Arial"/>
          <w:sz w:val="22"/>
        </w:rPr>
        <w:t>, visible</w:t>
      </w:r>
      <w:r w:rsidR="002202DA">
        <w:rPr>
          <w:rFonts w:ascii="AvantGarde Bk BT" w:hAnsi="AvantGarde Bk BT" w:cs="Arial"/>
          <w:sz w:val="22"/>
        </w:rPr>
        <w:t xml:space="preserve"> </w:t>
      </w:r>
      <w:r w:rsidR="009A6472">
        <w:rPr>
          <w:rFonts w:ascii="AvantGarde Bk BT" w:hAnsi="AvantGarde Bk BT" w:cs="Arial"/>
          <w:sz w:val="22"/>
        </w:rPr>
        <w:t>a foja</w:t>
      </w:r>
      <w:r w:rsidR="002202DA">
        <w:rPr>
          <w:rFonts w:ascii="AvantGarde Bk BT" w:hAnsi="AvantGarde Bk BT" w:cs="Arial"/>
          <w:sz w:val="22"/>
        </w:rPr>
        <w:t xml:space="preserve"> </w:t>
      </w:r>
      <w:r w:rsidR="00F1632C">
        <w:rPr>
          <w:rFonts w:ascii="AvantGarde Bk BT" w:hAnsi="AvantGarde Bk BT" w:cs="Arial"/>
          <w:sz w:val="22"/>
        </w:rPr>
        <w:t>50 cincuenta</w:t>
      </w:r>
      <w:r>
        <w:rPr>
          <w:rFonts w:ascii="AvantGarde Bk BT" w:hAnsi="AvantGarde Bk BT" w:cs="Arial"/>
          <w:sz w:val="22"/>
        </w:rPr>
        <w:t xml:space="preserve"> </w:t>
      </w:r>
      <w:r w:rsidR="00F14D38" w:rsidRPr="008B55BE">
        <w:rPr>
          <w:rFonts w:ascii="AvantGarde Bk BT" w:hAnsi="AvantGarde Bk BT" w:cs="Arial"/>
          <w:sz w:val="22"/>
        </w:rPr>
        <w:t>de autos</w:t>
      </w:r>
      <w:r w:rsidR="00277F22" w:rsidRPr="008B55BE">
        <w:rPr>
          <w:rFonts w:ascii="AvantGarde Bk BT" w:hAnsi="AvantGarde Bk BT" w:cs="Arial"/>
          <w:sz w:val="22"/>
        </w:rPr>
        <w:t>, compareció ante esta C</w:t>
      </w:r>
      <w:r w:rsidR="00CA777A" w:rsidRPr="008B55BE">
        <w:rPr>
          <w:rFonts w:ascii="AvantGarde Bk BT" w:hAnsi="AvantGarde Bk BT" w:cs="Arial"/>
          <w:sz w:val="22"/>
        </w:rPr>
        <w:t xml:space="preserve">omisión para efecto de informar el cumplimiento a la resolución de fecha </w:t>
      </w:r>
      <w:r w:rsidR="00F1632C">
        <w:rPr>
          <w:rFonts w:ascii="AvantGarde Bk BT" w:hAnsi="AvantGarde Bk BT" w:cs="Arial"/>
          <w:sz w:val="22"/>
        </w:rPr>
        <w:t>16 dieciséis de enero de 2023 dos mil veintitrés</w:t>
      </w:r>
      <w:r w:rsidR="00CA777A" w:rsidRPr="008B55BE">
        <w:rPr>
          <w:rFonts w:ascii="AvantGarde Bk BT" w:hAnsi="AvantGarde Bk BT" w:cs="Arial"/>
          <w:sz w:val="22"/>
        </w:rPr>
        <w:t>.</w:t>
      </w:r>
    </w:p>
    <w:p w14:paraId="6F51A51A" w14:textId="77777777" w:rsidR="00F1632C" w:rsidRPr="008B55BE" w:rsidRDefault="00F1632C" w:rsidP="005F0301">
      <w:pPr>
        <w:pStyle w:val="corte4fondo"/>
        <w:tabs>
          <w:tab w:val="left" w:pos="567"/>
        </w:tabs>
        <w:ind w:firstLine="680"/>
        <w:rPr>
          <w:rFonts w:ascii="AvantGarde Bk BT" w:hAnsi="AvantGarde Bk BT" w:cs="Arial"/>
          <w:sz w:val="22"/>
        </w:rPr>
      </w:pPr>
    </w:p>
    <w:p w14:paraId="44024DA3" w14:textId="39D9A282" w:rsidR="009F79BB" w:rsidRDefault="00CA777A" w:rsidP="00CE1967">
      <w:pPr>
        <w:pStyle w:val="corte4fondo"/>
        <w:tabs>
          <w:tab w:val="left" w:pos="567"/>
        </w:tabs>
        <w:rPr>
          <w:rFonts w:ascii="AvantGarde Bk BT" w:hAnsi="AvantGarde Bk BT" w:cs="Arial"/>
          <w:sz w:val="22"/>
        </w:rPr>
      </w:pPr>
      <w:r w:rsidRPr="008B55BE">
        <w:rPr>
          <w:rFonts w:ascii="AvantGarde Bk BT" w:hAnsi="AvantGarde Bk BT" w:cs="Arial"/>
          <w:sz w:val="22"/>
        </w:rPr>
        <w:lastRenderedPageBreak/>
        <w:t xml:space="preserve"> </w:t>
      </w:r>
      <w:r w:rsidR="00163BB6">
        <w:rPr>
          <w:rFonts w:ascii="AvantGarde Bk BT" w:hAnsi="AvantGarde Bk BT" w:cs="Arial"/>
          <w:sz w:val="22"/>
        </w:rPr>
        <w:t>L</w:t>
      </w:r>
      <w:r w:rsidR="00D04385">
        <w:rPr>
          <w:rFonts w:ascii="AvantGarde Bk BT" w:hAnsi="AvantGarde Bk BT" w:cs="Arial"/>
          <w:sz w:val="22"/>
        </w:rPr>
        <w:t>os documentos</w:t>
      </w:r>
      <w:r w:rsidR="009F79BB" w:rsidRPr="009F79BB">
        <w:rPr>
          <w:rFonts w:ascii="AvantGarde Bk BT" w:hAnsi="AvantGarde Bk BT" w:cs="Arial"/>
          <w:sz w:val="22"/>
        </w:rPr>
        <w:t xml:space="preserve"> emitido</w:t>
      </w:r>
      <w:r w:rsidR="00D04385">
        <w:rPr>
          <w:rFonts w:ascii="AvantGarde Bk BT" w:hAnsi="AvantGarde Bk BT" w:cs="Arial"/>
          <w:sz w:val="22"/>
        </w:rPr>
        <w:t>s</w:t>
      </w:r>
      <w:r w:rsidR="009F79BB" w:rsidRPr="009F79BB">
        <w:rPr>
          <w:rFonts w:ascii="AvantGarde Bk BT" w:hAnsi="AvantGarde Bk BT" w:cs="Arial"/>
          <w:sz w:val="22"/>
        </w:rPr>
        <w:t xml:space="preserve"> en cumplimiento a la resolución y notificado</w:t>
      </w:r>
      <w:r w:rsidR="00D04385">
        <w:rPr>
          <w:rFonts w:ascii="AvantGarde Bk BT" w:hAnsi="AvantGarde Bk BT" w:cs="Arial"/>
          <w:sz w:val="22"/>
        </w:rPr>
        <w:t>s</w:t>
      </w:r>
      <w:r w:rsidR="009F79BB" w:rsidRPr="009F79BB">
        <w:rPr>
          <w:rFonts w:ascii="AvantGarde Bk BT" w:hAnsi="AvantGarde Bk BT" w:cs="Arial"/>
          <w:sz w:val="22"/>
        </w:rPr>
        <w:t xml:space="preserve"> </w:t>
      </w:r>
      <w:r w:rsidR="00163BB6">
        <w:rPr>
          <w:rFonts w:ascii="AvantGarde Bk BT" w:hAnsi="AvantGarde Bk BT" w:cs="Arial"/>
          <w:sz w:val="22"/>
        </w:rPr>
        <w:t>al</w:t>
      </w:r>
      <w:r w:rsidR="009F79BB" w:rsidRPr="009F79BB">
        <w:rPr>
          <w:rFonts w:ascii="AvantGarde Bk BT" w:hAnsi="AvantGarde Bk BT" w:cs="Arial"/>
          <w:sz w:val="22"/>
        </w:rPr>
        <w:t xml:space="preserve"> recurrente, </w:t>
      </w:r>
      <w:r w:rsidR="004E17B0">
        <w:rPr>
          <w:rFonts w:ascii="AvantGarde Bk BT" w:hAnsi="AvantGarde Bk BT" w:cs="Arial"/>
          <w:sz w:val="22"/>
        </w:rPr>
        <w:t xml:space="preserve">obran de foja </w:t>
      </w:r>
      <w:r w:rsidR="00163BB6">
        <w:rPr>
          <w:rFonts w:ascii="AvantGarde Bk BT" w:hAnsi="AvantGarde Bk BT" w:cs="Arial"/>
          <w:sz w:val="22"/>
        </w:rPr>
        <w:t>53 cincuenta y tres a 71 setenta y uno</w:t>
      </w:r>
      <w:r w:rsidR="004E17B0">
        <w:rPr>
          <w:rFonts w:ascii="AvantGarde Bk BT" w:hAnsi="AvantGarde Bk BT" w:cs="Arial"/>
          <w:sz w:val="22"/>
        </w:rPr>
        <w:t xml:space="preserve"> de autos, y </w:t>
      </w:r>
      <w:r w:rsidR="00D04385">
        <w:rPr>
          <w:rFonts w:ascii="AvantGarde Bk BT" w:hAnsi="AvantGarde Bk BT" w:cs="Arial"/>
          <w:sz w:val="22"/>
        </w:rPr>
        <w:t>consisten en el</w:t>
      </w:r>
      <w:r w:rsidR="00885350">
        <w:rPr>
          <w:rFonts w:ascii="AvantGarde Bk BT" w:hAnsi="AvantGarde Bk BT" w:cs="Arial"/>
          <w:sz w:val="22"/>
        </w:rPr>
        <w:t xml:space="preserve"> Acta de la </w:t>
      </w:r>
      <w:r w:rsidR="00163BB6">
        <w:rPr>
          <w:rFonts w:ascii="AvantGarde Bk BT" w:hAnsi="AvantGarde Bk BT" w:cs="Arial"/>
          <w:sz w:val="22"/>
        </w:rPr>
        <w:t>Segunda</w:t>
      </w:r>
      <w:r w:rsidR="00885350">
        <w:rPr>
          <w:rFonts w:ascii="AvantGarde Bk BT" w:hAnsi="AvantGarde Bk BT" w:cs="Arial"/>
          <w:sz w:val="22"/>
        </w:rPr>
        <w:t xml:space="preserve"> Sesión Extraordinaria del Comité de Transparencia de la Secretaría de</w:t>
      </w:r>
      <w:r w:rsidR="004E17B0">
        <w:rPr>
          <w:rFonts w:ascii="AvantGarde Bk BT" w:hAnsi="AvantGarde Bk BT" w:cs="Arial"/>
          <w:sz w:val="22"/>
        </w:rPr>
        <w:t>l 02 dos de octubre de 2023 dos mil veintitrés, en la que se resolvió:</w:t>
      </w:r>
    </w:p>
    <w:p w14:paraId="4A5D2B47" w14:textId="7352277E" w:rsidR="004E17B0" w:rsidRDefault="004E17B0" w:rsidP="009F79BB">
      <w:pPr>
        <w:pStyle w:val="corte4fondo"/>
        <w:tabs>
          <w:tab w:val="left" w:pos="567"/>
        </w:tabs>
        <w:ind w:firstLine="680"/>
        <w:rPr>
          <w:rFonts w:ascii="AvantGarde Bk BT" w:hAnsi="AvantGarde Bk BT" w:cs="Arial"/>
          <w:sz w:val="22"/>
        </w:rPr>
      </w:pPr>
    </w:p>
    <w:p w14:paraId="682A50A6" w14:textId="246DF31F" w:rsidR="00903ED5" w:rsidRPr="004E04A6" w:rsidRDefault="004E17B0" w:rsidP="004E17B0">
      <w:pPr>
        <w:pStyle w:val="corte4fondo"/>
        <w:tabs>
          <w:tab w:val="left" w:pos="567"/>
        </w:tabs>
        <w:ind w:left="680" w:right="680" w:firstLine="0"/>
        <w:rPr>
          <w:rFonts w:ascii="AvantGarde Bk BT" w:hAnsi="AvantGarde Bk BT" w:cs="Arial"/>
          <w:i/>
          <w:sz w:val="22"/>
        </w:rPr>
      </w:pPr>
      <w:r>
        <w:rPr>
          <w:rFonts w:ascii="AvantGarde Bk BT" w:hAnsi="AvantGarde Bk BT" w:cs="Arial"/>
          <w:sz w:val="22"/>
        </w:rPr>
        <w:t>“…</w:t>
      </w:r>
      <w:r w:rsidR="00903ED5" w:rsidRPr="004E04A6">
        <w:rPr>
          <w:rFonts w:ascii="AvantGarde Bk BT" w:hAnsi="AvantGarde Bk BT" w:cs="Arial"/>
          <w:i/>
          <w:sz w:val="22"/>
        </w:rPr>
        <w:t>la Dirección de Infraestructura se encuentra imposibilitada de entregar la información, con la finalidad de dar cumplimiento al recurso RR-20</w:t>
      </w:r>
      <w:r w:rsidR="00B623D5">
        <w:rPr>
          <w:rFonts w:ascii="AvantGarde Bk BT" w:hAnsi="AvantGarde Bk BT" w:cs="Arial"/>
          <w:i/>
          <w:sz w:val="22"/>
        </w:rPr>
        <w:t>69</w:t>
      </w:r>
      <w:r w:rsidR="00903ED5" w:rsidRPr="004E04A6">
        <w:rPr>
          <w:rFonts w:ascii="AvantGarde Bk BT" w:hAnsi="AvantGarde Bk BT" w:cs="Arial"/>
          <w:i/>
          <w:sz w:val="22"/>
        </w:rPr>
        <w:t>/2022-1, toda vez que, la divulgación de la información representa un riesgo real, demostrable e identificable para este Sujeto Obligado, ya que, se estaría quebrantando el interés jurídicamente protegido por la Ley de Transparencia Estatal en específico lo señalado en el artículo 129 fracción V, así como lo establecido en la Ley General de Transparencia, Ley de Fiscalización Superior del Estado de San Luis Potosí</w:t>
      </w:r>
      <w:r w:rsidR="00F70B68" w:rsidRPr="004E04A6">
        <w:rPr>
          <w:rFonts w:ascii="AvantGarde Bk BT" w:hAnsi="AvantGarde Bk BT" w:cs="Arial"/>
          <w:i/>
          <w:sz w:val="22"/>
        </w:rPr>
        <w:t xml:space="preserve">, Ley de Fiscalización y Rendición de Cuentas del Estado de San Luis Potosí, en los cuales, los entes fiscalizados, deberán entregar toda la información que se encuentre a su alcance, siempre que exista un requerimiento por parte del Instituto de Fiscalización Superior para realizar una Auditoría, así mismo de no proporcionar </w:t>
      </w:r>
      <w:r w:rsidR="00B623D5">
        <w:rPr>
          <w:rFonts w:ascii="AvantGarde Bk BT" w:hAnsi="AvantGarde Bk BT" w:cs="Arial"/>
          <w:i/>
          <w:sz w:val="22"/>
        </w:rPr>
        <w:t xml:space="preserve">la </w:t>
      </w:r>
      <w:r w:rsidR="00F70B68" w:rsidRPr="004E04A6">
        <w:rPr>
          <w:rFonts w:ascii="AvantGarde Bk BT" w:hAnsi="AvantGarde Bk BT" w:cs="Arial"/>
          <w:i/>
          <w:sz w:val="22"/>
        </w:rPr>
        <w:t>información, los responsables serán sancionados en los términos de la Ley de Responsabilidades y, en su caso, en términos de la legislación penal aplicable, por lo que, derivado de la Auditoría que en estos momentos se está realizando a la Secretaría de Desarrollo Urbano, Vivienda y Obras Públicas, no se cuenta con los documentos, toda vez que los expedientes se encuentran en la Auditoría Superior del Estado, con la finalidad de llevar a cabo el proceso de verificación, fiscalización, inspección y auditoría en los mismos, imposibilitando así el acceso a dichos expedientes con el objeto de enviar</w:t>
      </w:r>
      <w:r w:rsidR="00611AEE" w:rsidRPr="004E04A6">
        <w:rPr>
          <w:rFonts w:ascii="AvantGarde Bk BT" w:hAnsi="AvantGarde Bk BT" w:cs="Arial"/>
          <w:i/>
          <w:sz w:val="22"/>
        </w:rPr>
        <w:t xml:space="preserve"> la información requerida, hasta en tanto no se emita los informes correspondientes, siendo un acto de imposible reparación, quebrantando lo establecido en las Leyes antes mencionadas.</w:t>
      </w:r>
    </w:p>
    <w:p w14:paraId="5A19AE60" w14:textId="394EBF14" w:rsidR="00611AEE" w:rsidRPr="004E04A6" w:rsidRDefault="00611AEE" w:rsidP="004E17B0">
      <w:pPr>
        <w:pStyle w:val="corte4fondo"/>
        <w:tabs>
          <w:tab w:val="left" w:pos="567"/>
        </w:tabs>
        <w:ind w:left="680" w:right="680" w:firstLine="0"/>
        <w:rPr>
          <w:rFonts w:ascii="AvantGarde Bk BT" w:hAnsi="AvantGarde Bk BT" w:cs="Arial"/>
          <w:i/>
          <w:sz w:val="22"/>
        </w:rPr>
      </w:pPr>
      <w:r w:rsidRPr="004E04A6">
        <w:rPr>
          <w:rFonts w:ascii="AvantGarde Bk BT" w:hAnsi="AvantGarde Bk BT" w:cs="Arial"/>
          <w:i/>
          <w:sz w:val="22"/>
        </w:rPr>
        <w:t>[…]</w:t>
      </w:r>
    </w:p>
    <w:p w14:paraId="06E87DB2" w14:textId="3316D37D" w:rsidR="00903ED5" w:rsidRPr="004E04A6" w:rsidRDefault="00611AEE" w:rsidP="00611AEE">
      <w:pPr>
        <w:pStyle w:val="corte4fondo"/>
        <w:tabs>
          <w:tab w:val="left" w:pos="567"/>
        </w:tabs>
        <w:ind w:left="680" w:right="680" w:firstLine="0"/>
        <w:rPr>
          <w:rFonts w:ascii="AvantGarde Bk BT" w:hAnsi="AvantGarde Bk BT" w:cs="Arial"/>
          <w:i/>
          <w:sz w:val="22"/>
        </w:rPr>
      </w:pPr>
      <w:r w:rsidRPr="004E04A6">
        <w:rPr>
          <w:rFonts w:ascii="AvantGarde Bk BT" w:hAnsi="AvantGarde Bk BT" w:cs="Arial"/>
          <w:i/>
          <w:sz w:val="22"/>
        </w:rPr>
        <w:t>Una vez agotados los puntos del día, el Pleno de “El Comité”, considera que se trata de una clara justificación por parte de la Dirección General de Infraestructura…derivado de una Auditoría que se encuentra en proceso por lo que es susceptible de clasificarse como información reservada […]</w:t>
      </w:r>
    </w:p>
    <w:p w14:paraId="4BEA8F66" w14:textId="77777777" w:rsidR="00611AEE" w:rsidRDefault="00611AEE" w:rsidP="004E17B0">
      <w:pPr>
        <w:pStyle w:val="corte4fondo"/>
        <w:tabs>
          <w:tab w:val="left" w:pos="567"/>
        </w:tabs>
        <w:ind w:left="680" w:right="680" w:firstLine="0"/>
        <w:rPr>
          <w:rFonts w:ascii="AvantGarde Bk BT" w:hAnsi="AvantGarde Bk BT" w:cs="Arial"/>
          <w:i/>
          <w:sz w:val="22"/>
        </w:rPr>
      </w:pPr>
    </w:p>
    <w:p w14:paraId="31C211C6" w14:textId="6CC5D360" w:rsidR="004E17B0" w:rsidRPr="009F79BB" w:rsidRDefault="00611AEE" w:rsidP="004E17B0">
      <w:pPr>
        <w:pStyle w:val="corte4fondo"/>
        <w:tabs>
          <w:tab w:val="left" w:pos="567"/>
        </w:tabs>
        <w:ind w:left="680" w:right="680" w:firstLine="0"/>
        <w:rPr>
          <w:rFonts w:ascii="AvantGarde Bk BT" w:hAnsi="AvantGarde Bk BT" w:cs="Arial"/>
          <w:sz w:val="22"/>
        </w:rPr>
      </w:pPr>
      <w:r>
        <w:rPr>
          <w:rFonts w:ascii="AvantGarde Bk BT" w:hAnsi="AvantGarde Bk BT" w:cs="Arial"/>
          <w:i/>
          <w:sz w:val="22"/>
        </w:rPr>
        <w:lastRenderedPageBreak/>
        <w:t xml:space="preserve">…en virtud de lo anterior…RESUELVE </w:t>
      </w:r>
      <w:r w:rsidR="004E17B0" w:rsidRPr="004E17B0">
        <w:rPr>
          <w:rFonts w:ascii="AvantGarde Bk BT" w:hAnsi="AvantGarde Bk BT" w:cs="Arial"/>
          <w:i/>
          <w:sz w:val="22"/>
        </w:rPr>
        <w:t xml:space="preserve">POR UNANIMIDAD DE VOTOS, CLASIFICAR COMO INFORMACIÓN RESERVADA POR UN PERIODO DE 5 AÑOS TODOS LOS EXPEDIENTES RELATIVOS A LA REMODELACIÓN/REHABILITACIÓN </w:t>
      </w:r>
      <w:r w:rsidR="00AF0B4D">
        <w:rPr>
          <w:rFonts w:ascii="AvantGarde Bk BT" w:hAnsi="AvantGarde Bk BT" w:cs="Arial"/>
          <w:i/>
          <w:sz w:val="22"/>
        </w:rPr>
        <w:t>DEL PARQUE TANGAMANGA I</w:t>
      </w:r>
      <w:r w:rsidR="004E17B0">
        <w:rPr>
          <w:rFonts w:ascii="AvantGarde Bk BT" w:hAnsi="AvantGarde Bk BT" w:cs="Arial"/>
          <w:sz w:val="22"/>
        </w:rPr>
        <w:t xml:space="preserve">…” </w:t>
      </w:r>
      <w:r w:rsidR="004E17B0" w:rsidRPr="004E17B0">
        <w:rPr>
          <w:rFonts w:ascii="AvantGarde Bk BT" w:hAnsi="AvantGarde Bk BT" w:cs="Arial"/>
          <w:b/>
          <w:sz w:val="22"/>
        </w:rPr>
        <w:t>SIC</w:t>
      </w:r>
      <w:r w:rsidR="004E17B0">
        <w:rPr>
          <w:rFonts w:ascii="AvantGarde Bk BT" w:hAnsi="AvantGarde Bk BT" w:cs="Arial"/>
          <w:sz w:val="22"/>
        </w:rPr>
        <w:t xml:space="preserve">. (Visible a foja </w:t>
      </w:r>
      <w:r w:rsidR="00AF0B4D">
        <w:rPr>
          <w:rFonts w:ascii="AvantGarde Bk BT" w:hAnsi="AvantGarde Bk BT" w:cs="Arial"/>
          <w:sz w:val="22"/>
        </w:rPr>
        <w:t>68 sesenta y ocho y 69 sesenta y nueve</w:t>
      </w:r>
      <w:r w:rsidR="004E17B0">
        <w:rPr>
          <w:rFonts w:ascii="AvantGarde Bk BT" w:hAnsi="AvantGarde Bk BT" w:cs="Arial"/>
          <w:sz w:val="22"/>
        </w:rPr>
        <w:t xml:space="preserve"> de autos).</w:t>
      </w:r>
    </w:p>
    <w:p w14:paraId="16755AC9" w14:textId="4140CC9B" w:rsidR="009F79BB" w:rsidRDefault="009F79BB" w:rsidP="009F79BB">
      <w:pPr>
        <w:pStyle w:val="corte4fondo"/>
        <w:tabs>
          <w:tab w:val="left" w:pos="567"/>
        </w:tabs>
        <w:ind w:firstLine="0"/>
        <w:rPr>
          <w:rFonts w:ascii="AvantGarde Bk BT" w:hAnsi="AvantGarde Bk BT" w:cs="Arial"/>
          <w:sz w:val="22"/>
        </w:rPr>
      </w:pPr>
    </w:p>
    <w:p w14:paraId="477257F0" w14:textId="371B5863" w:rsidR="0024134B" w:rsidRPr="008B55BE" w:rsidRDefault="009F79BB" w:rsidP="004E17B0">
      <w:pPr>
        <w:pStyle w:val="corte4fondo"/>
        <w:tabs>
          <w:tab w:val="left" w:pos="567"/>
        </w:tabs>
        <w:ind w:firstLine="680"/>
        <w:rPr>
          <w:rFonts w:ascii="AvantGarde Bk BT" w:hAnsi="AvantGarde Bk BT" w:cs="Arial"/>
          <w:b/>
          <w:sz w:val="22"/>
        </w:rPr>
      </w:pPr>
      <w:r w:rsidRPr="009F79BB">
        <w:rPr>
          <w:rFonts w:ascii="AvantGarde Bk BT" w:hAnsi="AvantGarde Bk BT" w:cs="Arial"/>
          <w:sz w:val="22"/>
        </w:rPr>
        <w:t>En virtud de lo anterior, esta Comisión dio vista a la parte recurrente para que manifestara lo que a su derecho conviniera respecto del cumplimiento dado a la resolución que nos ocupa, ante lo cual, ést</w:t>
      </w:r>
      <w:r w:rsidR="00AF0B4D">
        <w:rPr>
          <w:rFonts w:ascii="AvantGarde Bk BT" w:hAnsi="AvantGarde Bk BT" w:cs="Arial"/>
          <w:sz w:val="22"/>
        </w:rPr>
        <w:t>e</w:t>
      </w:r>
      <w:r w:rsidRPr="009F79BB">
        <w:rPr>
          <w:rFonts w:ascii="AvantGarde Bk BT" w:hAnsi="AvantGarde Bk BT" w:cs="Arial"/>
          <w:sz w:val="22"/>
        </w:rPr>
        <w:t xml:space="preserve"> compareció para manifestar su inconformidad</w:t>
      </w:r>
      <w:r w:rsidR="004E17B0">
        <w:rPr>
          <w:rFonts w:ascii="AvantGarde Bk BT" w:hAnsi="AvantGarde Bk BT" w:cs="Arial"/>
          <w:sz w:val="22"/>
        </w:rPr>
        <w:t>, y señaló que</w:t>
      </w:r>
      <w:r w:rsidRPr="009F79BB">
        <w:rPr>
          <w:rFonts w:ascii="AvantGarde Bk BT" w:hAnsi="AvantGarde Bk BT" w:cs="Arial"/>
          <w:sz w:val="22"/>
        </w:rPr>
        <w:t>:</w:t>
      </w:r>
    </w:p>
    <w:p w14:paraId="034C20D3" w14:textId="77777777" w:rsidR="00AF0B4D" w:rsidRDefault="00AF0B4D" w:rsidP="00AF0B4D">
      <w:pPr>
        <w:pStyle w:val="corte4fondo"/>
        <w:tabs>
          <w:tab w:val="left" w:pos="567"/>
        </w:tabs>
        <w:ind w:right="680" w:firstLine="0"/>
        <w:rPr>
          <w:rFonts w:ascii="AvantGarde Bk BT" w:hAnsi="AvantGarde Bk BT" w:cs="Arial"/>
          <w:b/>
          <w:sz w:val="22"/>
        </w:rPr>
      </w:pPr>
    </w:p>
    <w:p w14:paraId="64DD85D3" w14:textId="350DC5D6" w:rsidR="00AF0B4D" w:rsidRDefault="004E17B0" w:rsidP="00540CA8">
      <w:pPr>
        <w:pStyle w:val="corte4fondo"/>
        <w:tabs>
          <w:tab w:val="left" w:pos="567"/>
        </w:tabs>
        <w:ind w:left="680" w:right="680" w:firstLine="0"/>
        <w:rPr>
          <w:rFonts w:ascii="AvantGarde Bk BT" w:hAnsi="AvantGarde Bk BT" w:cs="Arial"/>
          <w:i/>
          <w:sz w:val="22"/>
        </w:rPr>
      </w:pPr>
      <w:r>
        <w:rPr>
          <w:rFonts w:ascii="AvantGarde Bk BT" w:hAnsi="AvantGarde Bk BT" w:cs="Arial"/>
          <w:sz w:val="22"/>
        </w:rPr>
        <w:t>“…</w:t>
      </w:r>
      <w:r w:rsidR="00AF0B4D" w:rsidRPr="00AF0B4D">
        <w:rPr>
          <w:rFonts w:ascii="AvantGarde Bk BT" w:hAnsi="AvantGarde Bk BT" w:cs="Arial"/>
          <w:i/>
          <w:sz w:val="22"/>
        </w:rPr>
        <w:t>no me proporcionaron copia del</w:t>
      </w:r>
      <w:r w:rsidR="00AF0B4D">
        <w:rPr>
          <w:rFonts w:ascii="AvantGarde Bk BT" w:hAnsi="AvantGarde Bk BT" w:cs="Arial"/>
          <w:i/>
          <w:sz w:val="22"/>
        </w:rPr>
        <w:t xml:space="preserve"> </w:t>
      </w:r>
      <w:r w:rsidR="00AF0B4D" w:rsidRPr="00AF0B4D">
        <w:rPr>
          <w:rFonts w:ascii="AvantGarde Bk BT" w:hAnsi="AvantGarde Bk BT" w:cs="Arial"/>
          <w:i/>
          <w:sz w:val="22"/>
        </w:rPr>
        <w:t>acta de la sesión del Comité de Transparencia en la que se tomó dicha determinación, por</w:t>
      </w:r>
      <w:r w:rsidR="00AF0B4D">
        <w:rPr>
          <w:rFonts w:ascii="AvantGarde Bk BT" w:hAnsi="AvantGarde Bk BT" w:cs="Arial"/>
          <w:i/>
          <w:sz w:val="22"/>
        </w:rPr>
        <w:t xml:space="preserve"> </w:t>
      </w:r>
      <w:r w:rsidR="00AF0B4D" w:rsidRPr="00AF0B4D">
        <w:rPr>
          <w:rFonts w:ascii="AvantGarde Bk BT" w:hAnsi="AvantGarde Bk BT" w:cs="Arial"/>
          <w:i/>
          <w:sz w:val="22"/>
        </w:rPr>
        <w:t>lo que desconocía puntos importantes del contenido de la misma, como la prueba de daño</w:t>
      </w:r>
      <w:r w:rsidR="00AF0B4D">
        <w:rPr>
          <w:rFonts w:ascii="AvantGarde Bk BT" w:hAnsi="AvantGarde Bk BT" w:cs="Arial"/>
          <w:i/>
          <w:sz w:val="22"/>
        </w:rPr>
        <w:t xml:space="preserve"> </w:t>
      </w:r>
      <w:r w:rsidR="00AF0B4D" w:rsidRPr="00AF0B4D">
        <w:rPr>
          <w:rFonts w:ascii="AvantGarde Bk BT" w:hAnsi="AvantGarde Bk BT" w:cs="Arial"/>
          <w:i/>
          <w:sz w:val="22"/>
        </w:rPr>
        <w:t>presentada.</w:t>
      </w:r>
    </w:p>
    <w:p w14:paraId="0770AB5C" w14:textId="77777777" w:rsidR="00AF0B4D" w:rsidRDefault="00AF0B4D" w:rsidP="00540CA8">
      <w:pPr>
        <w:pStyle w:val="corte4fondo"/>
        <w:tabs>
          <w:tab w:val="left" w:pos="567"/>
        </w:tabs>
        <w:ind w:left="680" w:right="680" w:firstLine="0"/>
        <w:rPr>
          <w:rFonts w:ascii="AvantGarde Bk BT" w:hAnsi="AvantGarde Bk BT" w:cs="Arial"/>
          <w:i/>
          <w:sz w:val="22"/>
        </w:rPr>
      </w:pPr>
    </w:p>
    <w:p w14:paraId="0CB7AB04" w14:textId="77777777" w:rsidR="00AF0B4D" w:rsidRPr="00AF0B4D" w:rsidRDefault="00AF0B4D" w:rsidP="00540CA8">
      <w:pPr>
        <w:pStyle w:val="corte4fondo"/>
        <w:tabs>
          <w:tab w:val="left" w:pos="567"/>
        </w:tabs>
        <w:ind w:left="680" w:right="680" w:firstLine="0"/>
        <w:rPr>
          <w:rFonts w:ascii="AvantGarde Bk BT" w:hAnsi="AvantGarde Bk BT" w:cs="Arial"/>
          <w:i/>
          <w:sz w:val="22"/>
        </w:rPr>
      </w:pPr>
      <w:r w:rsidRPr="00AF0B4D">
        <w:rPr>
          <w:rFonts w:ascii="AvantGarde Bk BT" w:hAnsi="AvantGarde Bk BT" w:cs="Arial"/>
          <w:i/>
          <w:sz w:val="22"/>
        </w:rPr>
        <w:t>En aras de conocer el contenido del acuerdo, acudí a las instalaciones de la CEGAIP para consultar el expediente completo.</w:t>
      </w:r>
    </w:p>
    <w:p w14:paraId="713C2C30" w14:textId="77777777" w:rsidR="00AF0B4D" w:rsidRDefault="00AF0B4D" w:rsidP="00540CA8">
      <w:pPr>
        <w:pStyle w:val="corte4fondo"/>
        <w:tabs>
          <w:tab w:val="left" w:pos="567"/>
        </w:tabs>
        <w:ind w:left="680" w:right="680" w:firstLine="0"/>
        <w:rPr>
          <w:rFonts w:ascii="AvantGarde Bk BT" w:hAnsi="AvantGarde Bk BT" w:cs="Arial"/>
          <w:i/>
          <w:sz w:val="22"/>
        </w:rPr>
      </w:pPr>
    </w:p>
    <w:p w14:paraId="7DE1EE9E" w14:textId="77777777" w:rsidR="00AF0B4D" w:rsidRDefault="00AF0B4D" w:rsidP="00540CA8">
      <w:pPr>
        <w:pStyle w:val="corte4fondo"/>
        <w:tabs>
          <w:tab w:val="left" w:pos="567"/>
        </w:tabs>
        <w:ind w:left="680" w:right="680" w:firstLine="0"/>
        <w:rPr>
          <w:rFonts w:ascii="AvantGarde Bk BT" w:hAnsi="AvantGarde Bk BT" w:cs="Arial"/>
          <w:i/>
          <w:sz w:val="22"/>
        </w:rPr>
      </w:pPr>
      <w:r w:rsidRPr="00AF0B4D">
        <w:rPr>
          <w:rFonts w:ascii="AvantGarde Bk BT" w:hAnsi="AvantGarde Bk BT" w:cs="Arial"/>
          <w:i/>
          <w:sz w:val="22"/>
        </w:rPr>
        <w:t>En dicho expediente advertí la presencia del acuerdo al cual pude tener acceso de esta forma.</w:t>
      </w:r>
    </w:p>
    <w:p w14:paraId="75BD4439" w14:textId="77777777" w:rsidR="00AF0B4D" w:rsidRDefault="00AF0B4D" w:rsidP="00540CA8">
      <w:pPr>
        <w:pStyle w:val="corte4fondo"/>
        <w:tabs>
          <w:tab w:val="left" w:pos="567"/>
        </w:tabs>
        <w:ind w:left="680" w:right="680" w:firstLine="0"/>
        <w:rPr>
          <w:rFonts w:ascii="AvantGarde Bk BT" w:hAnsi="AvantGarde Bk BT" w:cs="Arial"/>
          <w:i/>
          <w:sz w:val="22"/>
        </w:rPr>
      </w:pPr>
    </w:p>
    <w:p w14:paraId="154AFDE8" w14:textId="400E0AB3" w:rsidR="00AF0B4D" w:rsidRPr="00AF0B4D" w:rsidRDefault="00AF0B4D" w:rsidP="00540CA8">
      <w:pPr>
        <w:pStyle w:val="corte4fondo"/>
        <w:tabs>
          <w:tab w:val="left" w:pos="567"/>
        </w:tabs>
        <w:ind w:left="680" w:right="680" w:firstLine="0"/>
        <w:rPr>
          <w:rFonts w:ascii="AvantGarde Bk BT" w:hAnsi="AvantGarde Bk BT" w:cs="Arial"/>
          <w:i/>
          <w:sz w:val="22"/>
        </w:rPr>
      </w:pPr>
      <w:r w:rsidRPr="00AF0B4D">
        <w:rPr>
          <w:rFonts w:ascii="AvantGarde Bk BT" w:hAnsi="AvantGarde Bk BT" w:cs="Arial"/>
          <w:i/>
          <w:sz w:val="22"/>
        </w:rPr>
        <w:t>Ahora bien, sobre el contenido del acuerdo de reserva advierto violaciones graves a mi derecho de acceso a la información pública. En primer lugar, porque, reitero, estoy solicitando acceder a información y documentos que deben ser difundidos mensualmente de oficio por el sujeto obligado a través de la Plataforma Estatal de Transparencia, por lo que considero totalmente inválido el argumento de la dependencia, el cual consiste en afirmar que no cuenta con los expedientes ya que fueron proporcionados a la Auditoría Superior del Estado como parte de una Auditoría Especial de Fiscalización.</w:t>
      </w:r>
    </w:p>
    <w:p w14:paraId="5DBDC622" w14:textId="77777777" w:rsidR="00AF0B4D" w:rsidRDefault="00AF0B4D" w:rsidP="00540CA8">
      <w:pPr>
        <w:pStyle w:val="corte4fondo"/>
        <w:tabs>
          <w:tab w:val="left" w:pos="567"/>
        </w:tabs>
        <w:ind w:left="680" w:right="680" w:firstLine="0"/>
        <w:rPr>
          <w:rFonts w:ascii="AvantGarde Bk BT" w:hAnsi="AvantGarde Bk BT" w:cs="Arial"/>
          <w:i/>
          <w:sz w:val="22"/>
        </w:rPr>
      </w:pPr>
    </w:p>
    <w:p w14:paraId="78FB7C07" w14:textId="60C0C120" w:rsidR="00AF0B4D" w:rsidRPr="00AF0B4D" w:rsidRDefault="00AF0B4D" w:rsidP="00540CA8">
      <w:pPr>
        <w:pStyle w:val="corte4fondo"/>
        <w:tabs>
          <w:tab w:val="left" w:pos="567"/>
        </w:tabs>
        <w:ind w:left="680" w:right="680" w:firstLine="0"/>
        <w:rPr>
          <w:rFonts w:ascii="AvantGarde Bk BT" w:hAnsi="AvantGarde Bk BT" w:cs="Arial"/>
          <w:i/>
          <w:sz w:val="22"/>
        </w:rPr>
      </w:pPr>
      <w:r w:rsidRPr="00AF0B4D">
        <w:rPr>
          <w:rFonts w:ascii="AvantGarde Bk BT" w:hAnsi="AvantGarde Bk BT" w:cs="Arial"/>
          <w:i/>
          <w:sz w:val="22"/>
        </w:rPr>
        <w:t xml:space="preserve">La prueba de daño presentada por la </w:t>
      </w:r>
      <w:proofErr w:type="spellStart"/>
      <w:r w:rsidRPr="00AF0B4D">
        <w:rPr>
          <w:rFonts w:ascii="AvantGarde Bk BT" w:hAnsi="AvantGarde Bk BT" w:cs="Arial"/>
          <w:i/>
          <w:sz w:val="22"/>
        </w:rPr>
        <w:t>Seduvop</w:t>
      </w:r>
      <w:proofErr w:type="spellEnd"/>
      <w:r w:rsidRPr="00AF0B4D">
        <w:rPr>
          <w:rFonts w:ascii="AvantGarde Bk BT" w:hAnsi="AvantGarde Bk BT" w:cs="Arial"/>
          <w:i/>
          <w:sz w:val="22"/>
        </w:rPr>
        <w:t xml:space="preserve"> señala que el oficio ASE-AEFPO-377/2023 mediante el cual la Auditoría Superior del Estado notificó a la dependencia sobre el proceso de revisión, fue entregado el 18 de agosto de 2023, es decir, hace 37 días.</w:t>
      </w:r>
    </w:p>
    <w:p w14:paraId="7C959822" w14:textId="77777777" w:rsidR="00AF0B4D" w:rsidRDefault="00AF0B4D" w:rsidP="00540CA8">
      <w:pPr>
        <w:pStyle w:val="corte4fondo"/>
        <w:tabs>
          <w:tab w:val="left" w:pos="567"/>
        </w:tabs>
        <w:ind w:left="680" w:right="680" w:firstLine="0"/>
        <w:rPr>
          <w:rFonts w:ascii="AvantGarde Bk BT" w:hAnsi="AvantGarde Bk BT" w:cs="Arial"/>
          <w:i/>
          <w:sz w:val="22"/>
        </w:rPr>
      </w:pPr>
    </w:p>
    <w:p w14:paraId="62D21512" w14:textId="47680506" w:rsidR="00AF0B4D" w:rsidRPr="00AF0B4D" w:rsidRDefault="00AF0B4D" w:rsidP="00540CA8">
      <w:pPr>
        <w:pStyle w:val="corte4fondo"/>
        <w:tabs>
          <w:tab w:val="left" w:pos="567"/>
        </w:tabs>
        <w:ind w:left="680" w:right="680" w:firstLine="0"/>
        <w:rPr>
          <w:rFonts w:ascii="AvantGarde Bk BT" w:hAnsi="AvantGarde Bk BT" w:cs="Arial"/>
          <w:i/>
          <w:sz w:val="22"/>
        </w:rPr>
      </w:pPr>
      <w:r w:rsidRPr="00AF0B4D">
        <w:rPr>
          <w:rFonts w:ascii="AvantGarde Bk BT" w:hAnsi="AvantGarde Bk BT" w:cs="Arial"/>
          <w:i/>
          <w:sz w:val="22"/>
        </w:rPr>
        <w:lastRenderedPageBreak/>
        <w:t xml:space="preserve">De acuerdo con una revisión </w:t>
      </w:r>
      <w:proofErr w:type="spellStart"/>
      <w:r w:rsidRPr="00AF0B4D">
        <w:rPr>
          <w:rFonts w:ascii="AvantGarde Bk BT" w:hAnsi="AvantGarde Bk BT" w:cs="Arial"/>
          <w:i/>
          <w:sz w:val="22"/>
        </w:rPr>
        <w:t>hemerográfica</w:t>
      </w:r>
      <w:proofErr w:type="spellEnd"/>
      <w:r w:rsidRPr="00AF0B4D">
        <w:rPr>
          <w:rFonts w:ascii="AvantGarde Bk BT" w:hAnsi="AvantGarde Bk BT" w:cs="Arial"/>
          <w:i/>
          <w:sz w:val="22"/>
        </w:rPr>
        <w:t xml:space="preserve"> en diversos medios de comunicación, se puede advertir que las obras del Parque Tangamanga I comenzaron el día 26 de septiembre de 2021:</w:t>
      </w:r>
    </w:p>
    <w:p w14:paraId="307F4F8C" w14:textId="142B6107" w:rsidR="00AF0B4D" w:rsidRPr="00AF0B4D" w:rsidRDefault="00B30F6E" w:rsidP="00540CA8">
      <w:pPr>
        <w:pStyle w:val="corte4fondo"/>
        <w:tabs>
          <w:tab w:val="left" w:pos="567"/>
        </w:tabs>
        <w:ind w:left="680" w:right="680" w:firstLine="0"/>
        <w:rPr>
          <w:rFonts w:ascii="AvantGarde Bk BT" w:hAnsi="AvantGarde Bk BT" w:cs="Arial"/>
          <w:i/>
          <w:sz w:val="22"/>
        </w:rPr>
      </w:pPr>
      <w:hyperlink r:id="rId8" w:history="1">
        <w:r w:rsidR="00AF0B4D" w:rsidRPr="00435BF2">
          <w:rPr>
            <w:rStyle w:val="Hipervnculo"/>
            <w:rFonts w:ascii="AvantGarde Bk BT" w:hAnsi="AvantGarde Bk BT" w:cs="Arial"/>
            <w:i/>
            <w:sz w:val="22"/>
          </w:rPr>
          <w:t>https://pulsoslp.com.mx/slp/dan-banderazo-de-salida-a-remodelacion-de-los-parques-tangamanga/1373634</w:t>
        </w:r>
      </w:hyperlink>
      <w:r w:rsidR="00AF0B4D">
        <w:rPr>
          <w:rFonts w:ascii="AvantGarde Bk BT" w:hAnsi="AvantGarde Bk BT" w:cs="Arial"/>
          <w:i/>
          <w:sz w:val="22"/>
        </w:rPr>
        <w:t xml:space="preserve"> </w:t>
      </w:r>
    </w:p>
    <w:p w14:paraId="1F1B78F1" w14:textId="4132E7AC" w:rsidR="00AF0B4D" w:rsidRPr="00AF0B4D" w:rsidRDefault="00B30F6E" w:rsidP="00540CA8">
      <w:pPr>
        <w:pStyle w:val="corte4fondo"/>
        <w:tabs>
          <w:tab w:val="left" w:pos="567"/>
        </w:tabs>
        <w:ind w:left="680" w:right="680" w:firstLine="0"/>
        <w:rPr>
          <w:rFonts w:ascii="AvantGarde Bk BT" w:hAnsi="AvantGarde Bk BT" w:cs="Arial"/>
          <w:i/>
          <w:sz w:val="22"/>
        </w:rPr>
      </w:pPr>
      <w:hyperlink r:id="rId9" w:history="1">
        <w:r w:rsidR="00AF0B4D" w:rsidRPr="00435BF2">
          <w:rPr>
            <w:rStyle w:val="Hipervnculo"/>
            <w:rFonts w:ascii="AvantGarde Bk BT" w:hAnsi="AvantGarde Bk BT" w:cs="Arial"/>
            <w:i/>
            <w:sz w:val="22"/>
          </w:rPr>
          <w:t>https://periodicoelmomento.com/2021/gallardo-dio-inicio-a-rehabilitacion-del-parque-tangamanga-1/</w:t>
        </w:r>
      </w:hyperlink>
      <w:r w:rsidR="00AF0B4D">
        <w:rPr>
          <w:rFonts w:ascii="AvantGarde Bk BT" w:hAnsi="AvantGarde Bk BT" w:cs="Arial"/>
          <w:i/>
          <w:sz w:val="22"/>
        </w:rPr>
        <w:t xml:space="preserve"> </w:t>
      </w:r>
    </w:p>
    <w:p w14:paraId="7BFB692C" w14:textId="1029F112" w:rsidR="00AF0B4D" w:rsidRPr="00AF0B4D" w:rsidRDefault="00B30F6E" w:rsidP="00540CA8">
      <w:pPr>
        <w:pStyle w:val="corte4fondo"/>
        <w:tabs>
          <w:tab w:val="left" w:pos="567"/>
        </w:tabs>
        <w:ind w:left="680" w:right="680" w:firstLine="0"/>
        <w:rPr>
          <w:rFonts w:ascii="AvantGarde Bk BT" w:hAnsi="AvantGarde Bk BT" w:cs="Arial"/>
          <w:i/>
          <w:sz w:val="22"/>
        </w:rPr>
      </w:pPr>
      <w:hyperlink r:id="rId10" w:history="1">
        <w:r w:rsidR="00AF0B4D" w:rsidRPr="00435BF2">
          <w:rPr>
            <w:rStyle w:val="Hipervnculo"/>
            <w:rFonts w:ascii="AvantGarde Bk BT" w:hAnsi="AvantGarde Bk BT" w:cs="Arial"/>
            <w:i/>
            <w:sz w:val="22"/>
          </w:rPr>
          <w:t>https://laorquesta.mx/arranco-la-remodelacion-del-parque-tangamanga/</w:t>
        </w:r>
      </w:hyperlink>
      <w:r w:rsidR="00AF0B4D">
        <w:rPr>
          <w:rFonts w:ascii="AvantGarde Bk BT" w:hAnsi="AvantGarde Bk BT" w:cs="Arial"/>
          <w:i/>
          <w:sz w:val="22"/>
        </w:rPr>
        <w:t xml:space="preserve"> </w:t>
      </w:r>
    </w:p>
    <w:p w14:paraId="76FEC2F4" w14:textId="0F3AB2DA" w:rsidR="00AF0B4D" w:rsidRPr="00AF0B4D" w:rsidRDefault="00B30F6E" w:rsidP="00540CA8">
      <w:pPr>
        <w:pStyle w:val="corte4fondo"/>
        <w:tabs>
          <w:tab w:val="left" w:pos="567"/>
        </w:tabs>
        <w:ind w:left="680" w:right="680" w:firstLine="0"/>
        <w:rPr>
          <w:rFonts w:ascii="AvantGarde Bk BT" w:hAnsi="AvantGarde Bk BT" w:cs="Arial"/>
          <w:i/>
          <w:sz w:val="22"/>
        </w:rPr>
      </w:pPr>
      <w:hyperlink r:id="rId11" w:history="1">
        <w:r w:rsidR="00AF0B4D" w:rsidRPr="00435BF2">
          <w:rPr>
            <w:rStyle w:val="Hipervnculo"/>
            <w:rFonts w:ascii="AvantGarde Bk BT" w:hAnsi="AvantGarde Bk BT" w:cs="Arial"/>
            <w:i/>
            <w:sz w:val="22"/>
          </w:rPr>
          <w:t>https://www.codigosanluis.com/gallardo-remodelacion-parquetangamanga/</w:t>
        </w:r>
      </w:hyperlink>
      <w:r w:rsidR="00AF0B4D">
        <w:rPr>
          <w:rFonts w:ascii="AvantGarde Bk BT" w:hAnsi="AvantGarde Bk BT" w:cs="Arial"/>
          <w:i/>
          <w:sz w:val="22"/>
        </w:rPr>
        <w:t xml:space="preserve"> </w:t>
      </w:r>
    </w:p>
    <w:p w14:paraId="53034055" w14:textId="77777777" w:rsidR="00AF0B4D" w:rsidRDefault="00AF0B4D" w:rsidP="00540CA8">
      <w:pPr>
        <w:pStyle w:val="corte4fondo"/>
        <w:tabs>
          <w:tab w:val="left" w:pos="567"/>
        </w:tabs>
        <w:ind w:left="680" w:right="680" w:firstLine="0"/>
        <w:rPr>
          <w:rFonts w:ascii="AvantGarde Bk BT" w:hAnsi="AvantGarde Bk BT" w:cs="Arial"/>
          <w:i/>
          <w:sz w:val="22"/>
        </w:rPr>
      </w:pPr>
    </w:p>
    <w:p w14:paraId="268A0227" w14:textId="0563716E" w:rsidR="00AF0B4D" w:rsidRPr="00AF0B4D" w:rsidRDefault="00AF0B4D" w:rsidP="00540CA8">
      <w:pPr>
        <w:pStyle w:val="corte4fondo"/>
        <w:tabs>
          <w:tab w:val="left" w:pos="567"/>
        </w:tabs>
        <w:ind w:left="680" w:right="680" w:firstLine="0"/>
        <w:rPr>
          <w:rFonts w:ascii="AvantGarde Bk BT" w:hAnsi="AvantGarde Bk BT" w:cs="Arial"/>
          <w:i/>
          <w:sz w:val="22"/>
        </w:rPr>
      </w:pPr>
      <w:r w:rsidRPr="00AF0B4D">
        <w:rPr>
          <w:rFonts w:ascii="AvantGarde Bk BT" w:hAnsi="AvantGarde Bk BT" w:cs="Arial"/>
          <w:i/>
          <w:sz w:val="22"/>
        </w:rPr>
        <w:t>En la misma revisión, la prensa escrita señala que dichas obras culminaron y la obra fue entregada el 8 de marzo de 2022:</w:t>
      </w:r>
    </w:p>
    <w:p w14:paraId="1A5A0AFD" w14:textId="77777777" w:rsidR="00AF0B4D" w:rsidRDefault="00AF0B4D" w:rsidP="00540CA8">
      <w:pPr>
        <w:pStyle w:val="corte4fondo"/>
        <w:tabs>
          <w:tab w:val="left" w:pos="567"/>
        </w:tabs>
        <w:ind w:left="680" w:right="680" w:firstLine="0"/>
        <w:rPr>
          <w:rFonts w:ascii="AvantGarde Bk BT" w:hAnsi="AvantGarde Bk BT" w:cs="Arial"/>
          <w:i/>
          <w:sz w:val="22"/>
        </w:rPr>
      </w:pPr>
    </w:p>
    <w:p w14:paraId="17816138" w14:textId="11F360C2" w:rsidR="00AF0B4D" w:rsidRPr="00AF0B4D" w:rsidRDefault="00B30F6E" w:rsidP="00540CA8">
      <w:pPr>
        <w:pStyle w:val="corte4fondo"/>
        <w:tabs>
          <w:tab w:val="left" w:pos="567"/>
        </w:tabs>
        <w:ind w:left="680" w:right="680" w:firstLine="0"/>
        <w:rPr>
          <w:rFonts w:ascii="AvantGarde Bk BT" w:hAnsi="AvantGarde Bk BT" w:cs="Arial"/>
          <w:i/>
          <w:sz w:val="20"/>
          <w:szCs w:val="20"/>
        </w:rPr>
      </w:pPr>
      <w:hyperlink r:id="rId12" w:history="1">
        <w:r w:rsidR="00AF0B4D" w:rsidRPr="00435BF2">
          <w:rPr>
            <w:rStyle w:val="Hipervnculo"/>
            <w:rFonts w:ascii="AvantGarde Bk BT" w:hAnsi="AvantGarde Bk BT" w:cs="Arial"/>
            <w:i/>
            <w:sz w:val="20"/>
            <w:szCs w:val="20"/>
          </w:rPr>
          <w:t>https://pulsoslp.com.mx/slp/inauguran-rehabilitacion-del-parquetangamanga-i fotos/1452738</w:t>
        </w:r>
      </w:hyperlink>
      <w:r w:rsidR="00AF0B4D" w:rsidRPr="00AF0B4D">
        <w:rPr>
          <w:rFonts w:ascii="AvantGarde Bk BT" w:hAnsi="AvantGarde Bk BT" w:cs="Arial"/>
          <w:i/>
          <w:sz w:val="20"/>
          <w:szCs w:val="20"/>
        </w:rPr>
        <w:t xml:space="preserve"> </w:t>
      </w:r>
    </w:p>
    <w:p w14:paraId="597B6D05" w14:textId="0951E6E5" w:rsidR="00AF0B4D" w:rsidRPr="00AF0B4D" w:rsidRDefault="00B30F6E" w:rsidP="00540CA8">
      <w:pPr>
        <w:pStyle w:val="corte4fondo"/>
        <w:tabs>
          <w:tab w:val="left" w:pos="567"/>
        </w:tabs>
        <w:ind w:left="680" w:right="680" w:firstLine="0"/>
        <w:rPr>
          <w:rFonts w:ascii="AvantGarde Bk BT" w:hAnsi="AvantGarde Bk BT" w:cs="Arial"/>
          <w:i/>
          <w:sz w:val="20"/>
          <w:szCs w:val="20"/>
        </w:rPr>
      </w:pPr>
      <w:hyperlink r:id="rId13" w:history="1">
        <w:r w:rsidR="00AF0B4D" w:rsidRPr="00AF0B4D">
          <w:rPr>
            <w:rStyle w:val="Hipervnculo"/>
            <w:rFonts w:ascii="AvantGarde Bk BT" w:hAnsi="AvantGarde Bk BT" w:cs="Arial"/>
            <w:i/>
            <w:sz w:val="20"/>
            <w:szCs w:val="20"/>
          </w:rPr>
          <w:t>https://canal7slp.tv/2022/gobierno-inauguro-espacios-en-el-parque-tangamanga-i/</w:t>
        </w:r>
      </w:hyperlink>
      <w:r w:rsidR="00AF0B4D" w:rsidRPr="00AF0B4D">
        <w:rPr>
          <w:rFonts w:ascii="AvantGarde Bk BT" w:hAnsi="AvantGarde Bk BT" w:cs="Arial"/>
          <w:i/>
          <w:sz w:val="20"/>
          <w:szCs w:val="20"/>
        </w:rPr>
        <w:t xml:space="preserve"> </w:t>
      </w:r>
    </w:p>
    <w:p w14:paraId="6ACFC7A9" w14:textId="0EEEB4F3" w:rsidR="00AF0B4D" w:rsidRPr="00AF0B4D" w:rsidRDefault="00B30F6E" w:rsidP="00540CA8">
      <w:pPr>
        <w:pStyle w:val="corte4fondo"/>
        <w:tabs>
          <w:tab w:val="left" w:pos="567"/>
        </w:tabs>
        <w:ind w:left="680" w:right="680" w:firstLine="0"/>
        <w:rPr>
          <w:rFonts w:ascii="AvantGarde Bk BT" w:hAnsi="AvantGarde Bk BT" w:cs="Arial"/>
          <w:i/>
          <w:sz w:val="20"/>
          <w:szCs w:val="20"/>
        </w:rPr>
      </w:pPr>
      <w:hyperlink r:id="rId14" w:history="1">
        <w:r w:rsidR="00AF0B4D" w:rsidRPr="00AF0B4D">
          <w:rPr>
            <w:rStyle w:val="Hipervnculo"/>
            <w:rFonts w:ascii="AvantGarde Bk BT" w:hAnsi="AvantGarde Bk BT" w:cs="Arial"/>
            <w:i/>
            <w:sz w:val="20"/>
            <w:szCs w:val="20"/>
          </w:rPr>
          <w:t>https://www.liderempresarial.com/asi-se-vivio-la-reinauguracion-del-parque-tangamanga-i-en-slp/</w:t>
        </w:r>
      </w:hyperlink>
      <w:r w:rsidR="00AF0B4D" w:rsidRPr="00AF0B4D">
        <w:rPr>
          <w:rFonts w:ascii="AvantGarde Bk BT" w:hAnsi="AvantGarde Bk BT" w:cs="Arial"/>
          <w:i/>
          <w:sz w:val="20"/>
          <w:szCs w:val="20"/>
        </w:rPr>
        <w:t xml:space="preserve"> </w:t>
      </w:r>
    </w:p>
    <w:p w14:paraId="27719340" w14:textId="1CF6D73F" w:rsidR="00AF0B4D" w:rsidRDefault="00AF0B4D" w:rsidP="00540CA8">
      <w:pPr>
        <w:pStyle w:val="corte4fondo"/>
        <w:tabs>
          <w:tab w:val="left" w:pos="567"/>
        </w:tabs>
        <w:ind w:left="680" w:right="680" w:firstLine="0"/>
        <w:rPr>
          <w:rFonts w:ascii="AvantGarde Bk BT" w:hAnsi="AvantGarde Bk BT" w:cs="Arial"/>
          <w:i/>
          <w:sz w:val="22"/>
        </w:rPr>
      </w:pPr>
    </w:p>
    <w:p w14:paraId="39547FCF" w14:textId="1894E8A6" w:rsidR="00AF0B4D" w:rsidRDefault="00AF0B4D" w:rsidP="00540CA8">
      <w:pPr>
        <w:pStyle w:val="corte4fondo"/>
        <w:tabs>
          <w:tab w:val="left" w:pos="567"/>
        </w:tabs>
        <w:ind w:left="680" w:right="680" w:firstLine="0"/>
        <w:rPr>
          <w:rFonts w:ascii="AvantGarde Bk BT" w:hAnsi="AvantGarde Bk BT" w:cs="Arial"/>
          <w:i/>
          <w:sz w:val="22"/>
        </w:rPr>
      </w:pPr>
      <w:r w:rsidRPr="00AF0B4D">
        <w:rPr>
          <w:rFonts w:ascii="AvantGarde Bk BT" w:hAnsi="AvantGarde Bk BT" w:cs="Arial"/>
          <w:i/>
          <w:sz w:val="22"/>
        </w:rPr>
        <w:t xml:space="preserve">Entre el 8 de marzo de 2022, día en que se entregó la obra, y el 18 de agosto de 2023, fecha en que se notificó la auditoría, pasaron 528 días, tiempo en el que la dependencia debió haber integrado, de oficio, todos los contratos y facturas que hoy se solicitan y publicarlos en versión electrónica en la Plataforma Estatal de Transparencia. De esta forma la entrega de los expedientes a la Auditoría Superior del Estado no imposibilitaría el acceso a ellos a quien lo solicitara, como justifica la </w:t>
      </w:r>
      <w:proofErr w:type="spellStart"/>
      <w:r w:rsidRPr="00AF0B4D">
        <w:rPr>
          <w:rFonts w:ascii="AvantGarde Bk BT" w:hAnsi="AvantGarde Bk BT" w:cs="Arial"/>
          <w:i/>
          <w:sz w:val="22"/>
        </w:rPr>
        <w:t>Seduvop</w:t>
      </w:r>
      <w:proofErr w:type="spellEnd"/>
      <w:r w:rsidRPr="00AF0B4D">
        <w:rPr>
          <w:rFonts w:ascii="AvantGarde Bk BT" w:hAnsi="AvantGarde Bk BT" w:cs="Arial"/>
          <w:i/>
          <w:sz w:val="22"/>
        </w:rPr>
        <w:t>. Por lo que se advierte una omisión en materia de transparencia por parte de la Secretaría.</w:t>
      </w:r>
    </w:p>
    <w:p w14:paraId="11C72C63" w14:textId="77777777" w:rsidR="00DA4B29" w:rsidRDefault="00DA4B29" w:rsidP="00540CA8">
      <w:pPr>
        <w:pStyle w:val="corte4fondo"/>
        <w:tabs>
          <w:tab w:val="left" w:pos="567"/>
        </w:tabs>
        <w:ind w:left="680" w:right="680" w:firstLine="0"/>
        <w:rPr>
          <w:rFonts w:ascii="AvantGarde Bk BT" w:hAnsi="AvantGarde Bk BT" w:cs="Arial"/>
          <w:i/>
          <w:sz w:val="22"/>
        </w:rPr>
      </w:pPr>
    </w:p>
    <w:p w14:paraId="79B8021C" w14:textId="1D9C5720" w:rsidR="00AF0B4D" w:rsidRPr="00AF0B4D" w:rsidRDefault="00AF0B4D" w:rsidP="00540CA8">
      <w:pPr>
        <w:pStyle w:val="corte4fondo"/>
        <w:tabs>
          <w:tab w:val="left" w:pos="567"/>
        </w:tabs>
        <w:ind w:left="680" w:right="680" w:firstLine="0"/>
        <w:rPr>
          <w:rFonts w:ascii="AvantGarde Bk BT" w:hAnsi="AvantGarde Bk BT" w:cs="Arial"/>
          <w:i/>
          <w:sz w:val="22"/>
        </w:rPr>
      </w:pPr>
      <w:r w:rsidRPr="00AF0B4D">
        <w:rPr>
          <w:rFonts w:ascii="AvantGarde Bk BT" w:hAnsi="AvantGarde Bk BT" w:cs="Arial"/>
          <w:i/>
          <w:sz w:val="22"/>
        </w:rPr>
        <w:t>En ese sentido existen ya dos faltas en las que ha incurrido este sujeto obligado y que deben ser sancionados por este organismo garante: la omisión en la publicación de información que debe ser difundida de oficio, y el incumplimiento doloso de la resolución del Pleno de la CEGAIP.</w:t>
      </w:r>
    </w:p>
    <w:p w14:paraId="34271BBF" w14:textId="77777777" w:rsidR="00DA4B29" w:rsidRDefault="00DA4B29" w:rsidP="00540CA8">
      <w:pPr>
        <w:pStyle w:val="corte4fondo"/>
        <w:tabs>
          <w:tab w:val="left" w:pos="567"/>
        </w:tabs>
        <w:ind w:left="680" w:right="680" w:firstLine="0"/>
        <w:rPr>
          <w:rFonts w:ascii="AvantGarde Bk BT" w:hAnsi="AvantGarde Bk BT" w:cs="Arial"/>
          <w:i/>
          <w:sz w:val="22"/>
        </w:rPr>
      </w:pPr>
    </w:p>
    <w:p w14:paraId="30CD9D9F" w14:textId="2249613C" w:rsidR="00CA777A" w:rsidRPr="00DA4B29" w:rsidRDefault="00AF0B4D" w:rsidP="00540CA8">
      <w:pPr>
        <w:pStyle w:val="corte4fondo"/>
        <w:tabs>
          <w:tab w:val="left" w:pos="567"/>
        </w:tabs>
        <w:ind w:left="680" w:right="680" w:firstLine="0"/>
        <w:rPr>
          <w:rFonts w:ascii="AvantGarde Bk BT" w:hAnsi="AvantGarde Bk BT" w:cs="Arial"/>
          <w:i/>
          <w:sz w:val="22"/>
        </w:rPr>
      </w:pPr>
      <w:r w:rsidRPr="00AF0B4D">
        <w:rPr>
          <w:rFonts w:ascii="AvantGarde Bk BT" w:hAnsi="AvantGarde Bk BT" w:cs="Arial"/>
          <w:i/>
          <w:sz w:val="22"/>
        </w:rPr>
        <w:lastRenderedPageBreak/>
        <w:t xml:space="preserve">Por lo anteriormente expuesto, solicito se decrete el INCUMPLIMIENTO a la resolución, se revoque el acuerdo de reserva y se sancione a la </w:t>
      </w:r>
      <w:proofErr w:type="spellStart"/>
      <w:r w:rsidRPr="00AF0B4D">
        <w:rPr>
          <w:rFonts w:ascii="AvantGarde Bk BT" w:hAnsi="AvantGarde Bk BT" w:cs="Arial"/>
          <w:i/>
          <w:sz w:val="22"/>
        </w:rPr>
        <w:t>Seduvop</w:t>
      </w:r>
      <w:proofErr w:type="spellEnd"/>
      <w:r w:rsidRPr="00AF0B4D">
        <w:rPr>
          <w:rFonts w:ascii="AvantGarde Bk BT" w:hAnsi="AvantGarde Bk BT" w:cs="Arial"/>
          <w:i/>
          <w:sz w:val="22"/>
        </w:rPr>
        <w:t xml:space="preserve"> por el ocultamiento doloso de información pública.</w:t>
      </w:r>
      <w:r w:rsidR="004E17B0">
        <w:rPr>
          <w:rFonts w:ascii="AvantGarde Bk BT" w:hAnsi="AvantGarde Bk BT" w:cs="Arial"/>
          <w:sz w:val="22"/>
        </w:rPr>
        <w:t xml:space="preserve">” </w:t>
      </w:r>
      <w:r w:rsidR="004E17B0" w:rsidRPr="004E17B0">
        <w:rPr>
          <w:rFonts w:ascii="AvantGarde Bk BT" w:hAnsi="AvantGarde Bk BT" w:cs="Arial"/>
          <w:b/>
          <w:sz w:val="22"/>
        </w:rPr>
        <w:t>SIC</w:t>
      </w:r>
      <w:r w:rsidR="004E17B0">
        <w:rPr>
          <w:rFonts w:ascii="AvantGarde Bk BT" w:hAnsi="AvantGarde Bk BT" w:cs="Arial"/>
          <w:sz w:val="22"/>
        </w:rPr>
        <w:t>. (Visible a foja 84 ochenta y cuatro de autos).</w:t>
      </w:r>
    </w:p>
    <w:p w14:paraId="06D2984A" w14:textId="58290D86" w:rsidR="009F79BB" w:rsidRDefault="009F79BB" w:rsidP="00CA777A">
      <w:pPr>
        <w:pStyle w:val="corte4fondo"/>
        <w:tabs>
          <w:tab w:val="left" w:pos="567"/>
        </w:tabs>
        <w:ind w:firstLine="0"/>
        <w:rPr>
          <w:rFonts w:ascii="AvantGarde Bk BT" w:hAnsi="AvantGarde Bk BT" w:cs="Arial"/>
          <w:sz w:val="22"/>
        </w:rPr>
      </w:pPr>
    </w:p>
    <w:p w14:paraId="39F8A1D3" w14:textId="3BDB6D95" w:rsidR="009F79BB" w:rsidRDefault="00CE1967" w:rsidP="00CE1967">
      <w:pPr>
        <w:pStyle w:val="corte4fondo"/>
        <w:tabs>
          <w:tab w:val="left" w:pos="567"/>
        </w:tabs>
        <w:ind w:firstLine="680"/>
        <w:rPr>
          <w:rFonts w:ascii="AvantGarde Bk BT" w:hAnsi="AvantGarde Bk BT" w:cs="Arial"/>
          <w:sz w:val="22"/>
        </w:rPr>
      </w:pPr>
      <w:r>
        <w:rPr>
          <w:rFonts w:ascii="AvantGarde Bk BT" w:hAnsi="AvantGarde Bk BT" w:cs="Arial"/>
          <w:sz w:val="22"/>
        </w:rPr>
        <w:t>Bajo este contexto, se procede al estudio de las constancias emitidas por el sujeto obligado.</w:t>
      </w:r>
    </w:p>
    <w:p w14:paraId="6C07B462" w14:textId="7EA009D6" w:rsidR="009E1776" w:rsidRDefault="009E1776" w:rsidP="00CE1967">
      <w:pPr>
        <w:pStyle w:val="corte4fondo"/>
        <w:tabs>
          <w:tab w:val="left" w:pos="567"/>
        </w:tabs>
        <w:ind w:firstLine="680"/>
        <w:rPr>
          <w:rFonts w:ascii="AvantGarde Bk BT" w:hAnsi="AvantGarde Bk BT" w:cs="Arial"/>
          <w:sz w:val="22"/>
        </w:rPr>
      </w:pPr>
    </w:p>
    <w:p w14:paraId="740AF0FA" w14:textId="5186CA6D" w:rsidR="00903ED5" w:rsidRDefault="00903ED5" w:rsidP="00903ED5">
      <w:pPr>
        <w:pStyle w:val="corte4fondo"/>
        <w:tabs>
          <w:tab w:val="left" w:pos="567"/>
        </w:tabs>
        <w:rPr>
          <w:rFonts w:ascii="AvantGarde Bk BT" w:hAnsi="AvantGarde Bk BT" w:cs="Arial"/>
          <w:sz w:val="22"/>
        </w:rPr>
      </w:pPr>
      <w:r>
        <w:rPr>
          <w:rFonts w:ascii="AvantGarde Bk BT" w:hAnsi="AvantGarde Bk BT" w:cs="Arial"/>
          <w:sz w:val="22"/>
        </w:rPr>
        <w:t xml:space="preserve">En primer lugar, respecto del acuerdo de </w:t>
      </w:r>
      <w:r w:rsidRPr="00903ED5">
        <w:rPr>
          <w:rFonts w:ascii="AvantGarde Bk BT" w:hAnsi="AvantGarde Bk BT" w:cs="Arial"/>
          <w:sz w:val="22"/>
        </w:rPr>
        <w:t>reserva de la información</w:t>
      </w:r>
      <w:r>
        <w:rPr>
          <w:rFonts w:ascii="AvantGarde Bk BT" w:hAnsi="AvantGarde Bk BT" w:cs="Arial"/>
          <w:sz w:val="22"/>
        </w:rPr>
        <w:t xml:space="preserve"> emitido por el Comité de Transparencia del sujeto obligado</w:t>
      </w:r>
      <w:r w:rsidRPr="00903ED5">
        <w:rPr>
          <w:rFonts w:ascii="AvantGarde Bk BT" w:hAnsi="AvantGarde Bk BT" w:cs="Arial"/>
          <w:sz w:val="22"/>
        </w:rPr>
        <w:t xml:space="preserve">, </w:t>
      </w:r>
      <w:r>
        <w:rPr>
          <w:rFonts w:ascii="AvantGarde Bk BT" w:hAnsi="AvantGarde Bk BT" w:cs="Arial"/>
          <w:sz w:val="22"/>
        </w:rPr>
        <w:t>resulta</w:t>
      </w:r>
      <w:r w:rsidRPr="00903ED5">
        <w:rPr>
          <w:rFonts w:ascii="AvantGarde Bk BT" w:hAnsi="AvantGarde Bk BT" w:cs="Arial"/>
          <w:sz w:val="22"/>
        </w:rPr>
        <w:t xml:space="preserve"> necesario puntualizar los alcances e implicaciones de dicha figura de ex</w:t>
      </w:r>
      <w:r>
        <w:rPr>
          <w:rFonts w:ascii="AvantGarde Bk BT" w:hAnsi="AvantGarde Bk BT" w:cs="Arial"/>
          <w:sz w:val="22"/>
        </w:rPr>
        <w:t>cepción contemplada en la norma:</w:t>
      </w:r>
    </w:p>
    <w:p w14:paraId="3B10A6CB" w14:textId="77777777" w:rsidR="00903ED5" w:rsidRPr="00903ED5" w:rsidRDefault="00903ED5" w:rsidP="00903ED5">
      <w:pPr>
        <w:pStyle w:val="corte4fondo"/>
        <w:tabs>
          <w:tab w:val="left" w:pos="567"/>
        </w:tabs>
        <w:rPr>
          <w:rFonts w:ascii="AvantGarde Bk BT" w:hAnsi="AvantGarde Bk BT" w:cs="Arial"/>
          <w:sz w:val="22"/>
        </w:rPr>
      </w:pPr>
    </w:p>
    <w:p w14:paraId="62CB9975" w14:textId="71CA8078" w:rsidR="00903ED5" w:rsidRDefault="00903ED5" w:rsidP="00903ED5">
      <w:pPr>
        <w:pStyle w:val="corte4fondo"/>
        <w:tabs>
          <w:tab w:val="left" w:pos="567"/>
        </w:tabs>
        <w:rPr>
          <w:rFonts w:ascii="AvantGarde Bk BT" w:hAnsi="AvantGarde Bk BT" w:cs="Arial"/>
          <w:sz w:val="22"/>
        </w:rPr>
      </w:pPr>
      <w:r w:rsidRPr="00903ED5">
        <w:rPr>
          <w:rFonts w:ascii="AvantGarde Bk BT" w:hAnsi="AvantGarde Bk BT" w:cs="Arial"/>
          <w:sz w:val="22"/>
        </w:rPr>
        <w:t>El artículo 6° de la Constitución Política de los Estados Unidos Mexicanos, establece:</w:t>
      </w:r>
    </w:p>
    <w:p w14:paraId="6B3DA109" w14:textId="77777777" w:rsidR="00DC2D92" w:rsidRDefault="00DC2D92" w:rsidP="00DC2D92">
      <w:pPr>
        <w:pStyle w:val="corte4fondo"/>
        <w:tabs>
          <w:tab w:val="left" w:pos="567"/>
        </w:tabs>
        <w:ind w:firstLine="0"/>
        <w:rPr>
          <w:rFonts w:ascii="AvantGarde Bk BT" w:hAnsi="AvantGarde Bk BT" w:cs="Arial"/>
          <w:sz w:val="22"/>
        </w:rPr>
      </w:pPr>
    </w:p>
    <w:p w14:paraId="37CB1A69" w14:textId="01531447" w:rsidR="00903ED5" w:rsidRPr="00DC2D92" w:rsidRDefault="00903ED5" w:rsidP="00DC2D92">
      <w:pPr>
        <w:pStyle w:val="corte4fondo"/>
        <w:tabs>
          <w:tab w:val="left" w:pos="567"/>
        </w:tabs>
        <w:ind w:left="680" w:right="680" w:firstLine="0"/>
        <w:rPr>
          <w:rFonts w:ascii="AvantGarde Bk BT" w:hAnsi="AvantGarde Bk BT" w:cs="Arial"/>
          <w:b/>
          <w:i/>
          <w:sz w:val="22"/>
        </w:rPr>
      </w:pPr>
      <w:r w:rsidRPr="00903ED5">
        <w:rPr>
          <w:rFonts w:ascii="AvantGarde Bk BT" w:hAnsi="AvantGarde Bk BT" w:cs="Arial"/>
          <w:sz w:val="22"/>
        </w:rPr>
        <w:t>“</w:t>
      </w:r>
      <w:r w:rsidRPr="00DC2D92">
        <w:rPr>
          <w:rFonts w:ascii="AvantGarde Bk BT" w:hAnsi="AvantGarde Bk BT" w:cs="Arial"/>
          <w:b/>
          <w:i/>
          <w:sz w:val="22"/>
        </w:rPr>
        <w:t>Artículo 6o.</w:t>
      </w:r>
      <w:r w:rsidRPr="00DC2D92">
        <w:rPr>
          <w:rFonts w:ascii="AvantGarde Bk BT" w:hAnsi="AvantGarde Bk BT" w:cs="Arial"/>
          <w:i/>
          <w:sz w:val="22"/>
        </w:rPr>
        <w:t xml:space="preserve"> La manifestación de las ideas no será objeto de ninguna inquisición judicial o administrativa, sino en el caso de que ataque a la moral, la vida privada o los derechos de terceros, provoque algún delito, o perturbe el orden público; el derecho de réplica será ejercido en los términos dispuestos por la ley</w:t>
      </w:r>
      <w:r w:rsidRPr="00DC2D92">
        <w:rPr>
          <w:rFonts w:ascii="AvantGarde Bk BT" w:hAnsi="AvantGarde Bk BT" w:cs="Arial"/>
          <w:b/>
          <w:i/>
          <w:sz w:val="22"/>
        </w:rPr>
        <w:t>. El derecho a la información será garantizado por el Estado.</w:t>
      </w:r>
    </w:p>
    <w:p w14:paraId="05C1001F" w14:textId="77777777" w:rsidR="00903ED5" w:rsidRPr="00DC2D92" w:rsidRDefault="00903ED5" w:rsidP="00DC2D92">
      <w:pPr>
        <w:pStyle w:val="corte4fondo"/>
        <w:tabs>
          <w:tab w:val="left" w:pos="567"/>
        </w:tabs>
        <w:ind w:left="680" w:right="680" w:firstLine="0"/>
        <w:rPr>
          <w:rFonts w:ascii="AvantGarde Bk BT" w:hAnsi="AvantGarde Bk BT" w:cs="Arial"/>
          <w:i/>
          <w:sz w:val="22"/>
        </w:rPr>
      </w:pPr>
      <w:r w:rsidRPr="00DC2D92">
        <w:rPr>
          <w:rFonts w:ascii="AvantGarde Bk BT" w:hAnsi="AvantGarde Bk BT" w:cs="Arial"/>
          <w:i/>
          <w:sz w:val="22"/>
        </w:rPr>
        <w:t>(…)</w:t>
      </w:r>
    </w:p>
    <w:p w14:paraId="582E4DCC" w14:textId="77777777" w:rsidR="00903ED5" w:rsidRPr="00DC2D92" w:rsidRDefault="00903ED5" w:rsidP="00DC2D92">
      <w:pPr>
        <w:pStyle w:val="corte4fondo"/>
        <w:tabs>
          <w:tab w:val="left" w:pos="567"/>
        </w:tabs>
        <w:ind w:left="680" w:right="680" w:firstLine="0"/>
        <w:rPr>
          <w:rFonts w:ascii="AvantGarde Bk BT" w:hAnsi="AvantGarde Bk BT" w:cs="Arial"/>
          <w:i/>
          <w:sz w:val="22"/>
        </w:rPr>
      </w:pPr>
      <w:r w:rsidRPr="00DC2D92">
        <w:rPr>
          <w:rFonts w:ascii="AvantGarde Bk BT" w:hAnsi="AvantGarde Bk BT" w:cs="Arial"/>
          <w:b/>
          <w:i/>
          <w:sz w:val="22"/>
        </w:rPr>
        <w:t>A. Para el ejercicio del derecho de acceso a la información, la Federación</w:t>
      </w:r>
      <w:r w:rsidRPr="00DC2D92">
        <w:rPr>
          <w:rFonts w:ascii="AvantGarde Bk BT" w:hAnsi="AvantGarde Bk BT" w:cs="Arial"/>
          <w:i/>
          <w:sz w:val="22"/>
        </w:rPr>
        <w:t>, los Estados y el Distrito Federal, en el ámbito de sus respectivas competencias, se regirán por los siguientes principios y bases:</w:t>
      </w:r>
    </w:p>
    <w:p w14:paraId="036B6F38" w14:textId="0E76B25B" w:rsidR="00903ED5" w:rsidRPr="00DC2D92" w:rsidRDefault="00903ED5" w:rsidP="00DC2D92">
      <w:pPr>
        <w:pStyle w:val="corte4fondo"/>
        <w:tabs>
          <w:tab w:val="left" w:pos="567"/>
        </w:tabs>
        <w:ind w:left="680" w:right="680" w:firstLine="0"/>
        <w:rPr>
          <w:rFonts w:ascii="AvantGarde Bk BT" w:hAnsi="AvantGarde Bk BT" w:cs="Arial"/>
          <w:sz w:val="22"/>
        </w:rPr>
      </w:pPr>
      <w:r w:rsidRPr="00DC2D92">
        <w:rPr>
          <w:rFonts w:ascii="AvantGarde Bk BT" w:hAnsi="AvantGarde Bk BT" w:cs="Arial"/>
          <w:b/>
          <w:i/>
          <w:sz w:val="22"/>
        </w:rPr>
        <w:t>I.     Toda la información en posesión de cualquier autoridad</w:t>
      </w:r>
      <w:r w:rsidRPr="00DC2D92">
        <w:rPr>
          <w:rFonts w:ascii="AvantGarde Bk BT" w:hAnsi="AvantGarde Bk BT" w:cs="Arial"/>
          <w:i/>
          <w:sz w:val="22"/>
        </w:rPr>
        <w:t xml:space="preserve">, entidad, órgano y organismo de los Poderes Ejecutivo, Legislativo y Judicial, órganos autónomos, partidos políticos, fideicomisos y fondos públicos, así como de cualquier persona física, moral o sindicato que reciba y ejerza recursos públicos o realice actos de autoridad en el ámbito federal, estatal y municipal, </w:t>
      </w:r>
      <w:r w:rsidRPr="00DC2D92">
        <w:rPr>
          <w:rFonts w:ascii="AvantGarde Bk BT" w:hAnsi="AvantGarde Bk BT" w:cs="Arial"/>
          <w:b/>
          <w:i/>
          <w:sz w:val="22"/>
        </w:rPr>
        <w:t>es pública y sólo podrá ser reservada temporalmente por razones de interés público y seguridad nacional, en los términos que fijen las leyes.</w:t>
      </w:r>
      <w:r w:rsidRPr="00DC2D92">
        <w:rPr>
          <w:rFonts w:ascii="AvantGarde Bk BT" w:hAnsi="AvantGarde Bk BT" w:cs="Arial"/>
          <w:i/>
          <w:sz w:val="22"/>
        </w:rPr>
        <w:t xml:space="preserve"> En la interpretación de este derecho deberá prevalecer el principio de máxima publicidad. Los sujetos obligados deberán documentar todo acto que derive del ejercicio de sus facultades, competencias o funciones</w:t>
      </w:r>
      <w:r w:rsidRPr="00DC2D92">
        <w:rPr>
          <w:rFonts w:ascii="AvantGarde Bk BT" w:hAnsi="AvantGarde Bk BT" w:cs="Arial"/>
          <w:b/>
          <w:i/>
          <w:sz w:val="22"/>
        </w:rPr>
        <w:t xml:space="preserve">, </w:t>
      </w:r>
      <w:r w:rsidRPr="00DC2D92">
        <w:rPr>
          <w:rFonts w:ascii="AvantGarde Bk BT" w:hAnsi="AvantGarde Bk BT" w:cs="Arial"/>
          <w:i/>
          <w:sz w:val="22"/>
        </w:rPr>
        <w:t xml:space="preserve">la ley determinará los </w:t>
      </w:r>
      <w:r w:rsidRPr="00DC2D92">
        <w:rPr>
          <w:rFonts w:ascii="AvantGarde Bk BT" w:hAnsi="AvantGarde Bk BT" w:cs="Arial"/>
          <w:i/>
          <w:sz w:val="22"/>
        </w:rPr>
        <w:lastRenderedPageBreak/>
        <w:t>supuestos específicos bajo los cuales procederá la declaración de inexistencia de la información</w:t>
      </w:r>
      <w:r w:rsidR="00DC2D92" w:rsidRPr="00DC2D92">
        <w:rPr>
          <w:rFonts w:ascii="AvantGarde Bk BT" w:hAnsi="AvantGarde Bk BT" w:cs="Arial"/>
          <w:sz w:val="22"/>
        </w:rPr>
        <w:t>.</w:t>
      </w:r>
      <w:r w:rsidR="00DC2D92" w:rsidRPr="00DC2D92">
        <w:rPr>
          <w:rFonts w:ascii="AvantGarde Bk BT" w:hAnsi="AvantGarde Bk BT" w:cs="Arial"/>
          <w:b/>
          <w:sz w:val="22"/>
        </w:rPr>
        <w:t>”</w:t>
      </w:r>
      <w:r w:rsidR="00DC2D92">
        <w:rPr>
          <w:rFonts w:ascii="AvantGarde Bk BT" w:hAnsi="AvantGarde Bk BT" w:cs="Arial"/>
          <w:b/>
          <w:sz w:val="22"/>
        </w:rPr>
        <w:t xml:space="preserve"> </w:t>
      </w:r>
      <w:r w:rsidR="00DC2D92" w:rsidRPr="00DC2D92">
        <w:rPr>
          <w:rFonts w:ascii="AvantGarde Bk BT" w:hAnsi="AvantGarde Bk BT" w:cs="Arial"/>
          <w:sz w:val="22"/>
        </w:rPr>
        <w:t>(Énfasis intencional).</w:t>
      </w:r>
    </w:p>
    <w:p w14:paraId="5B121922" w14:textId="77777777" w:rsidR="00DC2D92" w:rsidRPr="00903ED5" w:rsidRDefault="00DC2D92" w:rsidP="00DC2D92">
      <w:pPr>
        <w:pStyle w:val="corte4fondo"/>
        <w:tabs>
          <w:tab w:val="left" w:pos="567"/>
        </w:tabs>
        <w:ind w:firstLine="0"/>
        <w:rPr>
          <w:rFonts w:ascii="AvantGarde Bk BT" w:hAnsi="AvantGarde Bk BT" w:cs="Arial"/>
          <w:sz w:val="22"/>
        </w:rPr>
      </w:pPr>
    </w:p>
    <w:p w14:paraId="4B965E3B" w14:textId="38EFA901" w:rsidR="00903ED5" w:rsidRDefault="00A519B7" w:rsidP="00903ED5">
      <w:pPr>
        <w:pStyle w:val="corte4fondo"/>
        <w:tabs>
          <w:tab w:val="left" w:pos="567"/>
        </w:tabs>
        <w:rPr>
          <w:rFonts w:ascii="AvantGarde Bk BT" w:hAnsi="AvantGarde Bk BT" w:cs="Arial"/>
          <w:sz w:val="22"/>
        </w:rPr>
      </w:pPr>
      <w:r>
        <w:rPr>
          <w:rFonts w:ascii="AvantGarde Bk BT" w:hAnsi="AvantGarde Bk BT" w:cs="Arial"/>
          <w:sz w:val="22"/>
        </w:rPr>
        <w:t>Así, e</w:t>
      </w:r>
      <w:r w:rsidR="00903ED5" w:rsidRPr="00903ED5">
        <w:rPr>
          <w:rFonts w:ascii="AvantGarde Bk BT" w:hAnsi="AvantGarde Bk BT" w:cs="Arial"/>
          <w:sz w:val="22"/>
        </w:rPr>
        <w:t xml:space="preserve">l pacto federal dispone que toda la información en posesión del poder </w:t>
      </w:r>
      <w:r>
        <w:rPr>
          <w:rFonts w:ascii="AvantGarde Bk BT" w:hAnsi="AvantGarde Bk BT" w:cs="Arial"/>
          <w:sz w:val="22"/>
        </w:rPr>
        <w:t>ejecutivo</w:t>
      </w:r>
      <w:r w:rsidR="00903ED5" w:rsidRPr="00903ED5">
        <w:rPr>
          <w:rFonts w:ascii="AvantGarde Bk BT" w:hAnsi="AvantGarde Bk BT" w:cs="Arial"/>
          <w:sz w:val="22"/>
        </w:rPr>
        <w:t xml:space="preserve">, </w:t>
      </w:r>
      <w:r w:rsidR="00076575">
        <w:rPr>
          <w:rFonts w:ascii="AvantGarde Bk BT" w:hAnsi="AvantGarde Bk BT" w:cs="Arial"/>
          <w:sz w:val="22"/>
        </w:rPr>
        <w:t>-</w:t>
      </w:r>
      <w:r w:rsidR="00903ED5" w:rsidRPr="00903ED5">
        <w:rPr>
          <w:rFonts w:ascii="AvantGarde Bk BT" w:hAnsi="AvantGarde Bk BT" w:cs="Arial"/>
          <w:sz w:val="22"/>
        </w:rPr>
        <w:t xml:space="preserve">al caso concreto la </w:t>
      </w:r>
      <w:r>
        <w:rPr>
          <w:rFonts w:ascii="AvantGarde Bk BT" w:hAnsi="AvantGarde Bk BT" w:cs="Arial"/>
          <w:sz w:val="22"/>
        </w:rPr>
        <w:t>Secretaría de Desarrollo Urbano, Vivienda y Obras Públicas</w:t>
      </w:r>
      <w:r w:rsidR="00076575">
        <w:rPr>
          <w:rFonts w:ascii="AvantGarde Bk BT" w:hAnsi="AvantGarde Bk BT" w:cs="Arial"/>
          <w:sz w:val="22"/>
        </w:rPr>
        <w:t xml:space="preserve"> al ser una dependencia de la administración pública centralizada-</w:t>
      </w:r>
      <w:r w:rsidR="00903ED5" w:rsidRPr="00903ED5">
        <w:rPr>
          <w:rFonts w:ascii="AvantGarde Bk BT" w:hAnsi="AvantGarde Bk BT" w:cs="Arial"/>
          <w:sz w:val="22"/>
        </w:rPr>
        <w:t>, es pública y sólo podrá ser reservada temporalmente por las razones de interés público y seguridad nacional, para ello es que la Ley General de Transparencia y Acceso a la información Pública desarrolló dicha figura, como una causal de excepción a la publicidad.</w:t>
      </w:r>
    </w:p>
    <w:p w14:paraId="581718F2" w14:textId="77777777" w:rsidR="00A519B7" w:rsidRPr="00903ED5" w:rsidRDefault="00A519B7" w:rsidP="00903ED5">
      <w:pPr>
        <w:pStyle w:val="corte4fondo"/>
        <w:tabs>
          <w:tab w:val="left" w:pos="567"/>
        </w:tabs>
        <w:rPr>
          <w:rFonts w:ascii="AvantGarde Bk BT" w:hAnsi="AvantGarde Bk BT" w:cs="Arial"/>
          <w:sz w:val="22"/>
        </w:rPr>
      </w:pPr>
    </w:p>
    <w:p w14:paraId="62A9E1B0" w14:textId="582EA852" w:rsidR="00903ED5" w:rsidRPr="00903ED5" w:rsidRDefault="00076575" w:rsidP="00903ED5">
      <w:pPr>
        <w:pStyle w:val="corte4fondo"/>
        <w:tabs>
          <w:tab w:val="left" w:pos="567"/>
        </w:tabs>
        <w:rPr>
          <w:rFonts w:ascii="AvantGarde Bk BT" w:hAnsi="AvantGarde Bk BT" w:cs="Arial"/>
          <w:sz w:val="22"/>
        </w:rPr>
      </w:pPr>
      <w:r>
        <w:rPr>
          <w:rFonts w:ascii="AvantGarde Bk BT" w:hAnsi="AvantGarde Bk BT" w:cs="Arial"/>
          <w:sz w:val="22"/>
        </w:rPr>
        <w:t>Por su parte, l</w:t>
      </w:r>
      <w:r w:rsidR="00903ED5" w:rsidRPr="00903ED5">
        <w:rPr>
          <w:rFonts w:ascii="AvantGarde Bk BT" w:hAnsi="AvantGarde Bk BT" w:cs="Arial"/>
          <w:sz w:val="22"/>
        </w:rPr>
        <w:t xml:space="preserve">a Ley de Transparencia y Acceso a la Información Pública del Estado, establece en sus artículos 113, 114, 118, 127 y 129 lo siguiente: </w:t>
      </w:r>
    </w:p>
    <w:p w14:paraId="55AFE096" w14:textId="77777777" w:rsidR="00076575" w:rsidRDefault="00076575" w:rsidP="00076575">
      <w:pPr>
        <w:pStyle w:val="corte4fondo"/>
        <w:tabs>
          <w:tab w:val="left" w:pos="567"/>
        </w:tabs>
        <w:ind w:firstLine="0"/>
        <w:rPr>
          <w:rFonts w:ascii="AvantGarde Bk BT" w:hAnsi="AvantGarde Bk BT" w:cs="Arial"/>
          <w:sz w:val="22"/>
        </w:rPr>
      </w:pPr>
    </w:p>
    <w:p w14:paraId="2A43F820" w14:textId="273FCD33" w:rsidR="00903ED5" w:rsidRPr="00076575" w:rsidRDefault="00903ED5" w:rsidP="00076575">
      <w:pPr>
        <w:pStyle w:val="corte4fondo"/>
        <w:tabs>
          <w:tab w:val="left" w:pos="567"/>
        </w:tabs>
        <w:ind w:left="680" w:right="680" w:firstLine="0"/>
        <w:rPr>
          <w:rFonts w:ascii="AvantGarde Bk BT" w:hAnsi="AvantGarde Bk BT" w:cs="Arial"/>
          <w:i/>
          <w:sz w:val="22"/>
        </w:rPr>
      </w:pPr>
      <w:r w:rsidRPr="00903ED5">
        <w:rPr>
          <w:rFonts w:ascii="AvantGarde Bk BT" w:hAnsi="AvantGarde Bk BT" w:cs="Arial"/>
          <w:sz w:val="22"/>
        </w:rPr>
        <w:t>“</w:t>
      </w:r>
      <w:r w:rsidRPr="00076575">
        <w:rPr>
          <w:rFonts w:ascii="AvantGarde Bk BT" w:hAnsi="AvantGarde Bk BT" w:cs="Arial"/>
          <w:b/>
          <w:i/>
          <w:sz w:val="22"/>
        </w:rPr>
        <w:t>ARTÍCULO 113.</w:t>
      </w:r>
      <w:r w:rsidRPr="00076575">
        <w:rPr>
          <w:rFonts w:ascii="AvantGarde Bk BT" w:hAnsi="AvantGarde Bk BT" w:cs="Arial"/>
          <w:i/>
          <w:sz w:val="22"/>
        </w:rPr>
        <w:t xml:space="preserve"> Las figuras jurídicas de excepción al derecho de acceso a la información pública, son las de información reservada, e información confidencial. </w:t>
      </w:r>
    </w:p>
    <w:p w14:paraId="1A474045" w14:textId="77777777" w:rsidR="00076575" w:rsidRPr="00076575" w:rsidRDefault="00076575" w:rsidP="00076575">
      <w:pPr>
        <w:pStyle w:val="corte4fondo"/>
        <w:tabs>
          <w:tab w:val="left" w:pos="567"/>
        </w:tabs>
        <w:ind w:left="680" w:right="680" w:firstLine="0"/>
        <w:rPr>
          <w:rFonts w:ascii="AvantGarde Bk BT" w:hAnsi="AvantGarde Bk BT" w:cs="Arial"/>
          <w:i/>
          <w:sz w:val="22"/>
        </w:rPr>
      </w:pPr>
    </w:p>
    <w:p w14:paraId="0C92BFA4" w14:textId="3F898886" w:rsidR="00903ED5" w:rsidRPr="00076575" w:rsidRDefault="00903ED5" w:rsidP="00076575">
      <w:pPr>
        <w:pStyle w:val="corte4fondo"/>
        <w:tabs>
          <w:tab w:val="left" w:pos="567"/>
        </w:tabs>
        <w:ind w:left="680" w:right="680" w:firstLine="0"/>
        <w:rPr>
          <w:rFonts w:ascii="AvantGarde Bk BT" w:hAnsi="AvantGarde Bk BT" w:cs="Arial"/>
          <w:i/>
          <w:sz w:val="22"/>
        </w:rPr>
      </w:pPr>
      <w:r w:rsidRPr="00076575">
        <w:rPr>
          <w:rFonts w:ascii="AvantGarde Bk BT" w:hAnsi="AvantGarde Bk BT" w:cs="Arial"/>
          <w:b/>
          <w:i/>
          <w:sz w:val="22"/>
        </w:rPr>
        <w:t>ARTÍCULO 114.</w:t>
      </w:r>
      <w:r w:rsidRPr="00076575">
        <w:rPr>
          <w:rFonts w:ascii="AvantGarde Bk BT" w:hAnsi="AvantGarde Bk BT" w:cs="Arial"/>
          <w:i/>
          <w:sz w:val="22"/>
        </w:rPr>
        <w:t xml:space="preserve"> La clasificación es el proceso mediante el cual el sujeto obligado determina que la información en su poder </w:t>
      </w:r>
      <w:proofErr w:type="spellStart"/>
      <w:r w:rsidRPr="00076575">
        <w:rPr>
          <w:rFonts w:ascii="AvantGarde Bk BT" w:hAnsi="AvantGarde Bk BT" w:cs="Arial"/>
          <w:i/>
          <w:sz w:val="22"/>
        </w:rPr>
        <w:t>actualiza</w:t>
      </w:r>
      <w:proofErr w:type="spellEnd"/>
      <w:r w:rsidRPr="00076575">
        <w:rPr>
          <w:rFonts w:ascii="AvantGarde Bk BT" w:hAnsi="AvantGarde Bk BT" w:cs="Arial"/>
          <w:i/>
          <w:sz w:val="22"/>
        </w:rPr>
        <w:t xml:space="preserve"> alguno de los supuestos de reserva o confidencialidad, de conformidad con lo dispuesto en el presente Título. </w:t>
      </w:r>
    </w:p>
    <w:p w14:paraId="7A6DDEDE" w14:textId="77777777" w:rsidR="00076575" w:rsidRPr="00076575" w:rsidRDefault="00076575" w:rsidP="00076575">
      <w:pPr>
        <w:pStyle w:val="corte4fondo"/>
        <w:tabs>
          <w:tab w:val="left" w:pos="567"/>
        </w:tabs>
        <w:ind w:left="680" w:right="680" w:firstLine="0"/>
        <w:rPr>
          <w:rFonts w:ascii="AvantGarde Bk BT" w:hAnsi="AvantGarde Bk BT" w:cs="Arial"/>
          <w:i/>
          <w:sz w:val="22"/>
        </w:rPr>
      </w:pPr>
    </w:p>
    <w:p w14:paraId="74CEAC26" w14:textId="0D686EC3" w:rsidR="00903ED5" w:rsidRPr="00076575" w:rsidRDefault="00903ED5" w:rsidP="00076575">
      <w:pPr>
        <w:pStyle w:val="corte4fondo"/>
        <w:tabs>
          <w:tab w:val="left" w:pos="567"/>
        </w:tabs>
        <w:ind w:left="680" w:right="680" w:firstLine="0"/>
        <w:rPr>
          <w:rFonts w:ascii="AvantGarde Bk BT" w:hAnsi="AvantGarde Bk BT" w:cs="Arial"/>
          <w:i/>
          <w:sz w:val="22"/>
        </w:rPr>
      </w:pPr>
      <w:r w:rsidRPr="00076575">
        <w:rPr>
          <w:rFonts w:ascii="AvantGarde Bk BT" w:hAnsi="AvantGarde Bk BT" w:cs="Arial"/>
          <w:i/>
          <w:sz w:val="22"/>
        </w:rPr>
        <w:t xml:space="preserve">Los supuestos de reserva o confidencialidad previstos en las leyes deberán ser acordes con las bases, principios y disposiciones establecidos en esta Ley y, en ningún caso, podrán contravenirla. </w:t>
      </w:r>
    </w:p>
    <w:p w14:paraId="1D1BBA0D" w14:textId="77777777" w:rsidR="00076575" w:rsidRPr="00076575" w:rsidRDefault="00076575" w:rsidP="00076575">
      <w:pPr>
        <w:pStyle w:val="corte4fondo"/>
        <w:tabs>
          <w:tab w:val="left" w:pos="567"/>
        </w:tabs>
        <w:ind w:left="680" w:right="680" w:firstLine="0"/>
        <w:rPr>
          <w:rFonts w:ascii="AvantGarde Bk BT" w:hAnsi="AvantGarde Bk BT" w:cs="Arial"/>
          <w:i/>
          <w:sz w:val="22"/>
        </w:rPr>
      </w:pPr>
    </w:p>
    <w:p w14:paraId="37AF2923" w14:textId="70B64FAE" w:rsidR="00903ED5" w:rsidRPr="00076575" w:rsidRDefault="00903ED5" w:rsidP="00076575">
      <w:pPr>
        <w:pStyle w:val="corte4fondo"/>
        <w:tabs>
          <w:tab w:val="left" w:pos="567"/>
        </w:tabs>
        <w:ind w:left="680" w:right="680" w:firstLine="0"/>
        <w:rPr>
          <w:rFonts w:ascii="AvantGarde Bk BT" w:hAnsi="AvantGarde Bk BT" w:cs="Arial"/>
          <w:i/>
          <w:sz w:val="22"/>
        </w:rPr>
      </w:pPr>
      <w:r w:rsidRPr="00076575">
        <w:rPr>
          <w:rFonts w:ascii="AvantGarde Bk BT" w:hAnsi="AvantGarde Bk BT" w:cs="Arial"/>
          <w:i/>
          <w:sz w:val="22"/>
        </w:rPr>
        <w:t>Los titulares de las Áreas de los sujetos obligados serán los responsables de clasificar la información, de conformidad con lo dispuesto en, la Ley General y esta Ley.</w:t>
      </w:r>
    </w:p>
    <w:p w14:paraId="5B898D46" w14:textId="5641ED36" w:rsidR="00076575" w:rsidRPr="00076575" w:rsidRDefault="00076575" w:rsidP="00076575">
      <w:pPr>
        <w:pStyle w:val="corte4fondo"/>
        <w:tabs>
          <w:tab w:val="left" w:pos="567"/>
        </w:tabs>
        <w:ind w:left="680" w:right="680" w:firstLine="0"/>
        <w:rPr>
          <w:rFonts w:ascii="AvantGarde Bk BT" w:hAnsi="AvantGarde Bk BT" w:cs="Arial"/>
          <w:i/>
          <w:sz w:val="22"/>
        </w:rPr>
      </w:pPr>
      <w:r w:rsidRPr="00076575">
        <w:rPr>
          <w:rFonts w:ascii="AvantGarde Bk BT" w:hAnsi="AvantGarde Bk BT" w:cs="Arial"/>
          <w:i/>
          <w:sz w:val="22"/>
        </w:rPr>
        <w:t>[…]</w:t>
      </w:r>
    </w:p>
    <w:p w14:paraId="55C9FCF4" w14:textId="2E71B716" w:rsidR="00903ED5" w:rsidRPr="00076575" w:rsidRDefault="00903ED5" w:rsidP="00076575">
      <w:pPr>
        <w:pStyle w:val="corte4fondo"/>
        <w:tabs>
          <w:tab w:val="left" w:pos="567"/>
        </w:tabs>
        <w:ind w:left="680" w:right="680" w:firstLine="0"/>
        <w:rPr>
          <w:rFonts w:ascii="AvantGarde Bk BT" w:hAnsi="AvantGarde Bk BT" w:cs="Arial"/>
          <w:i/>
          <w:sz w:val="22"/>
        </w:rPr>
      </w:pPr>
      <w:r w:rsidRPr="00076575">
        <w:rPr>
          <w:rFonts w:ascii="AvantGarde Bk BT" w:hAnsi="AvantGarde Bk BT" w:cs="Arial"/>
          <w:b/>
          <w:i/>
          <w:sz w:val="22"/>
        </w:rPr>
        <w:t>ARTÍCULO 118.</w:t>
      </w:r>
      <w:r w:rsidRPr="00076575">
        <w:rPr>
          <w:rFonts w:ascii="AvantGarde Bk BT" w:hAnsi="AvantGarde Bk BT" w:cs="Arial"/>
          <w:i/>
          <w:sz w:val="22"/>
        </w:rPr>
        <w:t xml:space="preserve"> En la aplicación de la prueba de daño, el sujeto obligado deberá justificar que: </w:t>
      </w:r>
    </w:p>
    <w:p w14:paraId="40FA034B" w14:textId="77777777" w:rsidR="00903ED5" w:rsidRPr="00076575" w:rsidRDefault="00903ED5" w:rsidP="00076575">
      <w:pPr>
        <w:pStyle w:val="corte4fondo"/>
        <w:tabs>
          <w:tab w:val="left" w:pos="567"/>
        </w:tabs>
        <w:ind w:left="680" w:right="680" w:firstLine="0"/>
        <w:rPr>
          <w:rFonts w:ascii="AvantGarde Bk BT" w:hAnsi="AvantGarde Bk BT" w:cs="Arial"/>
          <w:i/>
          <w:sz w:val="22"/>
        </w:rPr>
      </w:pPr>
      <w:r w:rsidRPr="00076575">
        <w:rPr>
          <w:rFonts w:ascii="AvantGarde Bk BT" w:hAnsi="AvantGarde Bk BT" w:cs="Arial"/>
          <w:i/>
          <w:sz w:val="22"/>
        </w:rPr>
        <w:t xml:space="preserve">I. La divulgación de la información representa un riesgo real, demostrable e identificable de perjuicio significativo al interés público; </w:t>
      </w:r>
    </w:p>
    <w:p w14:paraId="525D283D" w14:textId="77777777" w:rsidR="00903ED5" w:rsidRPr="00076575" w:rsidRDefault="00903ED5" w:rsidP="00076575">
      <w:pPr>
        <w:pStyle w:val="corte4fondo"/>
        <w:tabs>
          <w:tab w:val="left" w:pos="567"/>
        </w:tabs>
        <w:ind w:left="680" w:right="680" w:firstLine="0"/>
        <w:rPr>
          <w:rFonts w:ascii="AvantGarde Bk BT" w:hAnsi="AvantGarde Bk BT" w:cs="Arial"/>
          <w:i/>
          <w:sz w:val="22"/>
        </w:rPr>
      </w:pPr>
      <w:r w:rsidRPr="00076575">
        <w:rPr>
          <w:rFonts w:ascii="AvantGarde Bk BT" w:hAnsi="AvantGarde Bk BT" w:cs="Arial"/>
          <w:i/>
          <w:sz w:val="22"/>
        </w:rPr>
        <w:t xml:space="preserve">II. El riesgo de perjuicio que supondría la divulgación supera el interés público general de que se difunda, y </w:t>
      </w:r>
    </w:p>
    <w:p w14:paraId="5ADD9DC0" w14:textId="77777777" w:rsidR="00903ED5" w:rsidRPr="00076575" w:rsidRDefault="00903ED5" w:rsidP="00076575">
      <w:pPr>
        <w:pStyle w:val="corte4fondo"/>
        <w:tabs>
          <w:tab w:val="left" w:pos="567"/>
        </w:tabs>
        <w:ind w:left="680" w:right="680" w:firstLine="0"/>
        <w:rPr>
          <w:rFonts w:ascii="AvantGarde Bk BT" w:hAnsi="AvantGarde Bk BT" w:cs="Arial"/>
          <w:i/>
          <w:sz w:val="22"/>
        </w:rPr>
      </w:pPr>
      <w:r w:rsidRPr="00076575">
        <w:rPr>
          <w:rFonts w:ascii="AvantGarde Bk BT" w:hAnsi="AvantGarde Bk BT" w:cs="Arial"/>
          <w:i/>
          <w:sz w:val="22"/>
        </w:rPr>
        <w:lastRenderedPageBreak/>
        <w:t>III. La limitación se adecua al principio de proporcionalidad y representa el medio menos restrictivo disponible para evitar el perjuicio.</w:t>
      </w:r>
    </w:p>
    <w:p w14:paraId="073D7123" w14:textId="0C2CBB34" w:rsidR="00076575" w:rsidRPr="00076575" w:rsidRDefault="00076575" w:rsidP="00076575">
      <w:pPr>
        <w:pStyle w:val="corte4fondo"/>
        <w:tabs>
          <w:tab w:val="left" w:pos="567"/>
        </w:tabs>
        <w:ind w:left="680" w:right="680" w:firstLine="0"/>
        <w:rPr>
          <w:rFonts w:ascii="AvantGarde Bk BT" w:hAnsi="AvantGarde Bk BT" w:cs="Arial"/>
          <w:i/>
          <w:sz w:val="22"/>
        </w:rPr>
      </w:pPr>
      <w:r w:rsidRPr="00076575">
        <w:rPr>
          <w:rFonts w:ascii="AvantGarde Bk BT" w:hAnsi="AvantGarde Bk BT" w:cs="Arial"/>
          <w:i/>
          <w:sz w:val="22"/>
        </w:rPr>
        <w:t>[…]</w:t>
      </w:r>
    </w:p>
    <w:p w14:paraId="02F9B6AE" w14:textId="3BD220B4" w:rsidR="00903ED5" w:rsidRPr="00076575" w:rsidRDefault="00903ED5" w:rsidP="00076575">
      <w:pPr>
        <w:pStyle w:val="corte4fondo"/>
        <w:tabs>
          <w:tab w:val="left" w:pos="567"/>
        </w:tabs>
        <w:ind w:left="680" w:right="680" w:firstLine="0"/>
        <w:rPr>
          <w:rFonts w:ascii="AvantGarde Bk BT" w:hAnsi="AvantGarde Bk BT" w:cs="Arial"/>
          <w:i/>
          <w:sz w:val="22"/>
        </w:rPr>
      </w:pPr>
      <w:r w:rsidRPr="00076575">
        <w:rPr>
          <w:rFonts w:ascii="AvantGarde Bk BT" w:hAnsi="AvantGarde Bk BT" w:cs="Arial"/>
          <w:b/>
          <w:i/>
          <w:sz w:val="22"/>
        </w:rPr>
        <w:t>ARTÍCULO 127.</w:t>
      </w:r>
      <w:r w:rsidRPr="00076575">
        <w:rPr>
          <w:rFonts w:ascii="AvantGarde Bk BT" w:hAnsi="AvantGarde Bk BT" w:cs="Arial"/>
          <w:i/>
          <w:sz w:val="22"/>
        </w:rPr>
        <w:t xml:space="preserve"> Se considerará reservada aquélla información </w:t>
      </w:r>
      <w:proofErr w:type="gramStart"/>
      <w:r w:rsidRPr="00076575">
        <w:rPr>
          <w:rFonts w:ascii="AvantGarde Bk BT" w:hAnsi="AvantGarde Bk BT" w:cs="Arial"/>
          <w:i/>
          <w:sz w:val="22"/>
        </w:rPr>
        <w:t>que</w:t>
      </w:r>
      <w:proofErr w:type="gramEnd"/>
      <w:r w:rsidRPr="00076575">
        <w:rPr>
          <w:rFonts w:ascii="AvantGarde Bk BT" w:hAnsi="AvantGarde Bk BT" w:cs="Arial"/>
          <w:i/>
          <w:sz w:val="22"/>
        </w:rPr>
        <w:t xml:space="preserve"> conforme a los procedimientos previstos en esta Ley, determinen los comités de transparencia de cada sujeto obligado mediante el acuerdo correspondiente. </w:t>
      </w:r>
    </w:p>
    <w:p w14:paraId="3C4554C0" w14:textId="329083FF" w:rsidR="00076575" w:rsidRPr="00076575" w:rsidRDefault="00076575" w:rsidP="00076575">
      <w:pPr>
        <w:pStyle w:val="corte4fondo"/>
        <w:tabs>
          <w:tab w:val="left" w:pos="567"/>
        </w:tabs>
        <w:ind w:left="680" w:right="680" w:firstLine="0"/>
        <w:rPr>
          <w:rFonts w:ascii="AvantGarde Bk BT" w:hAnsi="AvantGarde Bk BT" w:cs="Arial"/>
          <w:i/>
          <w:sz w:val="22"/>
        </w:rPr>
      </w:pPr>
      <w:r w:rsidRPr="00076575">
        <w:rPr>
          <w:rFonts w:ascii="AvantGarde Bk BT" w:hAnsi="AvantGarde Bk BT" w:cs="Arial"/>
          <w:i/>
          <w:sz w:val="22"/>
        </w:rPr>
        <w:t>[…]</w:t>
      </w:r>
    </w:p>
    <w:p w14:paraId="40E1E237" w14:textId="04F4BEB8" w:rsidR="00903ED5" w:rsidRPr="00076575" w:rsidRDefault="00903ED5" w:rsidP="00076575">
      <w:pPr>
        <w:pStyle w:val="corte4fondo"/>
        <w:tabs>
          <w:tab w:val="left" w:pos="567"/>
        </w:tabs>
        <w:ind w:left="680" w:right="680" w:firstLine="0"/>
        <w:rPr>
          <w:rFonts w:ascii="AvantGarde Bk BT" w:hAnsi="AvantGarde Bk BT" w:cs="Arial"/>
          <w:b/>
          <w:i/>
          <w:sz w:val="22"/>
        </w:rPr>
      </w:pPr>
      <w:r w:rsidRPr="00076575">
        <w:rPr>
          <w:rFonts w:ascii="AvantGarde Bk BT" w:hAnsi="AvantGarde Bk BT" w:cs="Arial"/>
          <w:b/>
          <w:i/>
          <w:sz w:val="22"/>
        </w:rPr>
        <w:t xml:space="preserve">ARTÍCULO 129. Como información reservada podrá clasificarse aquella cuya publicación: </w:t>
      </w:r>
    </w:p>
    <w:p w14:paraId="34B029E1" w14:textId="77777777" w:rsidR="00903ED5" w:rsidRPr="00076575" w:rsidRDefault="00903ED5" w:rsidP="00076575">
      <w:pPr>
        <w:pStyle w:val="corte4fondo"/>
        <w:tabs>
          <w:tab w:val="left" w:pos="567"/>
        </w:tabs>
        <w:ind w:left="680" w:right="680" w:firstLine="0"/>
        <w:rPr>
          <w:rFonts w:ascii="AvantGarde Bk BT" w:hAnsi="AvantGarde Bk BT" w:cs="Arial"/>
          <w:i/>
          <w:sz w:val="22"/>
        </w:rPr>
      </w:pPr>
      <w:r w:rsidRPr="00076575">
        <w:rPr>
          <w:rFonts w:ascii="AvantGarde Bk BT" w:hAnsi="AvantGarde Bk BT" w:cs="Arial"/>
          <w:b/>
          <w:i/>
          <w:sz w:val="22"/>
        </w:rPr>
        <w:t>I.</w:t>
      </w:r>
      <w:r w:rsidRPr="00076575">
        <w:rPr>
          <w:rFonts w:ascii="AvantGarde Bk BT" w:hAnsi="AvantGarde Bk BT" w:cs="Arial"/>
          <w:i/>
          <w:sz w:val="22"/>
        </w:rPr>
        <w:t xml:space="preserve"> Comprometa la seguridad pública y cuente con un propósito genuino y un efecto demostrable; </w:t>
      </w:r>
    </w:p>
    <w:p w14:paraId="65437BAC" w14:textId="77777777" w:rsidR="00903ED5" w:rsidRPr="00076575" w:rsidRDefault="00903ED5" w:rsidP="00076575">
      <w:pPr>
        <w:pStyle w:val="corte4fondo"/>
        <w:tabs>
          <w:tab w:val="left" w:pos="567"/>
        </w:tabs>
        <w:ind w:left="680" w:right="680" w:firstLine="0"/>
        <w:rPr>
          <w:rFonts w:ascii="AvantGarde Bk BT" w:hAnsi="AvantGarde Bk BT" w:cs="Arial"/>
          <w:i/>
          <w:sz w:val="22"/>
        </w:rPr>
      </w:pPr>
      <w:r w:rsidRPr="00076575">
        <w:rPr>
          <w:rFonts w:ascii="AvantGarde Bk BT" w:hAnsi="AvantGarde Bk BT" w:cs="Arial"/>
          <w:b/>
          <w:i/>
          <w:sz w:val="22"/>
        </w:rPr>
        <w:t>II.</w:t>
      </w:r>
      <w:r w:rsidRPr="00076575">
        <w:rPr>
          <w:rFonts w:ascii="AvantGarde Bk BT" w:hAnsi="AvantGarde Bk BT" w:cs="Arial"/>
          <w:i/>
          <w:sz w:val="22"/>
        </w:rPr>
        <w:t xml:space="preserve"> Pueda menoscabar la conducción de las negociaciones y relaciones internacionales; </w:t>
      </w:r>
    </w:p>
    <w:p w14:paraId="68EC54A4" w14:textId="77777777" w:rsidR="00903ED5" w:rsidRPr="00076575" w:rsidRDefault="00903ED5" w:rsidP="00076575">
      <w:pPr>
        <w:pStyle w:val="corte4fondo"/>
        <w:tabs>
          <w:tab w:val="left" w:pos="567"/>
        </w:tabs>
        <w:ind w:left="680" w:right="680" w:firstLine="0"/>
        <w:rPr>
          <w:rFonts w:ascii="AvantGarde Bk BT" w:hAnsi="AvantGarde Bk BT" w:cs="Arial"/>
          <w:i/>
          <w:sz w:val="22"/>
        </w:rPr>
      </w:pPr>
      <w:r w:rsidRPr="00076575">
        <w:rPr>
          <w:rFonts w:ascii="AvantGarde Bk BT" w:hAnsi="AvantGarde Bk BT" w:cs="Arial"/>
          <w:b/>
          <w:i/>
          <w:sz w:val="22"/>
        </w:rPr>
        <w:t>III.</w:t>
      </w:r>
      <w:r w:rsidRPr="00076575">
        <w:rPr>
          <w:rFonts w:ascii="AvantGarde Bk BT" w:hAnsi="AvantGarde Bk BT" w:cs="Arial"/>
          <w:i/>
          <w:sz w:val="22"/>
        </w:rPr>
        <w:t xml:space="preserve"> Se entregue al Estado mexicano expresamente con ese carácter o el de confidencial por otro u otros sujetos de derecho internacional, excepto cuando se trate de violaciones graves de derechos humanos o delitos de lesa humanidad de conformidad con el derecho internacional; </w:t>
      </w:r>
    </w:p>
    <w:p w14:paraId="4D780BA4" w14:textId="77777777" w:rsidR="00903ED5" w:rsidRPr="00076575" w:rsidRDefault="00903ED5" w:rsidP="00076575">
      <w:pPr>
        <w:pStyle w:val="corte4fondo"/>
        <w:tabs>
          <w:tab w:val="left" w:pos="567"/>
        </w:tabs>
        <w:ind w:left="680" w:right="680" w:firstLine="0"/>
        <w:rPr>
          <w:rFonts w:ascii="AvantGarde Bk BT" w:hAnsi="AvantGarde Bk BT" w:cs="Arial"/>
          <w:i/>
          <w:sz w:val="22"/>
        </w:rPr>
      </w:pPr>
      <w:r w:rsidRPr="00076575">
        <w:rPr>
          <w:rFonts w:ascii="AvantGarde Bk BT" w:hAnsi="AvantGarde Bk BT" w:cs="Arial"/>
          <w:b/>
          <w:i/>
          <w:sz w:val="22"/>
        </w:rPr>
        <w:t>IV.</w:t>
      </w:r>
      <w:r w:rsidRPr="00076575">
        <w:rPr>
          <w:rFonts w:ascii="AvantGarde Bk BT" w:hAnsi="AvantGarde Bk BT" w:cs="Arial"/>
          <w:i/>
          <w:sz w:val="22"/>
        </w:rPr>
        <w:t xml:space="preserve"> Pueda poner en riesgo la vida, seguridad o salud de una persona física; </w:t>
      </w:r>
    </w:p>
    <w:p w14:paraId="224F17FD" w14:textId="77777777" w:rsidR="00076575" w:rsidRDefault="00903ED5" w:rsidP="00076575">
      <w:pPr>
        <w:pStyle w:val="corte4fondo"/>
        <w:tabs>
          <w:tab w:val="left" w:pos="567"/>
        </w:tabs>
        <w:ind w:left="680" w:right="680" w:firstLine="0"/>
        <w:rPr>
          <w:rFonts w:ascii="AvantGarde Bk BT" w:hAnsi="AvantGarde Bk BT" w:cs="Arial"/>
          <w:i/>
          <w:sz w:val="22"/>
        </w:rPr>
      </w:pPr>
      <w:r w:rsidRPr="00076575">
        <w:rPr>
          <w:rFonts w:ascii="AvantGarde Bk BT" w:hAnsi="AvantGarde Bk BT" w:cs="Arial"/>
          <w:b/>
          <w:i/>
          <w:sz w:val="22"/>
        </w:rPr>
        <w:t>V.</w:t>
      </w:r>
      <w:r w:rsidRPr="00076575">
        <w:rPr>
          <w:rFonts w:ascii="AvantGarde Bk BT" w:hAnsi="AvantGarde Bk BT" w:cs="Arial"/>
          <w:i/>
          <w:sz w:val="22"/>
        </w:rPr>
        <w:t xml:space="preserve"> Obstruya las actividades de verificación, inspección y auditoría relativas al cumplimiento de las leyes o afecte la recaudación de contribuciones; </w:t>
      </w:r>
    </w:p>
    <w:p w14:paraId="11637A48" w14:textId="028ACFB6" w:rsidR="00903ED5" w:rsidRPr="00076575" w:rsidRDefault="00903ED5" w:rsidP="00076575">
      <w:pPr>
        <w:pStyle w:val="corte4fondo"/>
        <w:tabs>
          <w:tab w:val="left" w:pos="567"/>
        </w:tabs>
        <w:ind w:left="680" w:right="680" w:firstLine="0"/>
        <w:rPr>
          <w:rFonts w:ascii="AvantGarde Bk BT" w:hAnsi="AvantGarde Bk BT" w:cs="Arial"/>
          <w:i/>
          <w:sz w:val="22"/>
        </w:rPr>
      </w:pPr>
      <w:r w:rsidRPr="00076575">
        <w:rPr>
          <w:rFonts w:ascii="AvantGarde Bk BT" w:hAnsi="AvantGarde Bk BT" w:cs="Arial"/>
          <w:b/>
          <w:i/>
          <w:sz w:val="22"/>
        </w:rPr>
        <w:t>VI.</w:t>
      </w:r>
      <w:r w:rsidRPr="00076575">
        <w:rPr>
          <w:rFonts w:ascii="AvantGarde Bk BT" w:hAnsi="AvantGarde Bk BT" w:cs="Arial"/>
          <w:i/>
          <w:sz w:val="22"/>
        </w:rPr>
        <w:t xml:space="preserve"> Obstruya la prevención o persecución de los delitos; </w:t>
      </w:r>
    </w:p>
    <w:p w14:paraId="3056DE9E" w14:textId="77777777" w:rsidR="00903ED5" w:rsidRPr="00076575" w:rsidRDefault="00903ED5" w:rsidP="00076575">
      <w:pPr>
        <w:pStyle w:val="corte4fondo"/>
        <w:tabs>
          <w:tab w:val="left" w:pos="567"/>
        </w:tabs>
        <w:ind w:left="680" w:right="680" w:firstLine="0"/>
        <w:rPr>
          <w:rFonts w:ascii="AvantGarde Bk BT" w:hAnsi="AvantGarde Bk BT" w:cs="Arial"/>
          <w:i/>
          <w:sz w:val="22"/>
        </w:rPr>
      </w:pPr>
      <w:r w:rsidRPr="00076575">
        <w:rPr>
          <w:rFonts w:ascii="AvantGarde Bk BT" w:hAnsi="AvantGarde Bk BT" w:cs="Arial"/>
          <w:b/>
          <w:i/>
          <w:sz w:val="22"/>
        </w:rPr>
        <w:t>VII.</w:t>
      </w:r>
      <w:r w:rsidRPr="00076575">
        <w:rPr>
          <w:rFonts w:ascii="AvantGarde Bk BT" w:hAnsi="AvantGarde Bk BT" w:cs="Arial"/>
          <w:i/>
          <w:sz w:val="22"/>
        </w:rPr>
        <w:t xml:space="preserve"> La que contenga las opiniones, recomendaciones o puntos de vista que formen parte del proceso deliberativo de los servidores públicos, hasta en tanto no sea adoptada la decisión definitiva, la cual deberá estar documentada; </w:t>
      </w:r>
    </w:p>
    <w:p w14:paraId="0FA731A9" w14:textId="77777777" w:rsidR="00903ED5" w:rsidRPr="00076575" w:rsidRDefault="00903ED5" w:rsidP="00076575">
      <w:pPr>
        <w:pStyle w:val="corte4fondo"/>
        <w:tabs>
          <w:tab w:val="left" w:pos="567"/>
        </w:tabs>
        <w:ind w:left="680" w:right="680" w:firstLine="0"/>
        <w:rPr>
          <w:rFonts w:ascii="AvantGarde Bk BT" w:hAnsi="AvantGarde Bk BT" w:cs="Arial"/>
          <w:i/>
          <w:sz w:val="22"/>
        </w:rPr>
      </w:pPr>
      <w:r w:rsidRPr="00076575">
        <w:rPr>
          <w:rFonts w:ascii="AvantGarde Bk BT" w:hAnsi="AvantGarde Bk BT" w:cs="Arial"/>
          <w:b/>
          <w:i/>
          <w:sz w:val="22"/>
        </w:rPr>
        <w:t>VIII.</w:t>
      </w:r>
      <w:r w:rsidRPr="00076575">
        <w:rPr>
          <w:rFonts w:ascii="AvantGarde Bk BT" w:hAnsi="AvantGarde Bk BT" w:cs="Arial"/>
          <w:i/>
          <w:sz w:val="22"/>
        </w:rPr>
        <w:t xml:space="preserve"> Obstruya los procedimientos para fincar responsabilidad a los Servidores Públicos, en tanto no se haya dictado la resolución administrativa; </w:t>
      </w:r>
    </w:p>
    <w:p w14:paraId="1C28E734" w14:textId="77777777" w:rsidR="00903ED5" w:rsidRPr="00076575" w:rsidRDefault="00903ED5" w:rsidP="00076575">
      <w:pPr>
        <w:pStyle w:val="corte4fondo"/>
        <w:tabs>
          <w:tab w:val="left" w:pos="567"/>
        </w:tabs>
        <w:ind w:left="680" w:right="680" w:firstLine="0"/>
        <w:rPr>
          <w:rFonts w:ascii="AvantGarde Bk BT" w:hAnsi="AvantGarde Bk BT" w:cs="Arial"/>
          <w:i/>
          <w:sz w:val="22"/>
        </w:rPr>
      </w:pPr>
      <w:r w:rsidRPr="00076575">
        <w:rPr>
          <w:rFonts w:ascii="AvantGarde Bk BT" w:hAnsi="AvantGarde Bk BT" w:cs="Arial"/>
          <w:b/>
          <w:i/>
          <w:sz w:val="22"/>
        </w:rPr>
        <w:t>IX.</w:t>
      </w:r>
      <w:r w:rsidRPr="00076575">
        <w:rPr>
          <w:rFonts w:ascii="AvantGarde Bk BT" w:hAnsi="AvantGarde Bk BT" w:cs="Arial"/>
          <w:i/>
          <w:sz w:val="22"/>
        </w:rPr>
        <w:t xml:space="preserve"> Afecte los derechos del debido proceso; </w:t>
      </w:r>
    </w:p>
    <w:p w14:paraId="71D39C6A" w14:textId="77777777" w:rsidR="00076575" w:rsidRPr="00076575" w:rsidRDefault="00903ED5" w:rsidP="00076575">
      <w:pPr>
        <w:pStyle w:val="corte4fondo"/>
        <w:tabs>
          <w:tab w:val="left" w:pos="567"/>
        </w:tabs>
        <w:ind w:left="680" w:right="680" w:firstLine="0"/>
        <w:rPr>
          <w:rFonts w:ascii="AvantGarde Bk BT" w:hAnsi="AvantGarde Bk BT" w:cs="Arial"/>
          <w:i/>
          <w:sz w:val="22"/>
        </w:rPr>
      </w:pPr>
      <w:r w:rsidRPr="00076575">
        <w:rPr>
          <w:rFonts w:ascii="AvantGarde Bk BT" w:hAnsi="AvantGarde Bk BT" w:cs="Arial"/>
          <w:b/>
          <w:i/>
          <w:sz w:val="22"/>
        </w:rPr>
        <w:t>X.</w:t>
      </w:r>
      <w:r w:rsidRPr="00076575">
        <w:rPr>
          <w:rFonts w:ascii="AvantGarde Bk BT" w:hAnsi="AvantGarde Bk BT" w:cs="Arial"/>
          <w:i/>
          <w:sz w:val="22"/>
        </w:rPr>
        <w:t xml:space="preserve"> Vulnere la conducción de los Expedientes judiciales o de los procedimientos administrativos seguidos en forma de juicio, en tanto no hayan causado estado;</w:t>
      </w:r>
    </w:p>
    <w:p w14:paraId="683A8251" w14:textId="7130A269" w:rsidR="00903ED5" w:rsidRPr="00076575" w:rsidRDefault="00903ED5" w:rsidP="00076575">
      <w:pPr>
        <w:pStyle w:val="corte4fondo"/>
        <w:tabs>
          <w:tab w:val="left" w:pos="567"/>
        </w:tabs>
        <w:ind w:left="680" w:right="680" w:firstLine="0"/>
        <w:rPr>
          <w:rFonts w:ascii="AvantGarde Bk BT" w:hAnsi="AvantGarde Bk BT" w:cs="Arial"/>
          <w:i/>
          <w:sz w:val="22"/>
        </w:rPr>
      </w:pPr>
      <w:r w:rsidRPr="00076575">
        <w:rPr>
          <w:rFonts w:ascii="AvantGarde Bk BT" w:hAnsi="AvantGarde Bk BT" w:cs="Arial"/>
          <w:i/>
          <w:sz w:val="22"/>
        </w:rPr>
        <w:lastRenderedPageBreak/>
        <w:t xml:space="preserve"> </w:t>
      </w:r>
      <w:r w:rsidRPr="00076575">
        <w:rPr>
          <w:rFonts w:ascii="AvantGarde Bk BT" w:hAnsi="AvantGarde Bk BT" w:cs="Arial"/>
          <w:b/>
          <w:i/>
          <w:sz w:val="22"/>
        </w:rPr>
        <w:t>XI.</w:t>
      </w:r>
      <w:r w:rsidRPr="00076575">
        <w:rPr>
          <w:rFonts w:ascii="AvantGarde Bk BT" w:hAnsi="AvantGarde Bk BT" w:cs="Arial"/>
          <w:i/>
          <w:sz w:val="22"/>
        </w:rPr>
        <w:t xml:space="preserve"> Se encuentre contenida dentro de las investigaciones de hechos que la ley señale como delitos y se tramiten ante el Ministerio Público, y </w:t>
      </w:r>
    </w:p>
    <w:p w14:paraId="27A641C2" w14:textId="77777777" w:rsidR="00903ED5" w:rsidRPr="00903ED5" w:rsidRDefault="00903ED5" w:rsidP="00076575">
      <w:pPr>
        <w:pStyle w:val="corte4fondo"/>
        <w:tabs>
          <w:tab w:val="left" w:pos="567"/>
        </w:tabs>
        <w:ind w:left="680" w:right="680" w:firstLine="0"/>
        <w:rPr>
          <w:rFonts w:ascii="AvantGarde Bk BT" w:hAnsi="AvantGarde Bk BT" w:cs="Arial"/>
          <w:sz w:val="22"/>
        </w:rPr>
      </w:pPr>
      <w:r w:rsidRPr="00076575">
        <w:rPr>
          <w:rFonts w:ascii="AvantGarde Bk BT" w:hAnsi="AvantGarde Bk BT" w:cs="Arial"/>
          <w:b/>
          <w:i/>
          <w:sz w:val="22"/>
        </w:rPr>
        <w:t>XII.</w:t>
      </w:r>
      <w:r w:rsidRPr="00076575">
        <w:rPr>
          <w:rFonts w:ascii="AvantGarde Bk BT" w:hAnsi="AvantGarde Bk BT" w:cs="Arial"/>
          <w:i/>
          <w:sz w:val="22"/>
        </w:rPr>
        <w:t xml:space="preserve"> Las que por disposición expresa de una ley tengan tal carácter, siempre que sean acordes con las bases, principios y disposiciones establecidos en esta Ley y no la contravengan; así como las previstas en tratados internacionales</w:t>
      </w:r>
      <w:r w:rsidRPr="00903ED5">
        <w:rPr>
          <w:rFonts w:ascii="AvantGarde Bk BT" w:hAnsi="AvantGarde Bk BT" w:cs="Arial"/>
          <w:sz w:val="22"/>
        </w:rPr>
        <w:t>”.</w:t>
      </w:r>
    </w:p>
    <w:p w14:paraId="7E3FDAF1" w14:textId="77777777" w:rsidR="00076575" w:rsidRDefault="00076575" w:rsidP="00903ED5">
      <w:pPr>
        <w:pStyle w:val="corte4fondo"/>
        <w:tabs>
          <w:tab w:val="left" w:pos="567"/>
        </w:tabs>
        <w:rPr>
          <w:rFonts w:ascii="AvantGarde Bk BT" w:hAnsi="AvantGarde Bk BT" w:cs="Arial"/>
          <w:sz w:val="22"/>
        </w:rPr>
      </w:pPr>
    </w:p>
    <w:p w14:paraId="71795C82" w14:textId="033A50AB" w:rsidR="00330170" w:rsidRDefault="005E3DCE" w:rsidP="00330170">
      <w:pPr>
        <w:pStyle w:val="corte4fondo"/>
        <w:tabs>
          <w:tab w:val="left" w:pos="567"/>
        </w:tabs>
        <w:rPr>
          <w:rFonts w:ascii="AvantGarde Bk BT" w:hAnsi="AvantGarde Bk BT" w:cs="Arial"/>
          <w:sz w:val="22"/>
        </w:rPr>
      </w:pPr>
      <w:r>
        <w:rPr>
          <w:rFonts w:ascii="AvantGarde Bk BT" w:hAnsi="AvantGarde Bk BT" w:cs="Arial"/>
          <w:sz w:val="22"/>
        </w:rPr>
        <w:t>De l</w:t>
      </w:r>
      <w:r w:rsidR="00903ED5" w:rsidRPr="00903ED5">
        <w:rPr>
          <w:rFonts w:ascii="AvantGarde Bk BT" w:hAnsi="AvantGarde Bk BT" w:cs="Arial"/>
          <w:sz w:val="22"/>
        </w:rPr>
        <w:t xml:space="preserve">a normativa transcrita, se advierte que en la materia está plenamente delimitada la procedencia de </w:t>
      </w:r>
      <w:r w:rsidR="001F2799">
        <w:rPr>
          <w:rFonts w:ascii="AvantGarde Bk BT" w:hAnsi="AvantGarde Bk BT" w:cs="Arial"/>
          <w:sz w:val="22"/>
        </w:rPr>
        <w:t xml:space="preserve">la </w:t>
      </w:r>
      <w:r w:rsidR="00903ED5" w:rsidRPr="00903ED5">
        <w:rPr>
          <w:rFonts w:ascii="AvantGarde Bk BT" w:hAnsi="AvantGarde Bk BT" w:cs="Arial"/>
          <w:sz w:val="22"/>
        </w:rPr>
        <w:t xml:space="preserve">excepción de </w:t>
      </w:r>
      <w:r w:rsidR="001F2799">
        <w:rPr>
          <w:rFonts w:ascii="AvantGarde Bk BT" w:hAnsi="AvantGarde Bk BT" w:cs="Arial"/>
          <w:sz w:val="22"/>
        </w:rPr>
        <w:t>información clasificada como reservada</w:t>
      </w:r>
      <w:r w:rsidR="00903ED5" w:rsidRPr="00903ED5">
        <w:rPr>
          <w:rFonts w:ascii="AvantGarde Bk BT" w:hAnsi="AvantGarde Bk BT" w:cs="Arial"/>
          <w:sz w:val="22"/>
        </w:rPr>
        <w:t xml:space="preserve">, la cual se actualiza </w:t>
      </w:r>
      <w:r w:rsidR="001A312B">
        <w:rPr>
          <w:rFonts w:ascii="AvantGarde Bk BT" w:hAnsi="AvantGarde Bk BT" w:cs="Arial"/>
          <w:sz w:val="22"/>
        </w:rPr>
        <w:t xml:space="preserve">únicamente </w:t>
      </w:r>
      <w:r w:rsidR="00903ED5" w:rsidRPr="00903ED5">
        <w:rPr>
          <w:rFonts w:ascii="AvantGarde Bk BT" w:hAnsi="AvantGarde Bk BT" w:cs="Arial"/>
          <w:sz w:val="22"/>
        </w:rPr>
        <w:t xml:space="preserve">ante los supuestos previstos en el artículo 129 </w:t>
      </w:r>
      <w:r w:rsidR="001A312B">
        <w:rPr>
          <w:rFonts w:ascii="AvantGarde Bk BT" w:hAnsi="AvantGarde Bk BT" w:cs="Arial"/>
          <w:sz w:val="22"/>
        </w:rPr>
        <w:t xml:space="preserve">fracciones I a XII </w:t>
      </w:r>
      <w:r w:rsidR="00343A00">
        <w:rPr>
          <w:rFonts w:ascii="AvantGarde Bk BT" w:hAnsi="AvantGarde Bk BT" w:cs="Arial"/>
          <w:sz w:val="22"/>
        </w:rPr>
        <w:t xml:space="preserve">de la citada ley, y de las cuales, de una lectura simple, </w:t>
      </w:r>
      <w:r w:rsidR="00343A00" w:rsidRPr="00531CB1">
        <w:rPr>
          <w:rFonts w:ascii="AvantGarde Bk BT" w:hAnsi="AvantGarde Bk BT" w:cs="Arial"/>
          <w:b/>
          <w:sz w:val="22"/>
        </w:rPr>
        <w:t>no se advierte que se encuentre establecida hipótesis alguna que contemple la reserva de la información por encontrarse en proceso una auditoría</w:t>
      </w:r>
      <w:r w:rsidR="00343A00">
        <w:rPr>
          <w:rFonts w:ascii="AvantGarde Bk BT" w:hAnsi="AvantGarde Bk BT" w:cs="Arial"/>
          <w:sz w:val="22"/>
        </w:rPr>
        <w:t>.</w:t>
      </w:r>
    </w:p>
    <w:p w14:paraId="3994537C" w14:textId="77777777" w:rsidR="00330170" w:rsidRDefault="00330170" w:rsidP="00903ED5">
      <w:pPr>
        <w:pStyle w:val="corte4fondo"/>
        <w:tabs>
          <w:tab w:val="left" w:pos="567"/>
        </w:tabs>
        <w:rPr>
          <w:rFonts w:ascii="AvantGarde Bk BT" w:hAnsi="AvantGarde Bk BT" w:cs="Arial"/>
          <w:sz w:val="22"/>
        </w:rPr>
      </w:pPr>
    </w:p>
    <w:p w14:paraId="43EC319B" w14:textId="46CDBC9D" w:rsidR="002C756B" w:rsidRDefault="00540CA8" w:rsidP="00540CA8">
      <w:pPr>
        <w:pStyle w:val="corte4fondo"/>
        <w:tabs>
          <w:tab w:val="left" w:pos="567"/>
        </w:tabs>
        <w:rPr>
          <w:rFonts w:ascii="AvantGarde Bk BT" w:hAnsi="AvantGarde Bk BT" w:cs="Arial"/>
          <w:sz w:val="22"/>
        </w:rPr>
      </w:pPr>
      <w:r>
        <w:rPr>
          <w:rFonts w:ascii="AvantGarde Bk BT" w:hAnsi="AvantGarde Bk BT" w:cs="Arial"/>
          <w:sz w:val="22"/>
        </w:rPr>
        <w:t>Independientemente de esta circunstancia</w:t>
      </w:r>
      <w:r w:rsidR="000774FC">
        <w:rPr>
          <w:rFonts w:ascii="AvantGarde Bk BT" w:hAnsi="AvantGarde Bk BT" w:cs="Arial"/>
          <w:sz w:val="22"/>
        </w:rPr>
        <w:t xml:space="preserve">, </w:t>
      </w:r>
      <w:r>
        <w:rPr>
          <w:rFonts w:ascii="AvantGarde Bk BT" w:hAnsi="AvantGarde Bk BT" w:cs="Arial"/>
          <w:sz w:val="22"/>
        </w:rPr>
        <w:t xml:space="preserve">de conformidad con lo dispuesto en </w:t>
      </w:r>
      <w:r w:rsidR="00744F06">
        <w:rPr>
          <w:rFonts w:ascii="AvantGarde Bk BT" w:hAnsi="AvantGarde Bk BT" w:cs="Arial"/>
          <w:sz w:val="22"/>
        </w:rPr>
        <w:t>la Ley de Transparencia y Acceso a la Información Pública del Estado de San Luis Potosí</w:t>
      </w:r>
      <w:r>
        <w:rPr>
          <w:rFonts w:ascii="AvantGarde Bk BT" w:hAnsi="AvantGarde Bk BT" w:cs="Arial"/>
          <w:sz w:val="22"/>
        </w:rPr>
        <w:t xml:space="preserve">, </w:t>
      </w:r>
      <w:r w:rsidRPr="00540CA8">
        <w:rPr>
          <w:rFonts w:ascii="AvantGarde Bk BT" w:hAnsi="AvantGarde Bk BT" w:cs="Arial"/>
          <w:sz w:val="22"/>
        </w:rPr>
        <w:t>la información requerida por el hoy</w:t>
      </w:r>
      <w:r w:rsidR="00744F06" w:rsidRPr="00540CA8">
        <w:rPr>
          <w:rFonts w:ascii="AvantGarde Bk BT" w:hAnsi="AvantGarde Bk BT" w:cs="Arial"/>
          <w:sz w:val="22"/>
        </w:rPr>
        <w:t xml:space="preserve"> recurrente</w:t>
      </w:r>
      <w:r w:rsidR="00744F06">
        <w:rPr>
          <w:rFonts w:ascii="AvantGarde Bk BT" w:hAnsi="AvantGarde Bk BT" w:cs="Arial"/>
          <w:sz w:val="22"/>
        </w:rPr>
        <w:t xml:space="preserve">, </w:t>
      </w:r>
      <w:r>
        <w:rPr>
          <w:rFonts w:ascii="AvantGarde Bk BT" w:hAnsi="AvantGarde Bk BT" w:cs="Arial"/>
          <w:sz w:val="22"/>
        </w:rPr>
        <w:t xml:space="preserve">específicamente la referente a lista de personas y/o empresas encargadas de la remodelación del Parque Tangamanga I, costo y contratos de la remodelación, tiene una naturaleza pública, </w:t>
      </w:r>
      <w:r w:rsidR="00811573">
        <w:rPr>
          <w:rFonts w:ascii="AvantGarde Bk BT" w:hAnsi="AvantGarde Bk BT" w:cs="Arial"/>
          <w:sz w:val="22"/>
        </w:rPr>
        <w:t xml:space="preserve">por encontrarse prevista como </w:t>
      </w:r>
      <w:r w:rsidR="00811573" w:rsidRPr="000367DC">
        <w:rPr>
          <w:rFonts w:ascii="AvantGarde Bk BT" w:hAnsi="AvantGarde Bk BT" w:cs="Arial"/>
          <w:b/>
          <w:sz w:val="22"/>
        </w:rPr>
        <w:t>obligaciones comunes de transparencia</w:t>
      </w:r>
      <w:r w:rsidR="00811573">
        <w:rPr>
          <w:rFonts w:ascii="AvantGarde Bk BT" w:hAnsi="AvantGarde Bk BT" w:cs="Arial"/>
          <w:sz w:val="22"/>
        </w:rPr>
        <w:t xml:space="preserve"> </w:t>
      </w:r>
      <w:r w:rsidR="00744F06" w:rsidRPr="000367DC">
        <w:rPr>
          <w:rFonts w:ascii="AvantGarde Bk BT" w:hAnsi="AvantGarde Bk BT" w:cs="Arial"/>
          <w:b/>
          <w:sz w:val="22"/>
        </w:rPr>
        <w:t xml:space="preserve"> preceptuada</w:t>
      </w:r>
      <w:r w:rsidR="00811573">
        <w:rPr>
          <w:rFonts w:ascii="AvantGarde Bk BT" w:hAnsi="AvantGarde Bk BT" w:cs="Arial"/>
          <w:b/>
          <w:sz w:val="22"/>
        </w:rPr>
        <w:t>s</w:t>
      </w:r>
      <w:r w:rsidR="00330170" w:rsidRPr="000367DC">
        <w:rPr>
          <w:rFonts w:ascii="AvantGarde Bk BT" w:hAnsi="AvantGarde Bk BT" w:cs="Arial"/>
          <w:b/>
          <w:sz w:val="22"/>
        </w:rPr>
        <w:t xml:space="preserve"> en el artículo 84</w:t>
      </w:r>
      <w:r w:rsidR="00DB0A80" w:rsidRPr="000367DC">
        <w:rPr>
          <w:rFonts w:ascii="AvantGarde Bk BT" w:hAnsi="AvantGarde Bk BT" w:cs="Arial"/>
          <w:b/>
          <w:sz w:val="22"/>
        </w:rPr>
        <w:t xml:space="preserve"> fracciones XXXIII y XXX</w:t>
      </w:r>
      <w:r w:rsidR="00811573">
        <w:rPr>
          <w:rFonts w:ascii="AvantGarde Bk BT" w:hAnsi="AvantGarde Bk BT" w:cs="Arial"/>
          <w:b/>
          <w:sz w:val="22"/>
        </w:rPr>
        <w:t xml:space="preserve">IV, </w:t>
      </w:r>
      <w:r w:rsidR="00DB0A80" w:rsidRPr="00DB0A80">
        <w:rPr>
          <w:rFonts w:ascii="AvantGarde Bk BT" w:hAnsi="AvantGarde Bk BT" w:cs="Arial"/>
          <w:sz w:val="22"/>
        </w:rPr>
        <w:t xml:space="preserve">que </w:t>
      </w:r>
      <w:r w:rsidR="00DB0A80" w:rsidRPr="00811573">
        <w:rPr>
          <w:rFonts w:ascii="AvantGarde Bk BT" w:hAnsi="AvantGarde Bk BT" w:cs="Arial"/>
          <w:b/>
          <w:sz w:val="22"/>
        </w:rPr>
        <w:t>constriñe a los sujetos obligados a publicar de manera oficiosa y mantener actualizada la información consistente en los contratos, informes financieros y ganadores de los procedimientos de adjudicación directa, invitación restringida y licitación de cualquier naturaleza</w:t>
      </w:r>
      <w:r w:rsidR="00DB0A80">
        <w:rPr>
          <w:rFonts w:ascii="AvantGarde Bk BT" w:hAnsi="AvantGarde Bk BT" w:cs="Arial"/>
          <w:sz w:val="22"/>
        </w:rPr>
        <w:t>.</w:t>
      </w:r>
    </w:p>
    <w:p w14:paraId="36509665" w14:textId="63CA530C" w:rsidR="00DD2E01" w:rsidRDefault="00DD2E01" w:rsidP="00952260">
      <w:pPr>
        <w:pStyle w:val="corte4fondo"/>
        <w:tabs>
          <w:tab w:val="left" w:pos="567"/>
        </w:tabs>
        <w:rPr>
          <w:rFonts w:ascii="AvantGarde Bk BT" w:hAnsi="AvantGarde Bk BT" w:cs="Arial"/>
          <w:sz w:val="22"/>
        </w:rPr>
      </w:pPr>
    </w:p>
    <w:p w14:paraId="63E0ED0B" w14:textId="4D782238" w:rsidR="00DD2E01" w:rsidRDefault="00DD2E01" w:rsidP="00952260">
      <w:pPr>
        <w:pStyle w:val="corte4fondo"/>
        <w:tabs>
          <w:tab w:val="left" w:pos="567"/>
        </w:tabs>
        <w:rPr>
          <w:rFonts w:ascii="AvantGarde Bk BT" w:hAnsi="AvantGarde Bk BT" w:cs="Arial"/>
          <w:sz w:val="22"/>
        </w:rPr>
      </w:pPr>
      <w:r>
        <w:rPr>
          <w:rFonts w:ascii="AvantGarde Bk BT" w:hAnsi="AvantGarde Bk BT" w:cs="Arial"/>
          <w:sz w:val="22"/>
        </w:rPr>
        <w:t>Lo que se refuerza con la tabla de aplicabilidad del sujeto obligado referente al artículo 84, y del que se desprende que, en efecto, le corresponde la publicación y actualización mensual de los formatos de las fracciones XXXIII y XXXIV:</w:t>
      </w:r>
    </w:p>
    <w:p w14:paraId="3A34E1BE" w14:textId="02D747B6" w:rsidR="00DD2E01" w:rsidRDefault="00DD2E01" w:rsidP="00952260">
      <w:pPr>
        <w:pStyle w:val="corte4fondo"/>
        <w:tabs>
          <w:tab w:val="left" w:pos="567"/>
        </w:tabs>
        <w:rPr>
          <w:rFonts w:ascii="AvantGarde Bk BT" w:hAnsi="AvantGarde Bk BT" w:cs="Arial"/>
          <w:sz w:val="22"/>
        </w:rPr>
      </w:pPr>
    </w:p>
    <w:p w14:paraId="17E6D1EF" w14:textId="4B7F6005" w:rsidR="00DD2E01" w:rsidRDefault="00DD2E01" w:rsidP="00952260">
      <w:pPr>
        <w:pStyle w:val="corte4fondo"/>
        <w:tabs>
          <w:tab w:val="left" w:pos="567"/>
        </w:tabs>
        <w:rPr>
          <w:rFonts w:ascii="AvantGarde Bk BT" w:hAnsi="AvantGarde Bk BT" w:cs="Arial"/>
          <w:sz w:val="22"/>
        </w:rPr>
      </w:pPr>
    </w:p>
    <w:p w14:paraId="611E797B" w14:textId="688B530F" w:rsidR="00DD2E01" w:rsidRDefault="00134B0C" w:rsidP="00134B0C">
      <w:pPr>
        <w:pStyle w:val="corte4fondo"/>
        <w:tabs>
          <w:tab w:val="left" w:pos="567"/>
        </w:tabs>
        <w:ind w:firstLine="0"/>
        <w:rPr>
          <w:rFonts w:ascii="AvantGarde Bk BT" w:hAnsi="AvantGarde Bk BT" w:cs="Arial"/>
          <w:sz w:val="22"/>
        </w:rPr>
      </w:pPr>
      <w:r>
        <w:rPr>
          <w:rFonts w:ascii="AvantGarde Bk BT" w:hAnsi="AvantGarde Bk BT" w:cs="Arial"/>
          <w:noProof/>
          <w:sz w:val="22"/>
          <w:lang w:val="es-MX" w:eastAsia="es-MX"/>
        </w:rPr>
        <w:lastRenderedPageBreak/>
        <w:drawing>
          <wp:anchor distT="0" distB="0" distL="114300" distR="114300" simplePos="0" relativeHeight="251660288" behindDoc="0" locked="0" layoutInCell="1" allowOverlap="1" wp14:anchorId="18E014B4" wp14:editId="36922E34">
            <wp:simplePos x="0" y="0"/>
            <wp:positionH relativeFrom="margin">
              <wp:align>right</wp:align>
            </wp:positionH>
            <wp:positionV relativeFrom="paragraph">
              <wp:posOffset>0</wp:posOffset>
            </wp:positionV>
            <wp:extent cx="5153025" cy="3860165"/>
            <wp:effectExtent l="0" t="0" r="9525" b="6985"/>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153025" cy="38601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41EBF67" w14:textId="77777777" w:rsidR="00DD2E01" w:rsidRDefault="00DD2E01" w:rsidP="00952260">
      <w:pPr>
        <w:pStyle w:val="corte4fondo"/>
        <w:tabs>
          <w:tab w:val="left" w:pos="567"/>
        </w:tabs>
        <w:rPr>
          <w:rFonts w:ascii="AvantGarde Bk BT" w:hAnsi="AvantGarde Bk BT" w:cs="Arial"/>
          <w:sz w:val="22"/>
        </w:rPr>
      </w:pPr>
    </w:p>
    <w:p w14:paraId="6C0FDD72" w14:textId="77777777" w:rsidR="00DD2E01" w:rsidRDefault="00DD2E01" w:rsidP="00952260">
      <w:pPr>
        <w:pStyle w:val="corte4fondo"/>
        <w:tabs>
          <w:tab w:val="left" w:pos="567"/>
        </w:tabs>
        <w:rPr>
          <w:rFonts w:ascii="AvantGarde Bk BT" w:hAnsi="AvantGarde Bk BT" w:cs="Arial"/>
          <w:sz w:val="22"/>
        </w:rPr>
      </w:pPr>
    </w:p>
    <w:p w14:paraId="225AB2EE" w14:textId="21D59B2B" w:rsidR="00DB0A80" w:rsidRPr="00DD2E01" w:rsidRDefault="00847B37" w:rsidP="00DD2E01">
      <w:pPr>
        <w:pStyle w:val="corte4fondo"/>
        <w:tabs>
          <w:tab w:val="left" w:pos="567"/>
        </w:tabs>
        <w:rPr>
          <w:rFonts w:ascii="AvantGarde Bk BT" w:hAnsi="AvantGarde Bk BT" w:cs="Arial"/>
          <w:sz w:val="22"/>
        </w:rPr>
      </w:pPr>
      <w:r>
        <w:rPr>
          <w:rFonts w:ascii="AvantGarde Bk BT" w:hAnsi="AvantGarde Bk BT" w:cs="Arial"/>
          <w:sz w:val="22"/>
        </w:rPr>
        <w:t>Por lo cual</w:t>
      </w:r>
      <w:r w:rsidR="00DB0A80">
        <w:rPr>
          <w:rFonts w:ascii="AvantGarde Bk BT" w:hAnsi="AvantGarde Bk BT" w:cs="Arial"/>
          <w:sz w:val="22"/>
        </w:rPr>
        <w:t xml:space="preserve">, al </w:t>
      </w:r>
      <w:r w:rsidR="00211E60">
        <w:rPr>
          <w:rFonts w:ascii="AvantGarde Bk BT" w:hAnsi="AvantGarde Bk BT" w:cs="Arial"/>
          <w:color w:val="000000" w:themeColor="text1"/>
          <w:sz w:val="22"/>
        </w:rPr>
        <w:t xml:space="preserve">mediar </w:t>
      </w:r>
      <w:r w:rsidR="00DB0A80" w:rsidRPr="00DD2E01">
        <w:rPr>
          <w:rFonts w:ascii="AvantGarde Bk BT" w:hAnsi="AvantGarde Bk BT" w:cs="Arial"/>
          <w:color w:val="000000" w:themeColor="text1"/>
          <w:sz w:val="22"/>
        </w:rPr>
        <w:t>disposici</w:t>
      </w:r>
      <w:r w:rsidR="00211E60">
        <w:rPr>
          <w:rFonts w:ascii="AvantGarde Bk BT" w:hAnsi="AvantGarde Bk BT" w:cs="Arial"/>
          <w:color w:val="000000" w:themeColor="text1"/>
          <w:sz w:val="22"/>
        </w:rPr>
        <w:t>ones</w:t>
      </w:r>
      <w:r w:rsidR="00DB0A80" w:rsidRPr="00DD2E01">
        <w:rPr>
          <w:rFonts w:ascii="AvantGarde Bk BT" w:hAnsi="AvantGarde Bk BT" w:cs="Arial"/>
          <w:color w:val="000000" w:themeColor="text1"/>
          <w:sz w:val="22"/>
        </w:rPr>
        <w:t xml:space="preserve"> que vincula</w:t>
      </w:r>
      <w:r w:rsidR="00211E60">
        <w:rPr>
          <w:rFonts w:ascii="AvantGarde Bk BT" w:hAnsi="AvantGarde Bk BT" w:cs="Arial"/>
          <w:color w:val="000000" w:themeColor="text1"/>
          <w:sz w:val="22"/>
        </w:rPr>
        <w:t>n</w:t>
      </w:r>
      <w:r w:rsidR="00DB0A80" w:rsidRPr="00DD2E01">
        <w:rPr>
          <w:rFonts w:ascii="AvantGarde Bk BT" w:hAnsi="AvantGarde Bk BT" w:cs="Arial"/>
          <w:color w:val="000000" w:themeColor="text1"/>
          <w:sz w:val="22"/>
        </w:rPr>
        <w:t xml:space="preserve"> y obliga</w:t>
      </w:r>
      <w:r w:rsidR="00211E60">
        <w:rPr>
          <w:rFonts w:ascii="AvantGarde Bk BT" w:hAnsi="AvantGarde Bk BT" w:cs="Arial"/>
          <w:color w:val="000000" w:themeColor="text1"/>
          <w:sz w:val="22"/>
        </w:rPr>
        <w:t>n</w:t>
      </w:r>
      <w:r w:rsidR="00DB0A80" w:rsidRPr="00DD2E01">
        <w:rPr>
          <w:rFonts w:ascii="AvantGarde Bk BT" w:hAnsi="AvantGarde Bk BT" w:cs="Arial"/>
          <w:color w:val="000000" w:themeColor="text1"/>
          <w:sz w:val="22"/>
        </w:rPr>
        <w:t xml:space="preserve"> a la </w:t>
      </w:r>
      <w:r w:rsidR="00DD2E01">
        <w:rPr>
          <w:rFonts w:ascii="AvantGarde Bk BT" w:hAnsi="AvantGarde Bk BT" w:cs="Arial"/>
          <w:color w:val="000000" w:themeColor="text1"/>
          <w:sz w:val="22"/>
        </w:rPr>
        <w:t>Secretaría de Desarrollo Urbano, Vivienda y Obras Públicas a publicar</w:t>
      </w:r>
      <w:r w:rsidR="00717BFA">
        <w:rPr>
          <w:rFonts w:ascii="AvantGarde Bk BT" w:hAnsi="AvantGarde Bk BT" w:cs="Arial"/>
          <w:color w:val="000000" w:themeColor="text1"/>
          <w:sz w:val="22"/>
        </w:rPr>
        <w:t xml:space="preserve"> y actualizar</w:t>
      </w:r>
      <w:r w:rsidR="00211E60">
        <w:rPr>
          <w:rFonts w:ascii="AvantGarde Bk BT" w:hAnsi="AvantGarde Bk BT" w:cs="Arial"/>
          <w:color w:val="000000" w:themeColor="text1"/>
          <w:sz w:val="22"/>
        </w:rPr>
        <w:t xml:space="preserve"> mensualmente</w:t>
      </w:r>
      <w:r w:rsidR="00717BFA">
        <w:rPr>
          <w:rFonts w:ascii="AvantGarde Bk BT" w:hAnsi="AvantGarde Bk BT" w:cs="Arial"/>
          <w:color w:val="000000" w:themeColor="text1"/>
          <w:sz w:val="22"/>
        </w:rPr>
        <w:t xml:space="preserve"> la información peticionada</w:t>
      </w:r>
      <w:r w:rsidR="00DB0A80" w:rsidRPr="00DD2E01">
        <w:rPr>
          <w:rFonts w:ascii="AvantGarde Bk BT" w:hAnsi="AvantGarde Bk BT" w:cs="Arial"/>
          <w:color w:val="000000" w:themeColor="text1"/>
          <w:sz w:val="22"/>
        </w:rPr>
        <w:t xml:space="preserve">, </w:t>
      </w:r>
      <w:r w:rsidR="00DB0A80" w:rsidRPr="007F2CA7">
        <w:rPr>
          <w:rFonts w:ascii="AvantGarde Bk BT" w:hAnsi="AvantGarde Bk BT" w:cs="Arial"/>
          <w:b/>
          <w:color w:val="000000" w:themeColor="text1"/>
          <w:sz w:val="22"/>
          <w:u w:val="single"/>
        </w:rPr>
        <w:t>resulta</w:t>
      </w:r>
      <w:r w:rsidR="00211E60" w:rsidRPr="007F2CA7">
        <w:rPr>
          <w:rFonts w:ascii="AvantGarde Bk BT" w:hAnsi="AvantGarde Bk BT" w:cs="Arial"/>
          <w:b/>
          <w:color w:val="000000" w:themeColor="text1"/>
          <w:sz w:val="22"/>
          <w:u w:val="single"/>
        </w:rPr>
        <w:t xml:space="preserve"> </w:t>
      </w:r>
      <w:r w:rsidR="00717BFA">
        <w:rPr>
          <w:rFonts w:ascii="AvantGarde Bk BT" w:hAnsi="AvantGarde Bk BT" w:cs="Arial"/>
          <w:b/>
          <w:color w:val="000000" w:themeColor="text1"/>
          <w:sz w:val="22"/>
          <w:u w:val="single"/>
        </w:rPr>
        <w:t>improcedente</w:t>
      </w:r>
      <w:r w:rsidR="00DB0A80" w:rsidRPr="007F2CA7">
        <w:rPr>
          <w:rFonts w:ascii="AvantGarde Bk BT" w:hAnsi="AvantGarde Bk BT" w:cs="Arial"/>
          <w:b/>
          <w:color w:val="000000" w:themeColor="text1"/>
          <w:sz w:val="22"/>
          <w:u w:val="single"/>
        </w:rPr>
        <w:t xml:space="preserve"> clasificar como </w:t>
      </w:r>
      <w:r w:rsidR="007F2CA7" w:rsidRPr="007F2CA7">
        <w:rPr>
          <w:rFonts w:ascii="AvantGarde Bk BT" w:hAnsi="AvantGarde Bk BT" w:cs="Arial"/>
          <w:b/>
          <w:color w:val="000000" w:themeColor="text1"/>
          <w:sz w:val="22"/>
          <w:u w:val="single"/>
        </w:rPr>
        <w:t xml:space="preserve">información </w:t>
      </w:r>
      <w:r w:rsidR="00DB0A80" w:rsidRPr="007F2CA7">
        <w:rPr>
          <w:rFonts w:ascii="AvantGarde Bk BT" w:hAnsi="AvantGarde Bk BT" w:cs="Arial"/>
          <w:b/>
          <w:color w:val="000000" w:themeColor="text1"/>
          <w:sz w:val="22"/>
          <w:u w:val="single"/>
        </w:rPr>
        <w:t>reservad</w:t>
      </w:r>
      <w:r w:rsidR="007F2CA7" w:rsidRPr="007F2CA7">
        <w:rPr>
          <w:rFonts w:ascii="AvantGarde Bk BT" w:hAnsi="AvantGarde Bk BT" w:cs="Arial"/>
          <w:b/>
          <w:color w:val="000000" w:themeColor="text1"/>
          <w:sz w:val="22"/>
          <w:u w:val="single"/>
        </w:rPr>
        <w:t>a</w:t>
      </w:r>
      <w:r w:rsidR="00DB0A80" w:rsidRPr="007F2CA7">
        <w:rPr>
          <w:rFonts w:ascii="AvantGarde Bk BT" w:hAnsi="AvantGarde Bk BT" w:cs="Arial"/>
          <w:b/>
          <w:color w:val="000000" w:themeColor="text1"/>
          <w:sz w:val="22"/>
          <w:u w:val="single"/>
        </w:rPr>
        <w:t xml:space="preserve"> </w:t>
      </w:r>
      <w:r w:rsidR="007F2CA7" w:rsidRPr="007F2CA7">
        <w:rPr>
          <w:rFonts w:ascii="AvantGarde Bk BT" w:hAnsi="AvantGarde Bk BT" w:cs="Arial"/>
          <w:b/>
          <w:color w:val="000000" w:themeColor="text1"/>
          <w:sz w:val="22"/>
          <w:u w:val="single"/>
        </w:rPr>
        <w:t xml:space="preserve">los contratos, costos y empresas encargadas de las remodelaciones realizadas </w:t>
      </w:r>
      <w:r w:rsidR="006741DB">
        <w:rPr>
          <w:rFonts w:ascii="AvantGarde Bk BT" w:hAnsi="AvantGarde Bk BT" w:cs="Arial"/>
          <w:b/>
          <w:color w:val="000000" w:themeColor="text1"/>
          <w:sz w:val="22"/>
          <w:u w:val="single"/>
        </w:rPr>
        <w:t>al Parque Tangamanga I</w:t>
      </w:r>
      <w:r w:rsidR="00DB0A80" w:rsidRPr="007F2CA7">
        <w:rPr>
          <w:rFonts w:ascii="AvantGarde Bk BT" w:hAnsi="AvantGarde Bk BT" w:cs="Arial"/>
          <w:b/>
          <w:color w:val="000000" w:themeColor="text1"/>
          <w:sz w:val="22"/>
          <w:u w:val="single"/>
        </w:rPr>
        <w:t>, o negar el acceso a los mismos</w:t>
      </w:r>
      <w:r w:rsidR="00DB0A80" w:rsidRPr="007F2CA7">
        <w:rPr>
          <w:rFonts w:ascii="AvantGarde Bk BT" w:hAnsi="AvantGarde Bk BT" w:cs="Arial"/>
          <w:color w:val="000000" w:themeColor="text1"/>
          <w:sz w:val="22"/>
          <w:u w:val="single"/>
        </w:rPr>
        <w:t xml:space="preserve">, </w:t>
      </w:r>
      <w:r w:rsidR="00DB0A80" w:rsidRPr="007F2CA7">
        <w:rPr>
          <w:rFonts w:ascii="AvantGarde Bk BT" w:hAnsi="AvantGarde Bk BT" w:cs="Arial"/>
          <w:b/>
          <w:color w:val="000000" w:themeColor="text1"/>
          <w:sz w:val="22"/>
          <w:u w:val="single"/>
        </w:rPr>
        <w:t>ya que no es posible concebir la reserva d</w:t>
      </w:r>
      <w:r w:rsidR="007F2CA7" w:rsidRPr="007F2CA7">
        <w:rPr>
          <w:rFonts w:ascii="AvantGarde Bk BT" w:hAnsi="AvantGarde Bk BT" w:cs="Arial"/>
          <w:b/>
          <w:color w:val="000000" w:themeColor="text1"/>
          <w:sz w:val="22"/>
          <w:u w:val="single"/>
        </w:rPr>
        <w:t xml:space="preserve">e la información relativa a </w:t>
      </w:r>
      <w:r w:rsidR="00DB0A80" w:rsidRPr="007F2CA7">
        <w:rPr>
          <w:rFonts w:ascii="AvantGarde Bk BT" w:hAnsi="AvantGarde Bk BT" w:cs="Arial"/>
          <w:b/>
          <w:color w:val="000000" w:themeColor="text1"/>
          <w:sz w:val="22"/>
          <w:u w:val="single"/>
        </w:rPr>
        <w:t>obligaciones de transparencia</w:t>
      </w:r>
      <w:r w:rsidR="00DB0A80" w:rsidRPr="00DD2E01">
        <w:rPr>
          <w:rFonts w:ascii="AvantGarde Bk BT" w:hAnsi="AvantGarde Bk BT" w:cs="Arial"/>
          <w:color w:val="000000" w:themeColor="text1"/>
          <w:sz w:val="22"/>
        </w:rPr>
        <w:t xml:space="preserve">, puesto que su finalidad es garantizar y maximizar la publicidad de la actividad de los sujetos obligados, así como la rendición de cuentas, </w:t>
      </w:r>
      <w:r w:rsidR="00DB0A80" w:rsidRPr="00DD2E01">
        <w:rPr>
          <w:rFonts w:ascii="AvantGarde Bk BT" w:hAnsi="AvantGarde Bk BT" w:cs="Arial"/>
          <w:b/>
          <w:color w:val="000000" w:themeColor="text1"/>
          <w:sz w:val="22"/>
        </w:rPr>
        <w:t xml:space="preserve">por lo que una vez realizada cualquier erogación, la misma </w:t>
      </w:r>
      <w:r w:rsidR="007F2CA7">
        <w:rPr>
          <w:rFonts w:ascii="AvantGarde Bk BT" w:hAnsi="AvantGarde Bk BT" w:cs="Arial"/>
          <w:b/>
          <w:color w:val="000000" w:themeColor="text1"/>
          <w:sz w:val="22"/>
        </w:rPr>
        <w:t xml:space="preserve"> </w:t>
      </w:r>
      <w:r w:rsidR="00DB0A80" w:rsidRPr="00DD2E01">
        <w:rPr>
          <w:rFonts w:ascii="AvantGarde Bk BT" w:hAnsi="AvantGarde Bk BT" w:cs="Arial"/>
          <w:b/>
          <w:color w:val="000000" w:themeColor="text1"/>
          <w:sz w:val="22"/>
        </w:rPr>
        <w:t xml:space="preserve">se vuelve pública </w:t>
      </w:r>
      <w:r w:rsidR="00DB0A80" w:rsidRPr="006741DB">
        <w:rPr>
          <w:rFonts w:ascii="AvantGarde Bk BT" w:hAnsi="AvantGarde Bk BT" w:cs="Arial"/>
          <w:b/>
          <w:color w:val="000000" w:themeColor="text1"/>
          <w:sz w:val="22"/>
        </w:rPr>
        <w:t xml:space="preserve">y ya no opera causal de reserva </w:t>
      </w:r>
      <w:r w:rsidR="007F2CA7" w:rsidRPr="006741DB">
        <w:rPr>
          <w:rFonts w:ascii="AvantGarde Bk BT" w:hAnsi="AvantGarde Bk BT" w:cs="Arial"/>
          <w:b/>
          <w:color w:val="000000" w:themeColor="text1"/>
          <w:sz w:val="22"/>
        </w:rPr>
        <w:t xml:space="preserve">alguna </w:t>
      </w:r>
      <w:r w:rsidR="00DB0A80" w:rsidRPr="00DD2E01">
        <w:rPr>
          <w:rFonts w:ascii="AvantGarde Bk BT" w:hAnsi="AvantGarde Bk BT" w:cs="Arial"/>
          <w:color w:val="000000" w:themeColor="text1"/>
          <w:sz w:val="22"/>
        </w:rPr>
        <w:t>en términos del artículo 129 de la Ley de Transparencia, puesto que esto incluso contravendría el contenido del artículo 126 de la Ley que establece:</w:t>
      </w:r>
    </w:p>
    <w:p w14:paraId="0C8F0B9D" w14:textId="77777777" w:rsidR="00DB0A80" w:rsidRPr="00DD2E01" w:rsidRDefault="00DB0A80" w:rsidP="00DB0A80">
      <w:pPr>
        <w:pStyle w:val="corte4fondo"/>
        <w:tabs>
          <w:tab w:val="left" w:pos="567"/>
        </w:tabs>
        <w:ind w:firstLine="680"/>
        <w:rPr>
          <w:rFonts w:ascii="AvantGarde Bk BT" w:hAnsi="AvantGarde Bk BT" w:cs="Arial"/>
          <w:color w:val="000000" w:themeColor="text1"/>
          <w:sz w:val="22"/>
        </w:rPr>
      </w:pPr>
    </w:p>
    <w:p w14:paraId="66BD2D85" w14:textId="77777777" w:rsidR="00DB0A80" w:rsidRPr="00DD2E01" w:rsidRDefault="00DB0A80" w:rsidP="00DB0A80">
      <w:pPr>
        <w:pStyle w:val="corte4fondo"/>
        <w:tabs>
          <w:tab w:val="left" w:pos="567"/>
        </w:tabs>
        <w:ind w:left="680" w:right="680" w:firstLine="0"/>
        <w:rPr>
          <w:rFonts w:ascii="AvantGarde Bk BT" w:hAnsi="AvantGarde Bk BT" w:cs="Arial"/>
          <w:i/>
          <w:color w:val="000000" w:themeColor="text1"/>
          <w:sz w:val="22"/>
        </w:rPr>
      </w:pPr>
      <w:r w:rsidRPr="00DD2E01">
        <w:rPr>
          <w:rFonts w:ascii="AvantGarde Bk BT" w:hAnsi="AvantGarde Bk BT" w:cs="Arial"/>
          <w:color w:val="000000" w:themeColor="text1"/>
          <w:sz w:val="22"/>
        </w:rPr>
        <w:t>“</w:t>
      </w:r>
      <w:r w:rsidRPr="00DD2E01">
        <w:rPr>
          <w:rFonts w:ascii="AvantGarde Bk BT" w:hAnsi="AvantGarde Bk BT" w:cs="Arial"/>
          <w:b/>
          <w:i/>
          <w:color w:val="000000" w:themeColor="text1"/>
          <w:sz w:val="22"/>
        </w:rPr>
        <w:t>ARTÍCULO 126.</w:t>
      </w:r>
      <w:r w:rsidRPr="00DD2E01">
        <w:rPr>
          <w:rFonts w:ascii="AvantGarde Bk BT" w:hAnsi="AvantGarde Bk BT" w:cs="Arial"/>
          <w:i/>
          <w:color w:val="000000" w:themeColor="text1"/>
          <w:sz w:val="22"/>
        </w:rPr>
        <w:t xml:space="preserve"> La información contenida en las obligaciones de transparencia no podrá omitirse en las versiones públicas.</w:t>
      </w:r>
    </w:p>
    <w:p w14:paraId="02883CF5" w14:textId="77777777" w:rsidR="00DB0A80" w:rsidRPr="00DD2E01" w:rsidRDefault="00DB0A80" w:rsidP="00DB0A80">
      <w:pPr>
        <w:pStyle w:val="corte4fondo"/>
        <w:tabs>
          <w:tab w:val="left" w:pos="567"/>
        </w:tabs>
        <w:ind w:left="680" w:right="680" w:firstLine="0"/>
        <w:rPr>
          <w:rFonts w:ascii="AvantGarde Bk BT" w:hAnsi="AvantGarde Bk BT" w:cs="Arial"/>
          <w:i/>
          <w:color w:val="000000" w:themeColor="text1"/>
          <w:sz w:val="22"/>
        </w:rPr>
      </w:pPr>
    </w:p>
    <w:p w14:paraId="3F973D39" w14:textId="77777777" w:rsidR="00DB0A80" w:rsidRPr="00DD2E01" w:rsidRDefault="00DB0A80" w:rsidP="00DB0A80">
      <w:pPr>
        <w:pStyle w:val="corte4fondo"/>
        <w:tabs>
          <w:tab w:val="left" w:pos="567"/>
        </w:tabs>
        <w:ind w:left="680" w:right="680" w:firstLine="0"/>
        <w:rPr>
          <w:rFonts w:ascii="AvantGarde Bk BT" w:hAnsi="AvantGarde Bk BT" w:cs="Arial"/>
          <w:color w:val="000000" w:themeColor="text1"/>
          <w:sz w:val="22"/>
        </w:rPr>
      </w:pPr>
      <w:r w:rsidRPr="00DD2E01">
        <w:rPr>
          <w:rFonts w:ascii="AvantGarde Bk BT" w:hAnsi="AvantGarde Bk BT" w:cs="Arial"/>
          <w:i/>
          <w:color w:val="000000" w:themeColor="text1"/>
          <w:sz w:val="22"/>
        </w:rPr>
        <w:t>La autoridad no podrá negar el acceso a la información clasificada de un documento.</w:t>
      </w:r>
      <w:r w:rsidRPr="00DD2E01">
        <w:rPr>
          <w:rFonts w:ascii="AvantGarde Bk BT" w:hAnsi="AvantGarde Bk BT" w:cs="Arial"/>
          <w:color w:val="000000" w:themeColor="text1"/>
          <w:sz w:val="22"/>
        </w:rPr>
        <w:t>”.</w:t>
      </w:r>
    </w:p>
    <w:p w14:paraId="281492B8" w14:textId="77777777" w:rsidR="00DB0A80" w:rsidRPr="00DD2E01" w:rsidRDefault="00DB0A80" w:rsidP="00DB0A80">
      <w:pPr>
        <w:pStyle w:val="corte4fondo"/>
        <w:tabs>
          <w:tab w:val="left" w:pos="567"/>
        </w:tabs>
        <w:ind w:firstLine="680"/>
        <w:rPr>
          <w:rFonts w:ascii="AvantGarde Bk BT" w:hAnsi="AvantGarde Bk BT" w:cs="Arial"/>
          <w:color w:val="000000" w:themeColor="text1"/>
          <w:sz w:val="22"/>
        </w:rPr>
      </w:pPr>
    </w:p>
    <w:p w14:paraId="233DEF3E" w14:textId="21220875" w:rsidR="00E25A91" w:rsidRDefault="00DB0A80" w:rsidP="00983B6B">
      <w:pPr>
        <w:pStyle w:val="corte4fondo"/>
        <w:tabs>
          <w:tab w:val="left" w:pos="567"/>
        </w:tabs>
        <w:rPr>
          <w:rFonts w:ascii="AvantGarde Bk BT" w:hAnsi="AvantGarde Bk BT" w:cs="Arial"/>
          <w:sz w:val="22"/>
        </w:rPr>
      </w:pPr>
      <w:r w:rsidRPr="00DD2E01">
        <w:rPr>
          <w:rFonts w:ascii="AvantGarde Bk BT" w:hAnsi="AvantGarde Bk BT" w:cs="Arial"/>
          <w:color w:val="000000" w:themeColor="text1"/>
          <w:sz w:val="22"/>
        </w:rPr>
        <w:t xml:space="preserve">Como lo demuestra el artículo citado, </w:t>
      </w:r>
      <w:r w:rsidR="007F2CA7">
        <w:rPr>
          <w:rFonts w:ascii="AvantGarde Bk BT" w:hAnsi="AvantGarde Bk BT" w:cs="Arial"/>
          <w:color w:val="000000" w:themeColor="text1"/>
          <w:sz w:val="22"/>
        </w:rPr>
        <w:t>incluso es in</w:t>
      </w:r>
      <w:r w:rsidRPr="00DD2E01">
        <w:rPr>
          <w:rFonts w:ascii="AvantGarde Bk BT" w:hAnsi="AvantGarde Bk BT" w:cs="Arial"/>
          <w:color w:val="000000" w:themeColor="text1"/>
          <w:sz w:val="22"/>
        </w:rPr>
        <w:t>concebible que la información relativa a las obligacione</w:t>
      </w:r>
      <w:r w:rsidR="007F2CA7">
        <w:rPr>
          <w:rFonts w:ascii="AvantGarde Bk BT" w:hAnsi="AvantGarde Bk BT" w:cs="Arial"/>
          <w:color w:val="000000" w:themeColor="text1"/>
          <w:sz w:val="22"/>
        </w:rPr>
        <w:t>s de transparencia se vea sujeta</w:t>
      </w:r>
      <w:r w:rsidRPr="00DD2E01">
        <w:rPr>
          <w:rFonts w:ascii="AvantGarde Bk BT" w:hAnsi="AvantGarde Bk BT" w:cs="Arial"/>
          <w:color w:val="000000" w:themeColor="text1"/>
          <w:sz w:val="22"/>
        </w:rPr>
        <w:t xml:space="preserve"> a versión </w:t>
      </w:r>
      <w:r w:rsidR="00DD2E01" w:rsidRPr="00DD2E01">
        <w:rPr>
          <w:rFonts w:ascii="AvantGarde Bk BT" w:hAnsi="AvantGarde Bk BT" w:cs="Arial"/>
          <w:color w:val="000000" w:themeColor="text1"/>
          <w:sz w:val="22"/>
        </w:rPr>
        <w:lastRenderedPageBreak/>
        <w:t>pública</w:t>
      </w:r>
      <w:r w:rsidRPr="00DD2E01">
        <w:rPr>
          <w:rFonts w:ascii="AvantGarde Bk BT" w:hAnsi="AvantGarde Bk BT" w:cs="Arial"/>
          <w:color w:val="000000" w:themeColor="text1"/>
          <w:sz w:val="22"/>
        </w:rPr>
        <w:t>, es decir, no pued</w:t>
      </w:r>
      <w:r w:rsidR="007F2CA7">
        <w:rPr>
          <w:rFonts w:ascii="AvantGarde Bk BT" w:hAnsi="AvantGarde Bk BT" w:cs="Arial"/>
          <w:color w:val="000000" w:themeColor="text1"/>
          <w:sz w:val="22"/>
        </w:rPr>
        <w:t>e ser testada u ocultada</w:t>
      </w:r>
      <w:r w:rsidRPr="00DD2E01">
        <w:rPr>
          <w:rFonts w:ascii="AvantGarde Bk BT" w:hAnsi="AvantGarde Bk BT" w:cs="Arial"/>
          <w:color w:val="000000" w:themeColor="text1"/>
          <w:sz w:val="22"/>
        </w:rPr>
        <w:t xml:space="preserve"> </w:t>
      </w:r>
      <w:r w:rsidR="007F2CA7">
        <w:rPr>
          <w:rFonts w:ascii="AvantGarde Bk BT" w:hAnsi="AvantGarde Bk BT" w:cs="Arial"/>
          <w:color w:val="000000" w:themeColor="text1"/>
          <w:sz w:val="22"/>
        </w:rPr>
        <w:t>por disposición expresa de la Ley de la materia</w:t>
      </w:r>
      <w:r w:rsidR="00983B6B">
        <w:rPr>
          <w:rFonts w:ascii="AvantGarde Bk BT" w:hAnsi="AvantGarde Bk BT" w:cs="Arial"/>
          <w:color w:val="000000" w:themeColor="text1"/>
          <w:sz w:val="22"/>
        </w:rPr>
        <w:t>.</w:t>
      </w:r>
    </w:p>
    <w:p w14:paraId="5F6C8EB3" w14:textId="3F4F2AD8" w:rsidR="002C756B" w:rsidRPr="00903ED5" w:rsidRDefault="002C756B" w:rsidP="00983B6B">
      <w:pPr>
        <w:pStyle w:val="corte4fondo"/>
        <w:tabs>
          <w:tab w:val="left" w:pos="567"/>
        </w:tabs>
        <w:ind w:firstLine="0"/>
        <w:rPr>
          <w:rFonts w:ascii="AvantGarde Bk BT" w:hAnsi="AvantGarde Bk BT" w:cs="Arial"/>
          <w:sz w:val="22"/>
        </w:rPr>
      </w:pPr>
    </w:p>
    <w:p w14:paraId="7DAA010B" w14:textId="09B8B356" w:rsidR="00816FAE" w:rsidRDefault="00C05A5C" w:rsidP="00816FAE">
      <w:pPr>
        <w:pStyle w:val="corte4fondo"/>
        <w:tabs>
          <w:tab w:val="left" w:pos="567"/>
        </w:tabs>
        <w:ind w:firstLine="680"/>
        <w:rPr>
          <w:rFonts w:ascii="AvantGarde Bk BT" w:hAnsi="AvantGarde Bk BT" w:cs="Arial"/>
          <w:sz w:val="22"/>
        </w:rPr>
      </w:pPr>
      <w:r>
        <w:rPr>
          <w:rFonts w:ascii="AvantGarde Bk BT" w:hAnsi="AvantGarde Bk BT" w:cs="Arial"/>
          <w:sz w:val="22"/>
        </w:rPr>
        <w:t>Empero, en el presente caso el sujeto obligado pretendió,</w:t>
      </w:r>
      <w:r w:rsidR="00903ED5" w:rsidRPr="00903ED5">
        <w:rPr>
          <w:rFonts w:ascii="AvantGarde Bk BT" w:hAnsi="AvantGarde Bk BT" w:cs="Arial"/>
          <w:sz w:val="22"/>
        </w:rPr>
        <w:t xml:space="preserve"> </w:t>
      </w:r>
      <w:r w:rsidR="00903ED5" w:rsidRPr="00E25A91">
        <w:rPr>
          <w:rFonts w:ascii="AvantGarde Bk BT" w:hAnsi="AvantGarde Bk BT" w:cs="Arial"/>
          <w:b/>
          <w:sz w:val="22"/>
        </w:rPr>
        <w:t>de manera ineficaz</w:t>
      </w:r>
      <w:r w:rsidR="00903ED5" w:rsidRPr="00903ED5">
        <w:rPr>
          <w:rFonts w:ascii="AvantGarde Bk BT" w:hAnsi="AvantGarde Bk BT" w:cs="Arial"/>
          <w:sz w:val="22"/>
        </w:rPr>
        <w:t xml:space="preserve">, reservar la documentación requerida, </w:t>
      </w:r>
      <w:r w:rsidR="00CA7E41">
        <w:rPr>
          <w:rFonts w:ascii="AvantGarde Bk BT" w:hAnsi="AvantGarde Bk BT" w:cs="Arial"/>
          <w:sz w:val="22"/>
        </w:rPr>
        <w:t xml:space="preserve">aduciendo que se encuentra en proceso de auditoría, sin embargo, no sólo </w:t>
      </w:r>
      <w:r w:rsidR="00F24340">
        <w:rPr>
          <w:rFonts w:ascii="AvantGarde Bk BT" w:hAnsi="AvantGarde Bk BT" w:cs="Arial"/>
          <w:sz w:val="22"/>
        </w:rPr>
        <w:t>ha quedado visto</w:t>
      </w:r>
      <w:r w:rsidR="00CA7E41">
        <w:rPr>
          <w:rFonts w:ascii="AvantGarde Bk BT" w:hAnsi="AvantGarde Bk BT" w:cs="Arial"/>
          <w:sz w:val="22"/>
        </w:rPr>
        <w:t xml:space="preserve"> que dicha razón ni siquiera es una causal procedente de reserva de información por no estar prevista en la Ley, sino que</w:t>
      </w:r>
      <w:r w:rsidR="00816FAE">
        <w:rPr>
          <w:rFonts w:ascii="AvantGarde Bk BT" w:hAnsi="AvantGarde Bk BT" w:cs="Arial"/>
          <w:sz w:val="22"/>
        </w:rPr>
        <w:t>,</w:t>
      </w:r>
      <w:r w:rsidR="00CA7E41">
        <w:rPr>
          <w:rFonts w:ascii="AvantGarde Bk BT" w:hAnsi="AvantGarde Bk BT" w:cs="Arial"/>
          <w:sz w:val="22"/>
        </w:rPr>
        <w:t xml:space="preserve"> además, la información requerida en la solicitud de información que dio origen al </w:t>
      </w:r>
      <w:r w:rsidR="00816FAE">
        <w:rPr>
          <w:rFonts w:ascii="AvantGarde Bk BT" w:hAnsi="AvantGarde Bk BT" w:cs="Arial"/>
          <w:sz w:val="22"/>
        </w:rPr>
        <w:t xml:space="preserve">presente </w:t>
      </w:r>
      <w:r w:rsidR="00CA7E41">
        <w:rPr>
          <w:rFonts w:ascii="AvantGarde Bk BT" w:hAnsi="AvantGarde Bk BT" w:cs="Arial"/>
          <w:sz w:val="22"/>
        </w:rPr>
        <w:t xml:space="preserve">recurso de revisión </w:t>
      </w:r>
      <w:r w:rsidR="00816FAE">
        <w:rPr>
          <w:rFonts w:ascii="AvantGarde Bk BT" w:hAnsi="AvantGarde Bk BT" w:cs="Arial"/>
          <w:sz w:val="22"/>
        </w:rPr>
        <w:t>tiene una naturaleza pública por corresponder a obligaciones de transparencia, c</w:t>
      </w:r>
      <w:r w:rsidR="00816FAE" w:rsidRPr="00816FAE">
        <w:rPr>
          <w:rFonts w:ascii="AvantGarde Bk BT" w:hAnsi="AvantGarde Bk BT" w:cs="Arial"/>
          <w:sz w:val="22"/>
        </w:rPr>
        <w:t>ircunstancia</w:t>
      </w:r>
      <w:r w:rsidR="00816FAE">
        <w:rPr>
          <w:rFonts w:ascii="AvantGarde Bk BT" w:hAnsi="AvantGarde Bk BT" w:cs="Arial"/>
          <w:sz w:val="22"/>
        </w:rPr>
        <w:t>s</w:t>
      </w:r>
      <w:r w:rsidR="00816FAE" w:rsidRPr="00816FAE">
        <w:rPr>
          <w:rFonts w:ascii="AvantGarde Bk BT" w:hAnsi="AvantGarde Bk BT" w:cs="Arial"/>
          <w:sz w:val="22"/>
        </w:rPr>
        <w:t xml:space="preserve"> por la</w:t>
      </w:r>
      <w:r w:rsidR="00816FAE">
        <w:rPr>
          <w:rFonts w:ascii="AvantGarde Bk BT" w:hAnsi="AvantGarde Bk BT" w:cs="Arial"/>
          <w:sz w:val="22"/>
        </w:rPr>
        <w:t>s</w:t>
      </w:r>
      <w:r w:rsidR="00816FAE" w:rsidRPr="00816FAE">
        <w:rPr>
          <w:rFonts w:ascii="AvantGarde Bk BT" w:hAnsi="AvantGarde Bk BT" w:cs="Arial"/>
          <w:sz w:val="22"/>
        </w:rPr>
        <w:t xml:space="preserve"> cual</w:t>
      </w:r>
      <w:r w:rsidR="00816FAE">
        <w:rPr>
          <w:rFonts w:ascii="AvantGarde Bk BT" w:hAnsi="AvantGarde Bk BT" w:cs="Arial"/>
          <w:sz w:val="22"/>
        </w:rPr>
        <w:t>es</w:t>
      </w:r>
      <w:r w:rsidR="00816FAE" w:rsidRPr="00816FAE">
        <w:rPr>
          <w:rFonts w:ascii="AvantGarde Bk BT" w:hAnsi="AvantGarde Bk BT" w:cs="Arial"/>
          <w:sz w:val="22"/>
        </w:rPr>
        <w:t xml:space="preserve">, </w:t>
      </w:r>
      <w:r w:rsidR="00816FAE" w:rsidRPr="00816FAE">
        <w:rPr>
          <w:rFonts w:ascii="AvantGarde Bk BT" w:hAnsi="AvantGarde Bk BT" w:cs="Arial"/>
          <w:sz w:val="22"/>
          <w:u w:val="single"/>
        </w:rPr>
        <w:t>no debe existir impedimento alguno para que la información del interés de</w:t>
      </w:r>
      <w:r w:rsidR="00AC73C5">
        <w:rPr>
          <w:rFonts w:ascii="AvantGarde Bk BT" w:hAnsi="AvantGarde Bk BT" w:cs="Arial"/>
          <w:sz w:val="22"/>
          <w:u w:val="single"/>
        </w:rPr>
        <w:t xml:space="preserve"> </w:t>
      </w:r>
      <w:r w:rsidR="00816FAE" w:rsidRPr="00816FAE">
        <w:rPr>
          <w:rFonts w:ascii="AvantGarde Bk BT" w:hAnsi="AvantGarde Bk BT" w:cs="Arial"/>
          <w:sz w:val="22"/>
          <w:u w:val="single"/>
        </w:rPr>
        <w:t>l</w:t>
      </w:r>
      <w:r w:rsidR="00F24340">
        <w:rPr>
          <w:rFonts w:ascii="AvantGarde Bk BT" w:hAnsi="AvantGarde Bk BT" w:cs="Arial"/>
          <w:sz w:val="22"/>
          <w:u w:val="single"/>
        </w:rPr>
        <w:t xml:space="preserve">a peticionario </w:t>
      </w:r>
      <w:r w:rsidR="00816FAE" w:rsidRPr="00816FAE">
        <w:rPr>
          <w:rFonts w:ascii="AvantGarde Bk BT" w:hAnsi="AvantGarde Bk BT" w:cs="Arial"/>
          <w:sz w:val="22"/>
          <w:u w:val="single"/>
        </w:rPr>
        <w:t xml:space="preserve">se encuentre puesta a disposición del público y se </w:t>
      </w:r>
      <w:r w:rsidR="00AC73C5">
        <w:rPr>
          <w:rFonts w:ascii="AvantGarde Bk BT" w:hAnsi="AvantGarde Bk BT" w:cs="Arial"/>
          <w:sz w:val="22"/>
          <w:u w:val="single"/>
        </w:rPr>
        <w:t xml:space="preserve">le </w:t>
      </w:r>
      <w:r w:rsidR="00816FAE" w:rsidRPr="00816FAE">
        <w:rPr>
          <w:rFonts w:ascii="AvantGarde Bk BT" w:hAnsi="AvantGarde Bk BT" w:cs="Arial"/>
          <w:sz w:val="22"/>
          <w:u w:val="single"/>
        </w:rPr>
        <w:t>permita el acceso a la misma</w:t>
      </w:r>
      <w:r w:rsidR="00816FAE" w:rsidRPr="00816FAE">
        <w:rPr>
          <w:rFonts w:ascii="AvantGarde Bk BT" w:hAnsi="AvantGarde Bk BT" w:cs="Arial"/>
          <w:sz w:val="22"/>
        </w:rPr>
        <w:t>.</w:t>
      </w:r>
    </w:p>
    <w:p w14:paraId="0DC4AFEE" w14:textId="3C53E152" w:rsidR="00F24340" w:rsidRDefault="00F24340" w:rsidP="00816FAE">
      <w:pPr>
        <w:pStyle w:val="corte4fondo"/>
        <w:tabs>
          <w:tab w:val="left" w:pos="567"/>
        </w:tabs>
        <w:ind w:firstLine="680"/>
        <w:rPr>
          <w:rFonts w:ascii="AvantGarde Bk BT" w:hAnsi="AvantGarde Bk BT" w:cs="Arial"/>
          <w:sz w:val="22"/>
        </w:rPr>
      </w:pPr>
    </w:p>
    <w:p w14:paraId="78F7D310" w14:textId="7FE02FCC" w:rsidR="00F24340" w:rsidRDefault="00F24340" w:rsidP="00816FAE">
      <w:pPr>
        <w:pStyle w:val="corte4fondo"/>
        <w:tabs>
          <w:tab w:val="left" w:pos="567"/>
        </w:tabs>
        <w:ind w:firstLine="680"/>
        <w:rPr>
          <w:rFonts w:ascii="AvantGarde Bk BT" w:hAnsi="AvantGarde Bk BT" w:cs="Arial"/>
          <w:sz w:val="22"/>
        </w:rPr>
      </w:pPr>
      <w:r>
        <w:rPr>
          <w:rFonts w:ascii="AvantGarde Bk BT" w:hAnsi="AvantGarde Bk BT" w:cs="Arial"/>
          <w:sz w:val="22"/>
        </w:rPr>
        <w:t>Ahora bien, por lo que hace</w:t>
      </w:r>
      <w:r w:rsidR="00742F6E">
        <w:rPr>
          <w:rFonts w:ascii="AvantGarde Bk BT" w:hAnsi="AvantGarde Bk BT" w:cs="Arial"/>
          <w:sz w:val="22"/>
        </w:rPr>
        <w:t xml:space="preserve"> a las facturas requeridas, </w:t>
      </w:r>
      <w:r w:rsidR="00E13C9F">
        <w:rPr>
          <w:rFonts w:ascii="AvantGarde Bk BT" w:hAnsi="AvantGarde Bk BT" w:cs="Arial"/>
          <w:sz w:val="22"/>
        </w:rPr>
        <w:t>es pertinente precisar que dichos documentos no forman parte de los conceptos que de manera obligatoria deben cargarse en la Plataforma Estatal de Transparencia, así como tampoco se encuentra previsto en los formatos aludidos</w:t>
      </w:r>
      <w:r w:rsidR="00A8635A">
        <w:rPr>
          <w:rFonts w:ascii="AvantGarde Bk BT" w:hAnsi="AvantGarde Bk BT" w:cs="Arial"/>
          <w:sz w:val="22"/>
        </w:rPr>
        <w:t xml:space="preserve"> algún campo para crearles un hipervínculo.</w:t>
      </w:r>
    </w:p>
    <w:p w14:paraId="56969BF2" w14:textId="01B53326" w:rsidR="00A8635A" w:rsidRDefault="00A8635A" w:rsidP="00816FAE">
      <w:pPr>
        <w:pStyle w:val="corte4fondo"/>
        <w:tabs>
          <w:tab w:val="left" w:pos="567"/>
        </w:tabs>
        <w:ind w:firstLine="680"/>
        <w:rPr>
          <w:rFonts w:ascii="AvantGarde Bk BT" w:hAnsi="AvantGarde Bk BT" w:cs="Arial"/>
          <w:sz w:val="22"/>
        </w:rPr>
      </w:pPr>
    </w:p>
    <w:p w14:paraId="1F77FC18" w14:textId="7385D82C" w:rsidR="00A8635A" w:rsidRDefault="00A8635A" w:rsidP="00816FAE">
      <w:pPr>
        <w:pStyle w:val="corte4fondo"/>
        <w:tabs>
          <w:tab w:val="left" w:pos="567"/>
        </w:tabs>
        <w:ind w:firstLine="680"/>
        <w:rPr>
          <w:rFonts w:ascii="AvantGarde Bk BT" w:hAnsi="AvantGarde Bk BT" w:cs="Arial"/>
          <w:sz w:val="22"/>
        </w:rPr>
      </w:pPr>
      <w:r>
        <w:rPr>
          <w:rFonts w:ascii="AvantGarde Bk BT" w:hAnsi="AvantGarde Bk BT" w:cs="Arial"/>
          <w:sz w:val="22"/>
        </w:rPr>
        <w:t>No obstante, esto no es óbice para que el sujeto obligado proporcione copia electrónica de las facturas peticionadas, así como tampoco lo es el alegado proceso de auditoría.</w:t>
      </w:r>
    </w:p>
    <w:p w14:paraId="4E0FC633" w14:textId="79584BB0" w:rsidR="00A8635A" w:rsidRDefault="00A8635A" w:rsidP="00816FAE">
      <w:pPr>
        <w:pStyle w:val="corte4fondo"/>
        <w:tabs>
          <w:tab w:val="left" w:pos="567"/>
        </w:tabs>
        <w:ind w:firstLine="680"/>
        <w:rPr>
          <w:rFonts w:ascii="AvantGarde Bk BT" w:hAnsi="AvantGarde Bk BT" w:cs="Arial"/>
          <w:sz w:val="22"/>
        </w:rPr>
      </w:pPr>
    </w:p>
    <w:p w14:paraId="56715D00" w14:textId="7BA2F679" w:rsidR="00F24340" w:rsidRDefault="00A8635A" w:rsidP="002F0582">
      <w:pPr>
        <w:pStyle w:val="corte4fondo"/>
        <w:tabs>
          <w:tab w:val="left" w:pos="567"/>
        </w:tabs>
        <w:ind w:firstLine="680"/>
        <w:rPr>
          <w:rFonts w:ascii="AvantGarde Bk BT" w:hAnsi="AvantGarde Bk BT" w:cs="Arial"/>
          <w:sz w:val="22"/>
        </w:rPr>
      </w:pPr>
      <w:r>
        <w:rPr>
          <w:rFonts w:ascii="AvantGarde Bk BT" w:hAnsi="AvantGarde Bk BT" w:cs="Arial"/>
          <w:sz w:val="22"/>
        </w:rPr>
        <w:t xml:space="preserve">Se afirma lo anterior, toda vez que </w:t>
      </w:r>
      <w:r w:rsidR="000B39D2">
        <w:rPr>
          <w:rFonts w:ascii="AvantGarde Bk BT" w:hAnsi="AvantGarde Bk BT" w:cs="Arial"/>
          <w:sz w:val="22"/>
        </w:rPr>
        <w:t>de acuerdo con e</w:t>
      </w:r>
      <w:r w:rsidR="000B39D2" w:rsidRPr="000B39D2">
        <w:rPr>
          <w:rFonts w:ascii="AvantGarde Bk BT" w:hAnsi="AvantGarde Bk BT" w:cs="Arial"/>
          <w:sz w:val="22"/>
        </w:rPr>
        <w:t xml:space="preserve">l artículo 29 del Código Fiscal de la Federación, los contribuyentes deben emitir los comprobantes fiscales mediante documentos digitales a través de la página de Internet del Servicio de Administración Tributaria; por ello, </w:t>
      </w:r>
      <w:r w:rsidR="002F0582">
        <w:rPr>
          <w:rFonts w:ascii="AvantGarde Bk BT" w:hAnsi="AvantGarde Bk BT" w:cs="Arial"/>
          <w:b/>
          <w:sz w:val="22"/>
        </w:rPr>
        <w:t>es dable colegir</w:t>
      </w:r>
      <w:r w:rsidR="000B39D2" w:rsidRPr="00BD6597">
        <w:rPr>
          <w:rFonts w:ascii="AvantGarde Bk BT" w:hAnsi="AvantGarde Bk BT" w:cs="Arial"/>
          <w:b/>
          <w:sz w:val="22"/>
        </w:rPr>
        <w:t xml:space="preserve"> que el sujeto obligado debe de contar con </w:t>
      </w:r>
      <w:r w:rsidR="00BD6597" w:rsidRPr="00BD6597">
        <w:rPr>
          <w:rFonts w:ascii="AvantGarde Bk BT" w:hAnsi="AvantGarde Bk BT" w:cs="Arial"/>
          <w:b/>
          <w:sz w:val="22"/>
        </w:rPr>
        <w:t>las facturas</w:t>
      </w:r>
      <w:r w:rsidR="000B39D2" w:rsidRPr="00BD6597">
        <w:rPr>
          <w:rFonts w:ascii="AvantGarde Bk BT" w:hAnsi="AvantGarde Bk BT" w:cs="Arial"/>
          <w:b/>
          <w:sz w:val="22"/>
        </w:rPr>
        <w:t xml:space="preserve"> en formato digital</w:t>
      </w:r>
      <w:r w:rsidR="0014471E">
        <w:rPr>
          <w:rFonts w:ascii="AvantGarde Bk BT" w:hAnsi="AvantGarde Bk BT" w:cs="Arial"/>
          <w:sz w:val="22"/>
        </w:rPr>
        <w:t xml:space="preserve">, luego entonces, </w:t>
      </w:r>
      <w:r w:rsidR="0014471E" w:rsidRPr="002F0582">
        <w:rPr>
          <w:rFonts w:ascii="AvantGarde Bk BT" w:hAnsi="AvantGarde Bk BT" w:cs="Arial"/>
          <w:b/>
          <w:sz w:val="22"/>
        </w:rPr>
        <w:t>no puede negarse el acceso a las mismas por encontrarse en proceso de auditoría</w:t>
      </w:r>
      <w:r w:rsidR="0014471E">
        <w:rPr>
          <w:rFonts w:ascii="AvantGarde Bk BT" w:hAnsi="AvantGarde Bk BT" w:cs="Arial"/>
          <w:sz w:val="22"/>
        </w:rPr>
        <w:t>.</w:t>
      </w:r>
    </w:p>
    <w:p w14:paraId="35D669FB" w14:textId="77777777" w:rsidR="002F0582" w:rsidRDefault="002F0582" w:rsidP="002F0582">
      <w:pPr>
        <w:pStyle w:val="corte4fondo"/>
        <w:tabs>
          <w:tab w:val="left" w:pos="567"/>
        </w:tabs>
        <w:ind w:firstLine="680"/>
        <w:rPr>
          <w:rFonts w:ascii="AvantGarde Bk BT" w:hAnsi="AvantGarde Bk BT" w:cs="Arial"/>
          <w:sz w:val="22"/>
        </w:rPr>
      </w:pPr>
    </w:p>
    <w:p w14:paraId="4F0A58D1" w14:textId="3FED716C" w:rsidR="00C11E2A" w:rsidRPr="0064041F" w:rsidRDefault="0064041F" w:rsidP="0064041F">
      <w:pPr>
        <w:spacing w:line="360" w:lineRule="auto"/>
        <w:ind w:firstLine="680"/>
        <w:jc w:val="both"/>
        <w:rPr>
          <w:rFonts w:ascii="AvantGarde Bk BT" w:hAnsi="AvantGarde Bk BT" w:cs="Arial"/>
        </w:rPr>
      </w:pPr>
      <w:r>
        <w:rPr>
          <w:rFonts w:ascii="AvantGarde Bk BT" w:hAnsi="AvantGarde Bk BT" w:cs="Arial"/>
        </w:rPr>
        <w:t>Lo que viene a reforzar que,</w:t>
      </w:r>
      <w:r w:rsidR="0033059C">
        <w:rPr>
          <w:rFonts w:ascii="AvantGarde Bk BT" w:hAnsi="AvantGarde Bk BT" w:cs="Arial"/>
        </w:rPr>
        <w:t xml:space="preserve"> el caso concreto, </w:t>
      </w:r>
      <w:r>
        <w:rPr>
          <w:rFonts w:ascii="AvantGarde Bk BT" w:hAnsi="AvantGarde Bk BT" w:cs="Arial"/>
        </w:rPr>
        <w:t>los servidores públicos integrantes del Comité de Transparencia, así como el Director General de Infraestructura de la Secretaría desplegaron la conducta</w:t>
      </w:r>
      <w:r w:rsidR="0033059C">
        <w:rPr>
          <w:rFonts w:ascii="AvantGarde Bk BT" w:hAnsi="AvantGarde Bk BT" w:cs="Arial"/>
        </w:rPr>
        <w:t xml:space="preserve"> </w:t>
      </w:r>
      <w:r w:rsidR="00C11E2A" w:rsidRPr="00C11E2A">
        <w:rPr>
          <w:rFonts w:ascii="AvantGarde Bk BT" w:hAnsi="AvantGarde Bk BT"/>
        </w:rPr>
        <w:t xml:space="preserve">prevista en la fracción XI del artículo 197 de la Ley de Transparencia, esto es, </w:t>
      </w:r>
      <w:r>
        <w:rPr>
          <w:rFonts w:ascii="AvantGarde Bk BT" w:hAnsi="AvantGarde Bk BT"/>
        </w:rPr>
        <w:t>que denegaron</w:t>
      </w:r>
      <w:r w:rsidR="00C11E2A" w:rsidRPr="00C11E2A">
        <w:rPr>
          <w:rFonts w:ascii="AvantGarde Bk BT" w:hAnsi="AvantGarde Bk BT"/>
        </w:rPr>
        <w:t xml:space="preserve"> intencionalmente información que no se encuentre clasificada como reservada o confidencial:</w:t>
      </w:r>
    </w:p>
    <w:p w14:paraId="5AFE3BAA" w14:textId="77777777" w:rsidR="00C11E2A" w:rsidRPr="00C11E2A" w:rsidRDefault="00C11E2A" w:rsidP="00C11E2A">
      <w:pPr>
        <w:spacing w:line="360" w:lineRule="auto"/>
        <w:ind w:left="680" w:right="680"/>
        <w:rPr>
          <w:rFonts w:ascii="AvantGarde Bk BT" w:hAnsi="AvantGarde Bk BT"/>
          <w:i/>
        </w:rPr>
      </w:pPr>
      <w:r w:rsidRPr="00C11E2A">
        <w:rPr>
          <w:rFonts w:ascii="AvantGarde Bk BT" w:hAnsi="AvantGarde Bk BT"/>
        </w:rPr>
        <w:lastRenderedPageBreak/>
        <w:t>“</w:t>
      </w:r>
      <w:r w:rsidRPr="00C11E2A">
        <w:rPr>
          <w:rFonts w:ascii="AvantGarde Bk BT" w:hAnsi="AvantGarde Bk BT"/>
          <w:b/>
          <w:i/>
        </w:rPr>
        <w:t>ARTÍCULO 197. Son causas de sanción</w:t>
      </w:r>
      <w:r w:rsidRPr="00C11E2A">
        <w:rPr>
          <w:rFonts w:ascii="AvantGarde Bk BT" w:hAnsi="AvantGarde Bk BT"/>
          <w:i/>
        </w:rPr>
        <w:t xml:space="preserve"> por incumplimiento de las obligaciones establecidas en la materia de la presente Ley, las siguientes conductas:</w:t>
      </w:r>
    </w:p>
    <w:p w14:paraId="6643DE9E" w14:textId="77777777" w:rsidR="00C11E2A" w:rsidRPr="00C11E2A" w:rsidRDefault="00C11E2A" w:rsidP="00C11E2A">
      <w:pPr>
        <w:spacing w:line="360" w:lineRule="auto"/>
        <w:ind w:left="680" w:right="680"/>
        <w:rPr>
          <w:rFonts w:ascii="AvantGarde Bk BT" w:hAnsi="AvantGarde Bk BT"/>
          <w:i/>
        </w:rPr>
      </w:pPr>
      <w:r w:rsidRPr="00C11E2A">
        <w:rPr>
          <w:rFonts w:ascii="AvantGarde Bk BT" w:hAnsi="AvantGarde Bk BT"/>
          <w:i/>
        </w:rPr>
        <w:t>[…]</w:t>
      </w:r>
    </w:p>
    <w:p w14:paraId="54C048E3" w14:textId="77777777" w:rsidR="00C11E2A" w:rsidRPr="00C11E2A" w:rsidRDefault="00C11E2A" w:rsidP="00C11E2A">
      <w:pPr>
        <w:spacing w:line="360" w:lineRule="auto"/>
        <w:ind w:left="680" w:right="680"/>
        <w:rPr>
          <w:rFonts w:ascii="AvantGarde Bk BT" w:hAnsi="AvantGarde Bk BT"/>
        </w:rPr>
      </w:pPr>
      <w:r w:rsidRPr="00C11E2A">
        <w:rPr>
          <w:rFonts w:ascii="AvantGarde Bk BT" w:hAnsi="AvantGarde Bk BT"/>
          <w:b/>
          <w:i/>
        </w:rPr>
        <w:t>XI. Denegar intencionalmente información que no se encuentre clasificada como reservada o confidencial</w:t>
      </w:r>
      <w:r w:rsidRPr="00C11E2A">
        <w:rPr>
          <w:rFonts w:ascii="AvantGarde Bk BT" w:hAnsi="AvantGarde Bk BT"/>
          <w:i/>
        </w:rPr>
        <w:t>;</w:t>
      </w:r>
      <w:r w:rsidRPr="00C11E2A">
        <w:rPr>
          <w:rFonts w:ascii="AvantGarde Bk BT" w:hAnsi="AvantGarde Bk BT"/>
        </w:rPr>
        <w:t>” (Énfasis intencional).</w:t>
      </w:r>
    </w:p>
    <w:p w14:paraId="624F1616" w14:textId="7BD6948C" w:rsidR="0033059C" w:rsidRDefault="0033059C" w:rsidP="0033059C">
      <w:pPr>
        <w:pStyle w:val="corte4fondo"/>
        <w:tabs>
          <w:tab w:val="left" w:pos="567"/>
        </w:tabs>
        <w:ind w:firstLine="680"/>
        <w:rPr>
          <w:rFonts w:ascii="AvantGarde Bk BT" w:hAnsi="AvantGarde Bk BT" w:cs="Arial"/>
          <w:sz w:val="22"/>
        </w:rPr>
      </w:pPr>
    </w:p>
    <w:p w14:paraId="79DB1E18" w14:textId="1B0052C7" w:rsidR="0033059C" w:rsidRDefault="00C0068A" w:rsidP="00872917">
      <w:pPr>
        <w:pStyle w:val="corte4fondo"/>
        <w:tabs>
          <w:tab w:val="left" w:pos="567"/>
        </w:tabs>
        <w:ind w:firstLine="680"/>
        <w:rPr>
          <w:rFonts w:ascii="AvantGarde Bk BT" w:hAnsi="AvantGarde Bk BT" w:cs="Arial"/>
          <w:sz w:val="22"/>
        </w:rPr>
      </w:pPr>
      <w:r>
        <w:rPr>
          <w:rFonts w:ascii="AvantGarde Bk BT" w:hAnsi="AvantGarde Bk BT" w:cs="Arial"/>
          <w:sz w:val="22"/>
        </w:rPr>
        <w:t>En el marco de lo anterior</w:t>
      </w:r>
      <w:r w:rsidRPr="00C0068A">
        <w:rPr>
          <w:rFonts w:ascii="AvantGarde Bk BT" w:hAnsi="AvantGarde Bk BT" w:cs="Arial"/>
          <w:sz w:val="22"/>
        </w:rPr>
        <w:t xml:space="preserve">, con fundamento en los artículos 188 y 190 fracción II  de la Ley de Transparencia vigente en el Estado, se </w:t>
      </w:r>
      <w:r w:rsidRPr="00C0068A">
        <w:rPr>
          <w:rFonts w:ascii="AvantGarde Bk BT" w:hAnsi="AvantGarde Bk BT" w:cs="Arial"/>
          <w:b/>
          <w:sz w:val="22"/>
        </w:rPr>
        <w:t>APERCIBE</w:t>
      </w:r>
      <w:r w:rsidRPr="00C0068A">
        <w:rPr>
          <w:rFonts w:ascii="AvantGarde Bk BT" w:hAnsi="AvantGarde Bk BT" w:cs="Arial"/>
          <w:sz w:val="22"/>
        </w:rPr>
        <w:t xml:space="preserve"> a</w:t>
      </w:r>
      <w:r w:rsidR="0040453B">
        <w:rPr>
          <w:rFonts w:ascii="AvantGarde Bk BT" w:hAnsi="AvantGarde Bk BT" w:cs="Arial"/>
          <w:sz w:val="22"/>
        </w:rPr>
        <w:t xml:space="preserve"> </w:t>
      </w:r>
      <w:r w:rsidR="0040453B">
        <w:rPr>
          <w:rFonts w:ascii="AvantGarde Bk BT" w:hAnsi="AvantGarde Bk BT" w:cs="Arial"/>
          <w:b/>
          <w:sz w:val="22"/>
        </w:rPr>
        <w:t>JAVIER ORTIZ PATIÑO</w:t>
      </w:r>
      <w:r w:rsidRPr="00C0068A">
        <w:rPr>
          <w:rFonts w:ascii="AvantGarde Bk BT" w:hAnsi="AvantGarde Bk BT" w:cs="Arial"/>
          <w:b/>
          <w:sz w:val="22"/>
        </w:rPr>
        <w:t xml:space="preserve"> en su carácter de </w:t>
      </w:r>
      <w:r w:rsidR="0040453B">
        <w:rPr>
          <w:rFonts w:ascii="AvantGarde Bk BT" w:hAnsi="AvantGarde Bk BT" w:cs="Arial"/>
          <w:b/>
          <w:sz w:val="22"/>
        </w:rPr>
        <w:t>PRESIDENTE, a LUIS GERARDO RUIZ IBARRA, en su carácter de SECRETARIO TÉCNICO</w:t>
      </w:r>
      <w:r w:rsidRPr="00C0068A">
        <w:rPr>
          <w:rFonts w:ascii="AvantGarde Bk BT" w:hAnsi="AvantGarde Bk BT" w:cs="Arial"/>
          <w:sz w:val="22"/>
        </w:rPr>
        <w:t xml:space="preserve"> y a </w:t>
      </w:r>
      <w:r w:rsidR="0040453B">
        <w:rPr>
          <w:rFonts w:ascii="AvantGarde Bk BT" w:hAnsi="AvantGarde Bk BT" w:cs="Arial"/>
          <w:b/>
          <w:sz w:val="22"/>
        </w:rPr>
        <w:t>JOSÉ ARMANDO TORRES MATA</w:t>
      </w:r>
      <w:r w:rsidRPr="00C0068A">
        <w:rPr>
          <w:rFonts w:ascii="AvantGarde Bk BT" w:hAnsi="AvantGarde Bk BT" w:cs="Arial"/>
          <w:b/>
          <w:sz w:val="22"/>
        </w:rPr>
        <w:t xml:space="preserve">, en su carácter de </w:t>
      </w:r>
      <w:r w:rsidR="0040453B">
        <w:rPr>
          <w:rFonts w:ascii="AvantGarde Bk BT" w:hAnsi="AvantGarde Bk BT" w:cs="Arial"/>
          <w:b/>
          <w:sz w:val="22"/>
        </w:rPr>
        <w:t>COORDINADOR, todos del COMITÉ DE TRANSPARENCIA</w:t>
      </w:r>
      <w:r w:rsidR="00CF7D4C">
        <w:rPr>
          <w:rFonts w:ascii="AvantGarde Bk BT" w:hAnsi="AvantGarde Bk BT" w:cs="Arial"/>
          <w:b/>
          <w:sz w:val="22"/>
        </w:rPr>
        <w:t xml:space="preserve"> DE LA SECRETARÍA DE DESARROLLO URBANO, VIVIENDA Y OBRAS PÚBLICAS</w:t>
      </w:r>
      <w:r w:rsidRPr="00C0068A">
        <w:rPr>
          <w:rFonts w:ascii="AvantGarde Bk BT" w:hAnsi="AvantGarde Bk BT" w:cs="Arial"/>
          <w:sz w:val="22"/>
        </w:rPr>
        <w:t xml:space="preserve">, </w:t>
      </w:r>
      <w:r w:rsidR="0040453B">
        <w:rPr>
          <w:rFonts w:ascii="AvantGarde Bk BT" w:hAnsi="AvantGarde Bk BT" w:cs="Arial"/>
          <w:sz w:val="22"/>
        </w:rPr>
        <w:t xml:space="preserve">así como a </w:t>
      </w:r>
      <w:r w:rsidR="0040453B" w:rsidRPr="0040453B">
        <w:rPr>
          <w:rFonts w:ascii="AvantGarde Bk BT" w:hAnsi="AvantGarde Bk BT" w:cs="Arial"/>
          <w:b/>
          <w:sz w:val="22"/>
        </w:rPr>
        <w:t>JUAN MANUEL MENDOZA GARCÍA, en su carácter de DIRECTOR GENERAL DE INFRAESTRUCTURA</w:t>
      </w:r>
      <w:r w:rsidR="00CF7D4C">
        <w:rPr>
          <w:rFonts w:ascii="AvantGarde Bk BT" w:hAnsi="AvantGarde Bk BT" w:cs="Arial"/>
          <w:b/>
          <w:sz w:val="22"/>
        </w:rPr>
        <w:t xml:space="preserve"> DE LA SECRETARÍA</w:t>
      </w:r>
      <w:r w:rsidR="0040453B">
        <w:rPr>
          <w:rFonts w:ascii="AvantGarde Bk BT" w:hAnsi="AvantGarde Bk BT" w:cs="Arial"/>
          <w:sz w:val="22"/>
        </w:rPr>
        <w:t xml:space="preserve">, </w:t>
      </w:r>
      <w:r w:rsidRPr="00C0068A">
        <w:rPr>
          <w:rFonts w:ascii="AvantGarde Bk BT" w:hAnsi="AvantGarde Bk BT" w:cs="Arial"/>
          <w:sz w:val="22"/>
        </w:rPr>
        <w:t xml:space="preserve">para que se abstengan de realizar prácticas que obstaculicen el ejercicio del derecho humano de acceso a la información pública, negando el acceso a información que tiene una naturaleza pública y que incluso debe obrar publicada en la Plataforma Estatal de Transparencia, y </w:t>
      </w:r>
      <w:r w:rsidRPr="00C0068A">
        <w:rPr>
          <w:rFonts w:ascii="AvantGarde Bk BT" w:hAnsi="AvantGarde Bk BT" w:cs="Arial"/>
          <w:b/>
          <w:sz w:val="22"/>
        </w:rPr>
        <w:t>que en caso de reincidir en la conducta consistente en denegar intencionalmente el acceso a información correspondiente a obligaciones de transparencia que no tienen el carácter de reservada o confidencial</w:t>
      </w:r>
      <w:r w:rsidRPr="00C0068A">
        <w:rPr>
          <w:rFonts w:ascii="AvantGarde Bk BT" w:hAnsi="AvantGarde Bk BT" w:cs="Arial"/>
          <w:sz w:val="22"/>
        </w:rPr>
        <w:t xml:space="preserve"> </w:t>
      </w:r>
      <w:r w:rsidRPr="00C0068A">
        <w:rPr>
          <w:rFonts w:ascii="AvantGarde Bk BT" w:hAnsi="AvantGarde Bk BT" w:cs="Arial"/>
          <w:b/>
          <w:sz w:val="22"/>
        </w:rPr>
        <w:t>se aplicará en su contra la medida de apremio consistente en una MULTA</w:t>
      </w:r>
      <w:r w:rsidRPr="00C0068A">
        <w:rPr>
          <w:rFonts w:ascii="AvantGarde Bk BT" w:hAnsi="AvantGarde Bk BT" w:cs="Arial"/>
          <w:sz w:val="22"/>
        </w:rPr>
        <w:t>.</w:t>
      </w:r>
    </w:p>
    <w:p w14:paraId="7D2D5FD6" w14:textId="77777777" w:rsidR="0033059C" w:rsidRDefault="0033059C" w:rsidP="00CA777A">
      <w:pPr>
        <w:pStyle w:val="corte4fondo"/>
        <w:tabs>
          <w:tab w:val="left" w:pos="567"/>
        </w:tabs>
        <w:ind w:firstLine="0"/>
        <w:rPr>
          <w:rFonts w:ascii="AvantGarde Bk BT" w:hAnsi="AvantGarde Bk BT" w:cs="Arial"/>
          <w:sz w:val="22"/>
        </w:rPr>
      </w:pPr>
    </w:p>
    <w:p w14:paraId="7075E0E9" w14:textId="0A607D6D" w:rsidR="00F91851" w:rsidRDefault="003C1A19" w:rsidP="003C1A19">
      <w:pPr>
        <w:pStyle w:val="corte4fondo"/>
        <w:tabs>
          <w:tab w:val="left" w:pos="567"/>
        </w:tabs>
        <w:ind w:firstLine="680"/>
        <w:rPr>
          <w:rFonts w:ascii="AvantGarde Bk BT" w:hAnsi="AvantGarde Bk BT" w:cs="Arial"/>
          <w:sz w:val="22"/>
          <w:lang w:val="es-MX"/>
        </w:rPr>
      </w:pPr>
      <w:r>
        <w:rPr>
          <w:rFonts w:ascii="AvantGarde Bk BT" w:hAnsi="AvantGarde Bk BT" w:cs="Arial"/>
          <w:sz w:val="22"/>
          <w:lang w:val="es-MX"/>
        </w:rPr>
        <w:t>En este orden ideas, por los razonamientos antes expuestos</w:t>
      </w:r>
      <w:r w:rsidR="00F91851" w:rsidRPr="00F91851">
        <w:rPr>
          <w:rFonts w:ascii="AvantGarde Bk BT" w:hAnsi="AvantGarde Bk BT" w:cs="Arial"/>
          <w:sz w:val="22"/>
          <w:lang w:val="es-MX"/>
        </w:rPr>
        <w:t xml:space="preserve">, </w:t>
      </w:r>
      <w:r w:rsidR="00F91851" w:rsidRPr="00F91851">
        <w:rPr>
          <w:rFonts w:ascii="AvantGarde Bk BT" w:hAnsi="AvantGarde Bk BT" w:cs="Arial"/>
          <w:b/>
          <w:sz w:val="22"/>
          <w:u w:val="single"/>
          <w:lang w:val="es-MX"/>
        </w:rPr>
        <w:t>se tiene por incumplida la resolución del Recurso de Revisión RR-</w:t>
      </w:r>
      <w:r>
        <w:rPr>
          <w:rFonts w:ascii="AvantGarde Bk BT" w:hAnsi="AvantGarde Bk BT" w:cs="Arial"/>
          <w:b/>
          <w:sz w:val="22"/>
          <w:u w:val="single"/>
          <w:lang w:val="es-MX"/>
        </w:rPr>
        <w:t>20</w:t>
      </w:r>
      <w:r w:rsidR="00514410">
        <w:rPr>
          <w:rFonts w:ascii="AvantGarde Bk BT" w:hAnsi="AvantGarde Bk BT" w:cs="Arial"/>
          <w:b/>
          <w:sz w:val="22"/>
          <w:u w:val="single"/>
          <w:lang w:val="es-MX"/>
        </w:rPr>
        <w:t>69</w:t>
      </w:r>
      <w:r w:rsidR="00F91851" w:rsidRPr="00F91851">
        <w:rPr>
          <w:rFonts w:ascii="AvantGarde Bk BT" w:hAnsi="AvantGarde Bk BT" w:cs="Arial"/>
          <w:b/>
          <w:sz w:val="22"/>
          <w:u w:val="single"/>
          <w:lang w:val="es-MX"/>
        </w:rPr>
        <w:t>/2022-1</w:t>
      </w:r>
      <w:r w:rsidR="00F91851" w:rsidRPr="00F91851">
        <w:rPr>
          <w:rFonts w:ascii="AvantGarde Bk BT" w:hAnsi="AvantGarde Bk BT" w:cs="Arial"/>
          <w:sz w:val="22"/>
          <w:lang w:val="es-MX"/>
        </w:rPr>
        <w:t>.</w:t>
      </w:r>
    </w:p>
    <w:p w14:paraId="6098AF98" w14:textId="77777777" w:rsidR="003C1A19" w:rsidRPr="00F91851" w:rsidRDefault="003C1A19" w:rsidP="003C1A19">
      <w:pPr>
        <w:pStyle w:val="corte4fondo"/>
        <w:tabs>
          <w:tab w:val="left" w:pos="567"/>
        </w:tabs>
        <w:ind w:firstLine="680"/>
        <w:rPr>
          <w:rFonts w:ascii="AvantGarde Bk BT" w:hAnsi="AvantGarde Bk BT" w:cs="Arial"/>
          <w:sz w:val="22"/>
          <w:lang w:val="es-MX"/>
        </w:rPr>
      </w:pPr>
    </w:p>
    <w:p w14:paraId="754233D7" w14:textId="25B73FC3" w:rsidR="00F91851" w:rsidRDefault="003C1A19" w:rsidP="003C1A19">
      <w:pPr>
        <w:pStyle w:val="corte4fondo"/>
        <w:tabs>
          <w:tab w:val="left" w:pos="567"/>
        </w:tabs>
        <w:ind w:firstLine="680"/>
        <w:rPr>
          <w:rFonts w:ascii="AvantGarde Bk BT" w:hAnsi="AvantGarde Bk BT" w:cs="Arial"/>
          <w:sz w:val="22"/>
          <w:lang w:val="es-MX"/>
        </w:rPr>
      </w:pPr>
      <w:r>
        <w:rPr>
          <w:rFonts w:ascii="AvantGarde Bk BT" w:hAnsi="AvantGarde Bk BT" w:cs="Arial"/>
          <w:sz w:val="22"/>
          <w:lang w:val="es-MX"/>
        </w:rPr>
        <w:t>Consecuentemente</w:t>
      </w:r>
      <w:r w:rsidR="00F91851" w:rsidRPr="00F91851">
        <w:rPr>
          <w:rFonts w:ascii="AvantGarde Bk BT" w:hAnsi="AvantGarde Bk BT" w:cs="Arial"/>
          <w:sz w:val="22"/>
          <w:lang w:val="es-MX"/>
        </w:rPr>
        <w:t xml:space="preserve">, </w:t>
      </w:r>
      <w:r w:rsidR="00F91851" w:rsidRPr="00F91851">
        <w:rPr>
          <w:rFonts w:ascii="AvantGarde Bk BT" w:hAnsi="AvantGarde Bk BT" w:cs="Arial"/>
          <w:b/>
          <w:sz w:val="22"/>
          <w:lang w:val="es-MX"/>
        </w:rPr>
        <w:t>se instruye</w:t>
      </w:r>
      <w:r w:rsidR="00F91851" w:rsidRPr="00F91851">
        <w:rPr>
          <w:rFonts w:ascii="AvantGarde Bk BT" w:hAnsi="AvantGarde Bk BT" w:cs="Arial"/>
          <w:sz w:val="22"/>
          <w:lang w:val="es-MX"/>
        </w:rPr>
        <w:t xml:space="preserve"> al sujeto obligado para que:</w:t>
      </w:r>
    </w:p>
    <w:p w14:paraId="0215EC51" w14:textId="77777777" w:rsidR="00CF7D4C" w:rsidRDefault="00CF7D4C" w:rsidP="003C1A19">
      <w:pPr>
        <w:pStyle w:val="corte4fondo"/>
        <w:tabs>
          <w:tab w:val="left" w:pos="567"/>
        </w:tabs>
        <w:ind w:firstLine="680"/>
        <w:rPr>
          <w:rFonts w:ascii="AvantGarde Bk BT" w:hAnsi="AvantGarde Bk BT" w:cs="Arial"/>
          <w:sz w:val="22"/>
          <w:lang w:val="es-MX"/>
        </w:rPr>
      </w:pPr>
    </w:p>
    <w:p w14:paraId="772BFB36" w14:textId="35329F61" w:rsidR="00FA3EFB" w:rsidRDefault="00F91851" w:rsidP="007B3C20">
      <w:pPr>
        <w:pStyle w:val="corte4fondo"/>
        <w:tabs>
          <w:tab w:val="left" w:pos="567"/>
        </w:tabs>
        <w:rPr>
          <w:rFonts w:ascii="AvantGarde Bk BT" w:hAnsi="AvantGarde Bk BT" w:cs="Arial"/>
          <w:sz w:val="22"/>
          <w:lang w:val="es-MX"/>
        </w:rPr>
      </w:pPr>
      <w:r w:rsidRPr="00F91851">
        <w:rPr>
          <w:rFonts w:ascii="AvantGarde Bk BT" w:hAnsi="AvantGarde Bk BT" w:cs="Arial"/>
          <w:b/>
          <w:sz w:val="22"/>
          <w:lang w:val="es-MX"/>
        </w:rPr>
        <w:t>1.</w:t>
      </w:r>
      <w:r w:rsidRPr="00F91851">
        <w:rPr>
          <w:rFonts w:ascii="AvantGarde Bk BT" w:hAnsi="AvantGarde Bk BT" w:cs="Arial"/>
          <w:sz w:val="22"/>
          <w:lang w:val="es-MX"/>
        </w:rPr>
        <w:t xml:space="preserve"> El </w:t>
      </w:r>
      <w:r w:rsidR="00FA3EFB">
        <w:rPr>
          <w:rFonts w:ascii="AvantGarde Bk BT" w:hAnsi="AvantGarde Bk BT" w:cs="Arial"/>
          <w:sz w:val="22"/>
          <w:lang w:val="es-MX"/>
        </w:rPr>
        <w:t>Comité de Transparencia deje sin efecto</w:t>
      </w:r>
      <w:r w:rsidR="0081577B">
        <w:rPr>
          <w:rFonts w:ascii="AvantGarde Bk BT" w:hAnsi="AvantGarde Bk BT" w:cs="Arial"/>
          <w:sz w:val="22"/>
          <w:lang w:val="es-MX"/>
        </w:rPr>
        <w:t xml:space="preserve"> el acta de la </w:t>
      </w:r>
      <w:r w:rsidR="002A2188">
        <w:rPr>
          <w:rFonts w:ascii="AvantGarde Bk BT" w:hAnsi="AvantGarde Bk BT" w:cs="Arial"/>
          <w:sz w:val="22"/>
          <w:lang w:val="es-MX"/>
        </w:rPr>
        <w:t>Segunda</w:t>
      </w:r>
      <w:r w:rsidR="0081577B">
        <w:rPr>
          <w:rFonts w:ascii="AvantGarde Bk BT" w:hAnsi="AvantGarde Bk BT" w:cs="Arial"/>
          <w:sz w:val="22"/>
          <w:lang w:val="es-MX"/>
        </w:rPr>
        <w:t xml:space="preserve"> Sesión Extraordinaria del Comité de Transparencia y desclasifique la información de los expedientes</w:t>
      </w:r>
      <w:r w:rsidR="0081577B" w:rsidRPr="0081577B">
        <w:rPr>
          <w:rFonts w:ascii="AvantGarde Bk BT" w:hAnsi="AvantGarde Bk BT" w:cs="Arial"/>
          <w:sz w:val="22"/>
          <w:lang w:val="es-MX"/>
        </w:rPr>
        <w:t xml:space="preserve"> relativos a la rem</w:t>
      </w:r>
      <w:r w:rsidR="0081577B">
        <w:rPr>
          <w:rFonts w:ascii="AvantGarde Bk BT" w:hAnsi="AvantGarde Bk BT" w:cs="Arial"/>
          <w:sz w:val="22"/>
          <w:lang w:val="es-MX"/>
        </w:rPr>
        <w:t xml:space="preserve">odelación/rehabilitación </w:t>
      </w:r>
      <w:r w:rsidR="002A2188">
        <w:rPr>
          <w:rFonts w:ascii="AvantGarde Bk BT" w:hAnsi="AvantGarde Bk BT" w:cs="Arial"/>
          <w:sz w:val="22"/>
          <w:lang w:val="es-MX"/>
        </w:rPr>
        <w:t>del Parque Tangamanga I</w:t>
      </w:r>
      <w:r w:rsidR="00CF7D4C">
        <w:rPr>
          <w:rFonts w:ascii="AvantGarde Bk BT" w:hAnsi="AvantGarde Bk BT" w:cs="Arial"/>
          <w:sz w:val="22"/>
          <w:lang w:val="es-MX"/>
        </w:rPr>
        <w:t>.</w:t>
      </w:r>
    </w:p>
    <w:p w14:paraId="07CBC036" w14:textId="27EE2C73" w:rsidR="00F91851" w:rsidRPr="00F91851" w:rsidRDefault="00FA3EFB" w:rsidP="00CF7D4C">
      <w:pPr>
        <w:pStyle w:val="corte4fondo"/>
        <w:tabs>
          <w:tab w:val="left" w:pos="567"/>
        </w:tabs>
        <w:ind w:left="680"/>
        <w:rPr>
          <w:rFonts w:ascii="AvantGarde Bk BT" w:hAnsi="AvantGarde Bk BT" w:cs="Arial"/>
          <w:sz w:val="22"/>
          <w:lang w:val="es-MX"/>
        </w:rPr>
      </w:pPr>
      <w:r>
        <w:rPr>
          <w:rFonts w:ascii="AvantGarde Bk BT" w:hAnsi="AvantGarde Bk BT" w:cs="Arial"/>
          <w:sz w:val="22"/>
          <w:lang w:val="es-MX"/>
        </w:rPr>
        <w:t xml:space="preserve"> </w:t>
      </w:r>
    </w:p>
    <w:p w14:paraId="4414D903" w14:textId="392BEABD" w:rsidR="00CF7D4C" w:rsidRDefault="00F91851" w:rsidP="007B3C20">
      <w:pPr>
        <w:pStyle w:val="corte4fondo"/>
        <w:tabs>
          <w:tab w:val="left" w:pos="567"/>
        </w:tabs>
        <w:rPr>
          <w:rFonts w:ascii="AvantGarde Bk BT" w:hAnsi="AvantGarde Bk BT" w:cs="Arial"/>
          <w:sz w:val="22"/>
          <w:lang w:val="es-MX"/>
        </w:rPr>
      </w:pPr>
      <w:r w:rsidRPr="00FA3EFB">
        <w:rPr>
          <w:rFonts w:ascii="AvantGarde Bk BT" w:hAnsi="AvantGarde Bk BT" w:cs="Arial"/>
          <w:b/>
          <w:sz w:val="22"/>
          <w:lang w:val="es-MX"/>
        </w:rPr>
        <w:t>2</w:t>
      </w:r>
      <w:r w:rsidRPr="00FA3EFB">
        <w:rPr>
          <w:rFonts w:ascii="AvantGarde Bk BT" w:hAnsi="AvantGarde Bk BT" w:cs="Arial"/>
          <w:sz w:val="22"/>
          <w:lang w:val="es-MX"/>
        </w:rPr>
        <w:t xml:space="preserve">. </w:t>
      </w:r>
      <w:r w:rsidR="00CF7D4C">
        <w:rPr>
          <w:rFonts w:ascii="AvantGarde Bk BT" w:hAnsi="AvantGarde Bk BT" w:cs="Arial"/>
          <w:sz w:val="22"/>
          <w:lang w:val="es-MX"/>
        </w:rPr>
        <w:t>Entregue al particular, a través del medio que designó para recibir notificaciones, la información consistente en:</w:t>
      </w:r>
    </w:p>
    <w:p w14:paraId="64D92FEC" w14:textId="77777777" w:rsidR="00555CF4" w:rsidRDefault="00555CF4" w:rsidP="007B3C20">
      <w:pPr>
        <w:pStyle w:val="corte4fondo"/>
        <w:tabs>
          <w:tab w:val="left" w:pos="567"/>
        </w:tabs>
        <w:rPr>
          <w:rFonts w:ascii="AvantGarde Bk BT" w:hAnsi="AvantGarde Bk BT" w:cs="Arial"/>
          <w:sz w:val="22"/>
          <w:lang w:val="es-MX"/>
        </w:rPr>
      </w:pPr>
    </w:p>
    <w:p w14:paraId="1CB5EAA1" w14:textId="6FE162E1" w:rsidR="00221B7D" w:rsidRPr="00221B7D" w:rsidRDefault="00221B7D" w:rsidP="00555CF4">
      <w:pPr>
        <w:pStyle w:val="corte4fondo"/>
        <w:tabs>
          <w:tab w:val="left" w:pos="567"/>
        </w:tabs>
        <w:ind w:left="1020" w:right="680" w:firstLine="0"/>
        <w:rPr>
          <w:rFonts w:ascii="AvantGarde Bk BT" w:hAnsi="AvantGarde Bk BT" w:cs="Arial"/>
          <w:sz w:val="22"/>
        </w:rPr>
      </w:pPr>
      <w:r>
        <w:rPr>
          <w:rFonts w:ascii="AvantGarde Bk BT" w:hAnsi="AvantGarde Bk BT" w:cs="Arial"/>
          <w:b/>
          <w:sz w:val="22"/>
        </w:rPr>
        <w:t>2</w:t>
      </w:r>
      <w:r w:rsidRPr="00221B7D">
        <w:rPr>
          <w:rFonts w:ascii="AvantGarde Bk BT" w:hAnsi="AvantGarde Bk BT" w:cs="Arial"/>
          <w:b/>
          <w:sz w:val="22"/>
        </w:rPr>
        <w:t>.1.</w:t>
      </w:r>
      <w:r w:rsidRPr="00221B7D">
        <w:rPr>
          <w:rFonts w:ascii="AvantGarde Bk BT" w:hAnsi="AvantGarde Bk BT" w:cs="Arial"/>
          <w:sz w:val="22"/>
        </w:rPr>
        <w:t xml:space="preserve"> Lista de personas y/o empresas que se encargaron de la remodelación del Parque Tangamanga I.</w:t>
      </w:r>
    </w:p>
    <w:p w14:paraId="09F6DB83" w14:textId="77777777" w:rsidR="00221B7D" w:rsidRPr="00221B7D" w:rsidRDefault="00221B7D" w:rsidP="00555CF4">
      <w:pPr>
        <w:pStyle w:val="corte4fondo"/>
        <w:tabs>
          <w:tab w:val="left" w:pos="567"/>
        </w:tabs>
        <w:ind w:left="1020" w:right="680"/>
        <w:rPr>
          <w:rFonts w:ascii="AvantGarde Bk BT" w:hAnsi="AvantGarde Bk BT" w:cs="Arial"/>
          <w:sz w:val="22"/>
        </w:rPr>
      </w:pPr>
    </w:p>
    <w:p w14:paraId="5E4FECD5" w14:textId="7EBEAB02" w:rsidR="00221B7D" w:rsidRPr="00221B7D" w:rsidRDefault="00221B7D" w:rsidP="00555CF4">
      <w:pPr>
        <w:pStyle w:val="corte4fondo"/>
        <w:tabs>
          <w:tab w:val="left" w:pos="567"/>
        </w:tabs>
        <w:ind w:left="1020" w:right="680" w:firstLine="0"/>
        <w:rPr>
          <w:rFonts w:ascii="AvantGarde Bk BT" w:hAnsi="AvantGarde Bk BT" w:cs="Arial"/>
          <w:sz w:val="22"/>
        </w:rPr>
      </w:pPr>
      <w:r>
        <w:rPr>
          <w:rFonts w:ascii="AvantGarde Bk BT" w:hAnsi="AvantGarde Bk BT" w:cs="Arial"/>
          <w:b/>
          <w:sz w:val="22"/>
        </w:rPr>
        <w:lastRenderedPageBreak/>
        <w:t>2</w:t>
      </w:r>
      <w:r w:rsidRPr="00221B7D">
        <w:rPr>
          <w:rFonts w:ascii="AvantGarde Bk BT" w:hAnsi="AvantGarde Bk BT" w:cs="Arial"/>
          <w:b/>
          <w:sz w:val="22"/>
        </w:rPr>
        <w:t>.2.</w:t>
      </w:r>
      <w:r w:rsidRPr="00221B7D">
        <w:rPr>
          <w:rFonts w:ascii="AvantGarde Bk BT" w:hAnsi="AvantGarde Bk BT" w:cs="Arial"/>
          <w:sz w:val="22"/>
        </w:rPr>
        <w:t xml:space="preserve"> Costo total de la remodelació</w:t>
      </w:r>
      <w:bookmarkStart w:id="0" w:name="_GoBack"/>
      <w:bookmarkEnd w:id="0"/>
      <w:r w:rsidRPr="00221B7D">
        <w:rPr>
          <w:rFonts w:ascii="AvantGarde Bk BT" w:hAnsi="AvantGarde Bk BT" w:cs="Arial"/>
          <w:sz w:val="22"/>
        </w:rPr>
        <w:t>n del Parque Tangamanga I.</w:t>
      </w:r>
    </w:p>
    <w:p w14:paraId="3B3D82B8" w14:textId="77777777" w:rsidR="00221B7D" w:rsidRPr="00221B7D" w:rsidRDefault="00221B7D" w:rsidP="00555CF4">
      <w:pPr>
        <w:pStyle w:val="corte4fondo"/>
        <w:tabs>
          <w:tab w:val="left" w:pos="567"/>
        </w:tabs>
        <w:ind w:left="1020" w:right="680"/>
        <w:rPr>
          <w:rFonts w:ascii="AvantGarde Bk BT" w:hAnsi="AvantGarde Bk BT" w:cs="Arial"/>
          <w:sz w:val="22"/>
        </w:rPr>
      </w:pPr>
    </w:p>
    <w:p w14:paraId="41CC906E" w14:textId="6148EAC9" w:rsidR="00221B7D" w:rsidRPr="00221B7D" w:rsidRDefault="00221B7D" w:rsidP="00555CF4">
      <w:pPr>
        <w:pStyle w:val="corte4fondo"/>
        <w:tabs>
          <w:tab w:val="left" w:pos="567"/>
        </w:tabs>
        <w:ind w:left="1020" w:right="680" w:firstLine="0"/>
        <w:rPr>
          <w:rFonts w:ascii="AvantGarde Bk BT" w:hAnsi="AvantGarde Bk BT" w:cs="Arial"/>
          <w:sz w:val="22"/>
        </w:rPr>
      </w:pPr>
      <w:r>
        <w:rPr>
          <w:rFonts w:ascii="AvantGarde Bk BT" w:hAnsi="AvantGarde Bk BT" w:cs="Arial"/>
          <w:b/>
          <w:sz w:val="22"/>
        </w:rPr>
        <w:t>2</w:t>
      </w:r>
      <w:r w:rsidRPr="00221B7D">
        <w:rPr>
          <w:rFonts w:ascii="AvantGarde Bk BT" w:hAnsi="AvantGarde Bk BT" w:cs="Arial"/>
          <w:b/>
          <w:sz w:val="22"/>
        </w:rPr>
        <w:t>.3.</w:t>
      </w:r>
      <w:r w:rsidRPr="00221B7D">
        <w:rPr>
          <w:rFonts w:ascii="AvantGarde Bk BT" w:hAnsi="AvantGarde Bk BT" w:cs="Arial"/>
          <w:sz w:val="22"/>
        </w:rPr>
        <w:t xml:space="preserve"> Todos los contratos firmados por la remodelación del Parque Tangamanga I.</w:t>
      </w:r>
    </w:p>
    <w:p w14:paraId="5FCD9FA7" w14:textId="77777777" w:rsidR="00221B7D" w:rsidRPr="00221B7D" w:rsidRDefault="00221B7D" w:rsidP="00555CF4">
      <w:pPr>
        <w:pStyle w:val="corte4fondo"/>
        <w:tabs>
          <w:tab w:val="left" w:pos="567"/>
        </w:tabs>
        <w:ind w:left="1020" w:right="680"/>
        <w:rPr>
          <w:rFonts w:ascii="AvantGarde Bk BT" w:hAnsi="AvantGarde Bk BT" w:cs="Arial"/>
          <w:sz w:val="22"/>
        </w:rPr>
      </w:pPr>
    </w:p>
    <w:p w14:paraId="6E72C5BF" w14:textId="3F7E4F9D" w:rsidR="00221B7D" w:rsidRPr="00221B7D" w:rsidRDefault="00221B7D" w:rsidP="00555CF4">
      <w:pPr>
        <w:pStyle w:val="corte4fondo"/>
        <w:tabs>
          <w:tab w:val="left" w:pos="567"/>
        </w:tabs>
        <w:ind w:left="1020" w:right="680" w:firstLine="0"/>
        <w:rPr>
          <w:rFonts w:ascii="AvantGarde Bk BT" w:hAnsi="AvantGarde Bk BT" w:cs="Arial"/>
          <w:sz w:val="22"/>
        </w:rPr>
      </w:pPr>
      <w:r>
        <w:rPr>
          <w:rFonts w:ascii="AvantGarde Bk BT" w:hAnsi="AvantGarde Bk BT" w:cs="Arial"/>
          <w:b/>
          <w:sz w:val="22"/>
        </w:rPr>
        <w:t>2</w:t>
      </w:r>
      <w:r w:rsidRPr="00221B7D">
        <w:rPr>
          <w:rFonts w:ascii="AvantGarde Bk BT" w:hAnsi="AvantGarde Bk BT" w:cs="Arial"/>
          <w:b/>
          <w:sz w:val="22"/>
        </w:rPr>
        <w:t>.4.</w:t>
      </w:r>
      <w:r w:rsidRPr="00221B7D">
        <w:rPr>
          <w:rFonts w:ascii="AvantGarde Bk BT" w:hAnsi="AvantGarde Bk BT" w:cs="Arial"/>
          <w:sz w:val="22"/>
        </w:rPr>
        <w:t xml:space="preserve"> Todas las facturas pagadas por la remodelación del Parque Tangamanga I.</w:t>
      </w:r>
    </w:p>
    <w:p w14:paraId="09DB48EC" w14:textId="7A93BB0E" w:rsidR="00FA3EFB" w:rsidRPr="00FA3EFB" w:rsidRDefault="00CF7D4C" w:rsidP="007B3C20">
      <w:pPr>
        <w:pStyle w:val="corte4fondo"/>
        <w:tabs>
          <w:tab w:val="left" w:pos="567"/>
        </w:tabs>
        <w:rPr>
          <w:rFonts w:ascii="AvantGarde Bk BT" w:hAnsi="AvantGarde Bk BT" w:cs="Arial"/>
          <w:sz w:val="22"/>
          <w:lang w:val="es-MX"/>
        </w:rPr>
      </w:pPr>
      <w:r>
        <w:rPr>
          <w:rFonts w:ascii="AvantGarde Bk BT" w:hAnsi="AvantGarde Bk BT" w:cs="Arial"/>
          <w:sz w:val="22"/>
          <w:lang w:val="es-MX"/>
        </w:rPr>
        <w:t xml:space="preserve"> </w:t>
      </w:r>
    </w:p>
    <w:p w14:paraId="37980F63" w14:textId="77777777" w:rsidR="00F91851" w:rsidRPr="00FA3EFB" w:rsidRDefault="00F91851" w:rsidP="00FA3EFB">
      <w:pPr>
        <w:pStyle w:val="corte4fondo"/>
        <w:ind w:firstLine="680"/>
        <w:rPr>
          <w:rFonts w:ascii="AvantGarde Bk BT" w:hAnsi="AvantGarde Bk BT" w:cs="Arial"/>
          <w:sz w:val="22"/>
          <w:lang w:val="es-MX"/>
        </w:rPr>
      </w:pPr>
      <w:r w:rsidRPr="00FA3EFB">
        <w:rPr>
          <w:rFonts w:ascii="AvantGarde Bk BT" w:hAnsi="AvantGarde Bk BT" w:cs="Arial"/>
          <w:sz w:val="22"/>
          <w:lang w:val="es-MX"/>
        </w:rPr>
        <w:t>Lo anterior, en la inteligencia de que deberá remitir a este Órgano Garante:</w:t>
      </w:r>
    </w:p>
    <w:p w14:paraId="5F932BB8" w14:textId="77777777" w:rsidR="00F91851" w:rsidRPr="00FA3EFB" w:rsidRDefault="00F91851" w:rsidP="00F91851">
      <w:pPr>
        <w:pStyle w:val="corte4fondo"/>
        <w:ind w:firstLine="0"/>
        <w:rPr>
          <w:rFonts w:ascii="AvantGarde Bk BT" w:hAnsi="AvantGarde Bk BT" w:cs="Arial"/>
          <w:sz w:val="22"/>
          <w:lang w:val="es-MX"/>
        </w:rPr>
      </w:pPr>
    </w:p>
    <w:p w14:paraId="2C011B1F" w14:textId="77777777" w:rsidR="00F91851" w:rsidRPr="00FA3EFB" w:rsidRDefault="00F91851" w:rsidP="0078421D">
      <w:pPr>
        <w:pStyle w:val="corte4fondo"/>
        <w:ind w:left="1020" w:firstLine="0"/>
        <w:rPr>
          <w:rFonts w:ascii="AvantGarde Bk BT" w:hAnsi="AvantGarde Bk BT" w:cs="Arial"/>
          <w:sz w:val="22"/>
          <w:lang w:val="es-MX"/>
        </w:rPr>
      </w:pPr>
      <w:r w:rsidRPr="00FA3EFB">
        <w:rPr>
          <w:rFonts w:ascii="AvantGarde Bk BT" w:hAnsi="AvantGarde Bk BT" w:cs="Arial"/>
          <w:b/>
          <w:sz w:val="22"/>
          <w:lang w:val="es-MX"/>
        </w:rPr>
        <w:t>a)</w:t>
      </w:r>
      <w:r w:rsidRPr="00FA3EFB">
        <w:rPr>
          <w:rFonts w:ascii="AvantGarde Bk BT" w:hAnsi="AvantGarde Bk BT" w:cs="Arial"/>
          <w:sz w:val="22"/>
          <w:lang w:val="es-MX"/>
        </w:rPr>
        <w:t xml:space="preserve"> Informe de cumplimiento;</w:t>
      </w:r>
    </w:p>
    <w:p w14:paraId="417A2F9B" w14:textId="61208DCA" w:rsidR="00F91851" w:rsidRPr="00FA3EFB" w:rsidRDefault="00F91851" w:rsidP="0078421D">
      <w:pPr>
        <w:pStyle w:val="corte4fondo"/>
        <w:ind w:left="1020" w:firstLine="0"/>
        <w:rPr>
          <w:rFonts w:ascii="AvantGarde Bk BT" w:hAnsi="AvantGarde Bk BT" w:cs="Arial"/>
          <w:sz w:val="22"/>
          <w:lang w:val="es-MX"/>
        </w:rPr>
      </w:pPr>
      <w:r w:rsidRPr="00FA3EFB">
        <w:rPr>
          <w:rFonts w:ascii="AvantGarde Bk BT" w:hAnsi="AvantGarde Bk BT" w:cs="Arial"/>
          <w:b/>
          <w:sz w:val="22"/>
          <w:lang w:val="es-MX"/>
        </w:rPr>
        <w:t>b)</w:t>
      </w:r>
      <w:r w:rsidR="0078421D">
        <w:rPr>
          <w:rFonts w:ascii="AvantGarde Bk BT" w:hAnsi="AvantGarde Bk BT" w:cs="Arial"/>
          <w:sz w:val="22"/>
          <w:lang w:val="es-MX"/>
        </w:rPr>
        <w:t xml:space="preserve"> </w:t>
      </w:r>
      <w:r w:rsidRPr="00FA3EFB">
        <w:rPr>
          <w:rFonts w:ascii="AvantGarde Bk BT" w:hAnsi="AvantGarde Bk BT" w:cs="Arial"/>
          <w:sz w:val="22"/>
          <w:lang w:val="es-MX"/>
        </w:rPr>
        <w:t>Gestión para la obtención de la información ante las áreas correspondientes, y,</w:t>
      </w:r>
    </w:p>
    <w:p w14:paraId="078121C2" w14:textId="77777777" w:rsidR="00F91851" w:rsidRPr="00FA3EFB" w:rsidRDefault="00F91851" w:rsidP="0078421D">
      <w:pPr>
        <w:pStyle w:val="corte4fondo"/>
        <w:ind w:left="1020" w:firstLine="0"/>
        <w:rPr>
          <w:rFonts w:ascii="AvantGarde Bk BT" w:hAnsi="AvantGarde Bk BT" w:cs="Arial"/>
          <w:sz w:val="22"/>
          <w:lang w:val="es-MX"/>
        </w:rPr>
      </w:pPr>
      <w:r w:rsidRPr="00FA3EFB">
        <w:rPr>
          <w:rFonts w:ascii="AvantGarde Bk BT" w:hAnsi="AvantGarde Bk BT" w:cs="Arial"/>
          <w:b/>
          <w:sz w:val="22"/>
          <w:lang w:val="es-MX"/>
        </w:rPr>
        <w:t>c)</w:t>
      </w:r>
      <w:r w:rsidRPr="00FA3EFB">
        <w:rPr>
          <w:rFonts w:ascii="AvantGarde Bk BT" w:hAnsi="AvantGarde Bk BT" w:cs="Arial"/>
          <w:sz w:val="22"/>
          <w:lang w:val="es-MX"/>
        </w:rPr>
        <w:t xml:space="preserve"> Notificación practicada al recurrente de la totalidad de lo conminado, a través del medio que éste designó para recibir notificaciones.</w:t>
      </w:r>
    </w:p>
    <w:p w14:paraId="7FF8B7C9" w14:textId="77777777" w:rsidR="00F91851" w:rsidRPr="00FA3EFB" w:rsidRDefault="00F91851" w:rsidP="00F91851">
      <w:pPr>
        <w:pStyle w:val="corte4fondo"/>
        <w:rPr>
          <w:rFonts w:ascii="AvantGarde Bk BT" w:hAnsi="AvantGarde Bk BT" w:cs="Arial"/>
          <w:sz w:val="22"/>
          <w:lang w:val="es-MX"/>
        </w:rPr>
      </w:pPr>
    </w:p>
    <w:p w14:paraId="03AF8F96" w14:textId="21C1D852" w:rsidR="00F91851" w:rsidRPr="00FA3EFB" w:rsidRDefault="00843505" w:rsidP="0078421D">
      <w:pPr>
        <w:pStyle w:val="corte4fondo"/>
        <w:tabs>
          <w:tab w:val="left" w:pos="567"/>
        </w:tabs>
        <w:ind w:firstLine="680"/>
        <w:rPr>
          <w:rFonts w:ascii="AvantGarde Bk BT" w:hAnsi="AvantGarde Bk BT" w:cs="Arial"/>
          <w:b/>
          <w:sz w:val="22"/>
          <w:lang w:val="es-MX"/>
        </w:rPr>
      </w:pPr>
      <w:r>
        <w:rPr>
          <w:rFonts w:ascii="AvantGarde Bk BT" w:hAnsi="AvantGarde Bk BT" w:cs="Arial"/>
          <w:sz w:val="22"/>
          <w:lang w:val="es-MX"/>
        </w:rPr>
        <w:t xml:space="preserve">Igualmente, </w:t>
      </w:r>
      <w:r w:rsidR="00F91851" w:rsidRPr="00FA3EFB">
        <w:rPr>
          <w:rFonts w:ascii="AvantGarde Bk BT" w:hAnsi="AvantGarde Bk BT" w:cs="Arial"/>
          <w:sz w:val="22"/>
          <w:lang w:val="es-MX"/>
        </w:rPr>
        <w:t xml:space="preserve"> con fundamento en lo dispuesto por el artículo 185 </w:t>
      </w:r>
      <w:r>
        <w:rPr>
          <w:rFonts w:ascii="AvantGarde Bk BT" w:hAnsi="AvantGarde Bk BT" w:cs="Arial"/>
          <w:sz w:val="22"/>
          <w:lang w:val="es-MX"/>
        </w:rPr>
        <w:t xml:space="preserve">fracción II </w:t>
      </w:r>
      <w:r w:rsidR="00F91851" w:rsidRPr="00FA3EFB">
        <w:rPr>
          <w:rFonts w:ascii="AvantGarde Bk BT" w:hAnsi="AvantGarde Bk BT" w:cs="Arial"/>
          <w:sz w:val="22"/>
          <w:lang w:val="es-MX"/>
        </w:rPr>
        <w:t xml:space="preserve">de la Ley de Transparencia, así como en el lineamiento Vigésimo </w:t>
      </w:r>
      <w:r>
        <w:rPr>
          <w:rFonts w:ascii="AvantGarde Bk BT" w:hAnsi="AvantGarde Bk BT" w:cs="Arial"/>
          <w:sz w:val="22"/>
          <w:lang w:val="es-MX"/>
        </w:rPr>
        <w:t>Séptimo</w:t>
      </w:r>
      <w:r w:rsidR="00F91851" w:rsidRPr="00FA3EFB">
        <w:rPr>
          <w:rFonts w:ascii="AvantGarde Bk BT" w:hAnsi="AvantGarde Bk BT" w:cs="Arial"/>
          <w:sz w:val="22"/>
          <w:lang w:val="es-MX"/>
        </w:rPr>
        <w:t xml:space="preserve"> de los Lineamientos para la Recepción, Substanciación, Resolución y Cumplimiento de los Recursos de Revisión que rigen a las Unidades de Ponencia, </w:t>
      </w:r>
      <w:r w:rsidR="00F91851" w:rsidRPr="00FA3EFB">
        <w:rPr>
          <w:rFonts w:ascii="AvantGarde Bk BT" w:hAnsi="AvantGarde Bk BT" w:cs="Arial"/>
          <w:b/>
          <w:sz w:val="22"/>
          <w:u w:val="single"/>
          <w:lang w:val="es-MX"/>
        </w:rPr>
        <w:t xml:space="preserve">se requiere al Titular </w:t>
      </w:r>
      <w:r>
        <w:rPr>
          <w:rFonts w:ascii="AvantGarde Bk BT" w:hAnsi="AvantGarde Bk BT" w:cs="Arial"/>
          <w:b/>
          <w:sz w:val="22"/>
          <w:u w:val="single"/>
          <w:lang w:val="es-MX"/>
        </w:rPr>
        <w:t>de la Secretaría de Desarrollo Urbano, Vivienda y Obras Públicas</w:t>
      </w:r>
      <w:r w:rsidR="00F91851" w:rsidRPr="00FA3EFB">
        <w:rPr>
          <w:rFonts w:ascii="AvantGarde Bk BT" w:hAnsi="AvantGarde Bk BT" w:cs="Arial"/>
          <w:b/>
          <w:sz w:val="22"/>
          <w:u w:val="single"/>
          <w:lang w:val="es-MX"/>
        </w:rPr>
        <w:t xml:space="preserve">, en su carácter de superior jerárquico del Titular de la Unidad de Transparencia, para que dentro del término de </w:t>
      </w:r>
      <w:r w:rsidR="00973310">
        <w:rPr>
          <w:rFonts w:ascii="AvantGarde Bk BT" w:hAnsi="AvantGarde Bk BT" w:cs="Arial"/>
          <w:b/>
          <w:sz w:val="22"/>
          <w:u w:val="single"/>
          <w:lang w:val="es-MX"/>
        </w:rPr>
        <w:t>05 cinco</w:t>
      </w:r>
      <w:r w:rsidR="00F91851" w:rsidRPr="00FA3EFB">
        <w:rPr>
          <w:rFonts w:ascii="AvantGarde Bk BT" w:hAnsi="AvantGarde Bk BT" w:cs="Arial"/>
          <w:b/>
          <w:sz w:val="22"/>
          <w:u w:val="single"/>
          <w:lang w:val="es-MX"/>
        </w:rPr>
        <w:t xml:space="preserve"> días hábiles contados a partir del día siguiente en que se practique la respectiva notificación, acompañe las constancias necesarias que acrediten el cumplimiento dado a la resolución dictada dentro del recurso de revisión en que se actúa</w:t>
      </w:r>
      <w:r w:rsidR="00F91851" w:rsidRPr="00FA3EFB">
        <w:rPr>
          <w:rFonts w:ascii="AvantGarde Bk BT" w:hAnsi="AvantGarde Bk BT" w:cs="Arial"/>
          <w:sz w:val="22"/>
          <w:lang w:val="es-MX"/>
        </w:rPr>
        <w:t xml:space="preserve">, tomando en cuenta las consideraciones contenidas en el presente proveído, </w:t>
      </w:r>
      <w:r w:rsidR="00F91851" w:rsidRPr="00FA3EFB">
        <w:rPr>
          <w:rFonts w:ascii="AvantGarde Bk BT" w:hAnsi="AvantGarde Bk BT" w:cs="Arial"/>
          <w:b/>
          <w:sz w:val="22"/>
          <w:u w:val="single"/>
          <w:lang w:val="es-MX"/>
        </w:rPr>
        <w:t>apercibido</w:t>
      </w:r>
      <w:r w:rsidR="00F91851" w:rsidRPr="00FA3EFB">
        <w:rPr>
          <w:rFonts w:ascii="AvantGarde Bk BT" w:hAnsi="AvantGarde Bk BT" w:cs="Arial"/>
          <w:sz w:val="22"/>
          <w:lang w:val="es-MX"/>
        </w:rPr>
        <w:t xml:space="preserve"> de que de no hacerlo, se impondrá en su contra la medida de apremio consistente en una </w:t>
      </w:r>
      <w:r w:rsidR="00F91851" w:rsidRPr="00FA3EFB">
        <w:rPr>
          <w:rFonts w:ascii="AvantGarde Bk BT" w:hAnsi="AvantGarde Bk BT" w:cs="Arial"/>
          <w:b/>
          <w:sz w:val="22"/>
          <w:u w:val="single"/>
          <w:lang w:val="es-MX"/>
        </w:rPr>
        <w:t>MULTA</w:t>
      </w:r>
      <w:r w:rsidR="00F91851" w:rsidRPr="00FA3EFB">
        <w:rPr>
          <w:rFonts w:ascii="AvantGarde Bk BT" w:hAnsi="AvantGarde Bk BT" w:cs="Arial"/>
          <w:sz w:val="22"/>
          <w:lang w:val="es-MX"/>
        </w:rPr>
        <w:t xml:space="preserve">, de conformidad con el artículo 190 fracción II y 197 fracción XV de la Ley de Transparencia y Acceso a la Información Pública del Estado. </w:t>
      </w:r>
    </w:p>
    <w:p w14:paraId="5B24B028" w14:textId="59E57B2E" w:rsidR="00CA777A" w:rsidRPr="008B55BE" w:rsidRDefault="00CA777A" w:rsidP="00CA777A">
      <w:pPr>
        <w:pStyle w:val="corte4fondo"/>
        <w:tabs>
          <w:tab w:val="left" w:pos="567"/>
        </w:tabs>
        <w:ind w:firstLine="0"/>
        <w:rPr>
          <w:rFonts w:ascii="AvantGarde Bk BT" w:hAnsi="AvantGarde Bk BT" w:cs="Arial"/>
          <w:sz w:val="22"/>
        </w:rPr>
      </w:pPr>
    </w:p>
    <w:p w14:paraId="510C03AE" w14:textId="3E7F1491" w:rsidR="00D91E3A" w:rsidRPr="008B55BE" w:rsidRDefault="00CA777A" w:rsidP="00CA777A">
      <w:pPr>
        <w:pStyle w:val="corte4fondo"/>
        <w:tabs>
          <w:tab w:val="left" w:pos="567"/>
        </w:tabs>
        <w:ind w:firstLine="0"/>
        <w:rPr>
          <w:rFonts w:ascii="AvantGarde Bk BT" w:hAnsi="AvantGarde Bk BT" w:cs="Arial"/>
          <w:sz w:val="22"/>
        </w:rPr>
      </w:pPr>
      <w:r w:rsidRPr="008B55BE">
        <w:rPr>
          <w:rFonts w:ascii="AvantGarde Bk BT" w:hAnsi="AvantGarde Bk BT" w:cs="Arial"/>
          <w:sz w:val="22"/>
        </w:rPr>
        <w:tab/>
        <w:t xml:space="preserve">Así lo proveyó y firma </w:t>
      </w:r>
      <w:r w:rsidR="00674F69" w:rsidRPr="008B55BE">
        <w:rPr>
          <w:rFonts w:ascii="AvantGarde Bk BT" w:hAnsi="AvantGarde Bk BT" w:cs="Arial"/>
          <w:sz w:val="22"/>
        </w:rPr>
        <w:t>la Licenciada Marcela Acosta Ibáñez, Proyectista adscrita a la Ponencia 1</w:t>
      </w:r>
      <w:r w:rsidRPr="008B55BE">
        <w:rPr>
          <w:rFonts w:ascii="AvantGarde Bk BT" w:hAnsi="AvantGarde Bk BT" w:cs="Arial"/>
          <w:sz w:val="22"/>
        </w:rPr>
        <w:t xml:space="preserve"> de esta Comisión Estatal de Garantía de Acceso a la Información </w:t>
      </w:r>
      <w:r w:rsidR="00674F69" w:rsidRPr="008B55BE">
        <w:rPr>
          <w:rFonts w:ascii="AvantGarde Bk BT" w:hAnsi="AvantGarde Bk BT" w:cs="Arial"/>
          <w:sz w:val="22"/>
        </w:rPr>
        <w:t>Pública. -</w:t>
      </w:r>
    </w:p>
    <w:p w14:paraId="21026E35" w14:textId="4E17433B" w:rsidR="002B316C" w:rsidRPr="009E5CBF" w:rsidRDefault="00CA777A" w:rsidP="0073139A">
      <w:pPr>
        <w:pStyle w:val="corte4fondo"/>
        <w:tabs>
          <w:tab w:val="left" w:pos="567"/>
        </w:tabs>
        <w:ind w:firstLine="0"/>
        <w:rPr>
          <w:rFonts w:ascii="AvantGarde Bk BT" w:hAnsi="AvantGarde Bk BT" w:cs="Arial"/>
          <w:sz w:val="14"/>
          <w:szCs w:val="14"/>
        </w:rPr>
      </w:pPr>
      <w:r w:rsidRPr="009E5CBF">
        <w:rPr>
          <w:rFonts w:ascii="AvantGarde Bk BT" w:hAnsi="AvantGarde Bk BT" w:cs="Arial"/>
          <w:sz w:val="14"/>
          <w:szCs w:val="14"/>
        </w:rPr>
        <w:t>MAI</w:t>
      </w:r>
    </w:p>
    <w:p w14:paraId="6D7B0041" w14:textId="22C5A4F1" w:rsidR="000A3ABE" w:rsidRPr="008B55BE" w:rsidRDefault="000A3ABE" w:rsidP="0073139A">
      <w:pPr>
        <w:pStyle w:val="corte4fondo"/>
        <w:tabs>
          <w:tab w:val="left" w:pos="567"/>
        </w:tabs>
        <w:ind w:firstLine="0"/>
        <w:rPr>
          <w:rFonts w:ascii="AvantGarde Bk BT" w:hAnsi="AvantGarde Bk BT" w:cs="Arial"/>
          <w:sz w:val="22"/>
        </w:rPr>
      </w:pPr>
    </w:p>
    <w:p w14:paraId="1355779D" w14:textId="77777777" w:rsidR="000A3ABE" w:rsidRPr="008B55BE" w:rsidRDefault="000A3ABE" w:rsidP="0073139A">
      <w:pPr>
        <w:pStyle w:val="corte4fondo"/>
        <w:tabs>
          <w:tab w:val="left" w:pos="567"/>
        </w:tabs>
        <w:ind w:firstLine="0"/>
        <w:rPr>
          <w:rFonts w:ascii="AvantGarde Bk BT" w:hAnsi="AvantGarde Bk BT" w:cs="Arial"/>
          <w:sz w:val="22"/>
        </w:rPr>
      </w:pPr>
    </w:p>
    <w:p w14:paraId="18C39FA0" w14:textId="5A30F77B" w:rsidR="00CA777A" w:rsidRPr="008B55BE" w:rsidRDefault="004453E8" w:rsidP="00CA777A">
      <w:pPr>
        <w:jc w:val="both"/>
        <w:rPr>
          <w:rFonts w:ascii="AvantGarde Bk BT" w:hAnsi="AvantGarde Bk BT" w:cs="Arial"/>
        </w:rPr>
      </w:pPr>
      <w:r w:rsidRPr="008B55BE">
        <w:rPr>
          <w:rFonts w:ascii="AvantGarde Bk BT" w:hAnsi="AvantGarde Bk BT" w:cs="Arial"/>
          <w:noProof/>
          <w:lang w:val="es-MX" w:eastAsia="es-MX"/>
        </w:rPr>
        <mc:AlternateContent>
          <mc:Choice Requires="wps">
            <w:drawing>
              <wp:anchor distT="0" distB="0" distL="114300" distR="114300" simplePos="0" relativeHeight="251659264" behindDoc="0" locked="0" layoutInCell="1" allowOverlap="1" wp14:anchorId="3A74D6B4" wp14:editId="6C55ACA4">
                <wp:simplePos x="0" y="0"/>
                <wp:positionH relativeFrom="margin">
                  <wp:posOffset>1527175</wp:posOffset>
                </wp:positionH>
                <wp:positionV relativeFrom="paragraph">
                  <wp:posOffset>139700</wp:posOffset>
                </wp:positionV>
                <wp:extent cx="3257550" cy="657225"/>
                <wp:effectExtent l="0" t="0" r="0" b="9525"/>
                <wp:wrapNone/>
                <wp:docPr id="3" name="Cuadro de texto 3"/>
                <wp:cNvGraphicFramePr/>
                <a:graphic xmlns:a="http://schemas.openxmlformats.org/drawingml/2006/main">
                  <a:graphicData uri="http://schemas.microsoft.com/office/word/2010/wordprocessingShape">
                    <wps:wsp>
                      <wps:cNvSpPr txBox="1"/>
                      <wps:spPr>
                        <a:xfrm>
                          <a:off x="0" y="0"/>
                          <a:ext cx="3257550" cy="657225"/>
                        </a:xfrm>
                        <a:prstGeom prst="rect">
                          <a:avLst/>
                        </a:prstGeom>
                        <a:solidFill>
                          <a:schemeClr val="lt1"/>
                        </a:solidFill>
                        <a:ln w="6350">
                          <a:noFill/>
                        </a:ln>
                      </wps:spPr>
                      <wps:txbx>
                        <w:txbxContent>
                          <w:p w14:paraId="5CB96D0D" w14:textId="0AC9C81D" w:rsidR="00CA777A" w:rsidRPr="004453E8" w:rsidRDefault="00BB46F8" w:rsidP="00CA777A">
                            <w:pPr>
                              <w:jc w:val="center"/>
                              <w:rPr>
                                <w:rFonts w:ascii="Arial" w:hAnsi="Arial" w:cs="Arial"/>
                                <w:b/>
                              </w:rPr>
                            </w:pPr>
                            <w:r>
                              <w:rPr>
                                <w:rFonts w:ascii="Arial" w:hAnsi="Arial" w:cs="Arial"/>
                                <w:b/>
                              </w:rPr>
                              <w:t>Licenciada</w:t>
                            </w:r>
                            <w:r w:rsidR="00CA777A" w:rsidRPr="004453E8">
                              <w:rPr>
                                <w:rFonts w:ascii="Arial" w:hAnsi="Arial" w:cs="Arial"/>
                                <w:b/>
                              </w:rPr>
                              <w:t xml:space="preserve"> </w:t>
                            </w:r>
                            <w:r>
                              <w:rPr>
                                <w:rFonts w:ascii="Arial" w:hAnsi="Arial" w:cs="Arial"/>
                                <w:b/>
                              </w:rPr>
                              <w:t>Marcela Acosta Ibáñez</w:t>
                            </w:r>
                            <w:r w:rsidR="00CA777A" w:rsidRPr="004453E8">
                              <w:rPr>
                                <w:rFonts w:ascii="Arial" w:hAnsi="Arial" w:cs="Arial"/>
                                <w:b/>
                              </w:rPr>
                              <w:t>.</w:t>
                            </w:r>
                          </w:p>
                          <w:p w14:paraId="50996BEE" w14:textId="0C5E1F84" w:rsidR="00CA777A" w:rsidRPr="004453E8" w:rsidRDefault="00BB46F8" w:rsidP="00CA777A">
                            <w:pPr>
                              <w:jc w:val="center"/>
                              <w:rPr>
                                <w:rFonts w:ascii="Arial" w:hAnsi="Arial" w:cs="Arial"/>
                              </w:rPr>
                            </w:pPr>
                            <w:r>
                              <w:rPr>
                                <w:rFonts w:ascii="Arial" w:hAnsi="Arial" w:cs="Arial"/>
                                <w:b/>
                              </w:rPr>
                              <w:t>Proyectista Ponencia 1</w:t>
                            </w:r>
                            <w:r w:rsidR="00CA777A" w:rsidRPr="004453E8">
                              <w:rPr>
                                <w:rFonts w:ascii="Arial" w:hAnsi="Arial" w:cs="Arial"/>
                                <w:b/>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A74D6B4" id="_x0000_t202" coordsize="21600,21600" o:spt="202" path="m,l,21600r21600,l21600,xe">
                <v:stroke joinstyle="miter"/>
                <v:path gradientshapeok="t" o:connecttype="rect"/>
              </v:shapetype>
              <v:shape id="Cuadro de texto 3" o:spid="_x0000_s1026" type="#_x0000_t202" style="position:absolute;left:0;text-align:left;margin-left:120.25pt;margin-top:11pt;width:256.5pt;height:51.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" fillcolor="white [3201]" stroked="f" strokeweight=".5pt">
                <v:textbox>
                  <w:txbxContent>
                    <w:p w14:paraId="5CB96D0D" w14:textId="0AC9C81D" w:rsidR="00CA777A" w:rsidRPr="004453E8" w:rsidRDefault="00BB46F8" w:rsidP="00CA777A">
                      <w:pPr>
                        <w:jc w:val="center"/>
                        <w:rPr>
                          <w:rFonts w:ascii="Arial" w:hAnsi="Arial" w:cs="Arial"/>
                          <w:b/>
                        </w:rPr>
                      </w:pPr>
                      <w:r>
                        <w:rPr>
                          <w:rFonts w:ascii="Arial" w:hAnsi="Arial" w:cs="Arial"/>
                          <w:b/>
                        </w:rPr>
                        <w:t>Licenciada</w:t>
                      </w:r>
                      <w:r w:rsidR="00CA777A" w:rsidRPr="004453E8">
                        <w:rPr>
                          <w:rFonts w:ascii="Arial" w:hAnsi="Arial" w:cs="Arial"/>
                          <w:b/>
                        </w:rPr>
                        <w:t xml:space="preserve"> </w:t>
                      </w:r>
                      <w:r>
                        <w:rPr>
                          <w:rFonts w:ascii="Arial" w:hAnsi="Arial" w:cs="Arial"/>
                          <w:b/>
                        </w:rPr>
                        <w:t>Marcela Acosta Ibáñez</w:t>
                      </w:r>
                      <w:r w:rsidR="00CA777A" w:rsidRPr="004453E8">
                        <w:rPr>
                          <w:rFonts w:ascii="Arial" w:hAnsi="Arial" w:cs="Arial"/>
                          <w:b/>
                        </w:rPr>
                        <w:t>.</w:t>
                      </w:r>
                    </w:p>
                    <w:p w14:paraId="50996BEE" w14:textId="0C5E1F84" w:rsidR="00CA777A" w:rsidRPr="004453E8" w:rsidRDefault="00BB46F8" w:rsidP="00CA777A">
                      <w:pPr>
                        <w:jc w:val="center"/>
                        <w:rPr>
                          <w:rFonts w:ascii="Arial" w:hAnsi="Arial" w:cs="Arial"/>
                        </w:rPr>
                      </w:pPr>
                      <w:r>
                        <w:rPr>
                          <w:rFonts w:ascii="Arial" w:hAnsi="Arial" w:cs="Arial"/>
                          <w:b/>
                        </w:rPr>
                        <w:t>Proyectista Ponencia 1</w:t>
                      </w:r>
                      <w:r w:rsidR="00CA777A" w:rsidRPr="004453E8">
                        <w:rPr>
                          <w:rFonts w:ascii="Arial" w:hAnsi="Arial" w:cs="Arial"/>
                          <w:b/>
                        </w:rPr>
                        <w:t>.</w:t>
                      </w:r>
                    </w:p>
                  </w:txbxContent>
                </v:textbox>
                <w10:wrap anchorx="margin"/>
              </v:shape>
            </w:pict>
          </mc:Fallback>
        </mc:AlternateContent>
      </w:r>
    </w:p>
    <w:p w14:paraId="4634D006" w14:textId="6D1AB5CE" w:rsidR="00BB58C4" w:rsidRPr="008B55BE" w:rsidRDefault="00BB58C4"/>
    <w:sectPr w:rsidR="00BB58C4" w:rsidRPr="008B55BE" w:rsidSect="00000DD4">
      <w:headerReference w:type="even" r:id="rId16"/>
      <w:headerReference w:type="default" r:id="rId17"/>
      <w:footerReference w:type="default" r:id="rId18"/>
      <w:pgSz w:w="12242" w:h="19442" w:code="190"/>
      <w:pgMar w:top="226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9DDB54" w14:textId="77777777" w:rsidR="00B30F6E" w:rsidRDefault="00B30F6E" w:rsidP="00BB58C4">
      <w:pPr>
        <w:spacing w:after="0" w:line="240" w:lineRule="auto"/>
      </w:pPr>
      <w:r>
        <w:separator/>
      </w:r>
    </w:p>
  </w:endnote>
  <w:endnote w:type="continuationSeparator" w:id="0">
    <w:p w14:paraId="07BFD365" w14:textId="77777777" w:rsidR="00B30F6E" w:rsidRDefault="00B30F6E"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0C465E" w14:textId="32913BE1" w:rsidR="00923099" w:rsidRDefault="00923099" w:rsidP="00923099">
    <w:pPr>
      <w:pStyle w:val="Piedepgina"/>
      <w:tabs>
        <w:tab w:val="clear" w:pos="4252"/>
        <w:tab w:val="clear" w:pos="8504"/>
        <w:tab w:val="left" w:pos="5160"/>
      </w:tabs>
    </w:pPr>
    <w:r>
      <w:tab/>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61E0B7" w14:textId="77777777" w:rsidR="00B30F6E" w:rsidRDefault="00B30F6E" w:rsidP="00BB58C4">
      <w:pPr>
        <w:spacing w:after="0" w:line="240" w:lineRule="auto"/>
      </w:pPr>
      <w:r>
        <w:separator/>
      </w:r>
    </w:p>
  </w:footnote>
  <w:footnote w:type="continuationSeparator" w:id="0">
    <w:p w14:paraId="29CDF233" w14:textId="77777777" w:rsidR="00B30F6E" w:rsidRDefault="00B30F6E"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A9531D" w14:textId="4B0B6FE7" w:rsidR="0082212B" w:rsidRPr="0082212B" w:rsidRDefault="0082212B" w:rsidP="0082212B">
    <w:pPr>
      <w:pStyle w:val="Encabezado"/>
      <w:jc w:val="right"/>
      <w:rPr>
        <w:rFonts w:ascii="AvantGarde Bk BT" w:hAnsi="AvantGarde Bk BT"/>
        <w:b/>
      </w:rPr>
    </w:pPr>
    <w:r w:rsidRPr="0082212B">
      <w:rPr>
        <w:rFonts w:ascii="AvantGarde Bk BT" w:hAnsi="AvantGarde Bk BT"/>
        <w:b/>
      </w:rPr>
      <w:t>R</w:t>
    </w:r>
    <w:r w:rsidR="00983B6B">
      <w:rPr>
        <w:rFonts w:ascii="AvantGarde Bk BT" w:hAnsi="AvantGarde Bk BT"/>
        <w:b/>
      </w:rPr>
      <w:t>R</w:t>
    </w:r>
    <w:r w:rsidRPr="0082212B">
      <w:rPr>
        <w:rFonts w:ascii="AvantGarde Bk BT" w:hAnsi="AvantGarde Bk BT"/>
        <w:b/>
      </w:rPr>
      <w:t>-20</w:t>
    </w:r>
    <w:r w:rsidR="00163BB6">
      <w:rPr>
        <w:rFonts w:ascii="AvantGarde Bk BT" w:hAnsi="AvantGarde Bk BT"/>
        <w:b/>
      </w:rPr>
      <w:t>69</w:t>
    </w:r>
    <w:r w:rsidRPr="0082212B">
      <w:rPr>
        <w:rFonts w:ascii="AvantGarde Bk BT" w:hAnsi="AvantGarde Bk BT"/>
        <w:b/>
      </w:rPr>
      <w:t>/2022-1</w:t>
    </w:r>
  </w:p>
  <w:p w14:paraId="27E636D6" w14:textId="08F90840" w:rsidR="0082212B" w:rsidRDefault="00B30F6E" w:rsidP="0082212B">
    <w:pPr>
      <w:pStyle w:val="Encabezado"/>
      <w:jc w:val="center"/>
    </w:pPr>
    <w:sdt>
      <w:sdtPr>
        <w:id w:val="-1459024232"/>
        <w:docPartObj>
          <w:docPartGallery w:val="Page Numbers (Top of Page)"/>
          <w:docPartUnique/>
        </w:docPartObj>
      </w:sdtPr>
      <w:sdtEndPr/>
      <w:sdtContent>
        <w:r w:rsidR="0082212B">
          <w:fldChar w:fldCharType="begin"/>
        </w:r>
        <w:r w:rsidR="0082212B">
          <w:instrText>PAGE   \* MERGEFORMAT</w:instrText>
        </w:r>
        <w:r w:rsidR="0082212B">
          <w:fldChar w:fldCharType="separate"/>
        </w:r>
        <w:r w:rsidR="00555CF4">
          <w:rPr>
            <w:noProof/>
          </w:rPr>
          <w:t>12</w:t>
        </w:r>
        <w:r w:rsidR="0082212B">
          <w:fldChar w:fldCharType="end"/>
        </w:r>
      </w:sdtContent>
    </w:sdt>
  </w:p>
  <w:p w14:paraId="414EE930" w14:textId="77777777" w:rsidR="0082212B" w:rsidRDefault="0082212B">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72804A" w14:textId="12CD55D6" w:rsidR="00903ED5" w:rsidRPr="0082212B" w:rsidRDefault="0082212B" w:rsidP="00903ED5">
    <w:pPr>
      <w:pStyle w:val="Encabezado"/>
      <w:jc w:val="right"/>
      <w:rPr>
        <w:rFonts w:ascii="AvantGarde Bk BT" w:hAnsi="AvantGarde Bk BT"/>
        <w:b/>
      </w:rPr>
    </w:pPr>
    <w:r w:rsidRPr="0073139A">
      <w:rPr>
        <w:b/>
        <w:noProof/>
        <w:sz w:val="24"/>
        <w:szCs w:val="24"/>
        <w:lang w:val="es-MX" w:eastAsia="es-MX"/>
      </w:rPr>
      <w:drawing>
        <wp:anchor distT="0" distB="0" distL="114300" distR="114300" simplePos="0" relativeHeight="251659264" behindDoc="1" locked="0" layoutInCell="1" allowOverlap="1" wp14:anchorId="4E26EB4C" wp14:editId="363EFDDA">
          <wp:simplePos x="0" y="0"/>
          <wp:positionH relativeFrom="page">
            <wp:align>left</wp:align>
          </wp:positionH>
          <wp:positionV relativeFrom="paragraph">
            <wp:posOffset>-810895</wp:posOffset>
          </wp:positionV>
          <wp:extent cx="8181975" cy="13087350"/>
          <wp:effectExtent l="0" t="0" r="9525"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1975" cy="13087350"/>
                  </a:xfrm>
                  <a:prstGeom prst="rect">
                    <a:avLst/>
                  </a:prstGeom>
                  <a:noFill/>
                  <a:ln>
                    <a:noFill/>
                  </a:ln>
                </pic:spPr>
              </pic:pic>
            </a:graphicData>
          </a:graphic>
          <wp14:sizeRelH relativeFrom="page">
            <wp14:pctWidth>0</wp14:pctWidth>
          </wp14:sizeRelH>
          <wp14:sizeRelV relativeFrom="page">
            <wp14:pctHeight>0</wp14:pctHeight>
          </wp14:sizeRelV>
        </wp:anchor>
      </w:drawing>
    </w:r>
    <w:r w:rsidR="00903ED5" w:rsidRPr="0082212B">
      <w:rPr>
        <w:rFonts w:ascii="AvantGarde Bk BT" w:hAnsi="AvantGarde Bk BT"/>
        <w:b/>
      </w:rPr>
      <w:t>RR-20</w:t>
    </w:r>
    <w:r w:rsidR="00CF1C58">
      <w:rPr>
        <w:rFonts w:ascii="AvantGarde Bk BT" w:hAnsi="AvantGarde Bk BT"/>
        <w:b/>
      </w:rPr>
      <w:t>69</w:t>
    </w:r>
    <w:r w:rsidR="00903ED5" w:rsidRPr="0082212B">
      <w:rPr>
        <w:rFonts w:ascii="AvantGarde Bk BT" w:hAnsi="AvantGarde Bk BT"/>
        <w:b/>
      </w:rPr>
      <w:t>/2022-1</w:t>
    </w:r>
  </w:p>
  <w:p w14:paraId="03CC9626" w14:textId="77122699" w:rsidR="00903ED5" w:rsidRDefault="00B30F6E">
    <w:pPr>
      <w:pStyle w:val="Encabezado"/>
      <w:jc w:val="center"/>
    </w:pPr>
    <w:sdt>
      <w:sdtPr>
        <w:id w:val="1820538246"/>
        <w:docPartObj>
          <w:docPartGallery w:val="Page Numbers (Top of Page)"/>
          <w:docPartUnique/>
        </w:docPartObj>
      </w:sdtPr>
      <w:sdtEndPr/>
      <w:sdtContent>
        <w:r w:rsidR="00903ED5">
          <w:fldChar w:fldCharType="begin"/>
        </w:r>
        <w:r w:rsidR="00903ED5">
          <w:instrText>PAGE   \* MERGEFORMAT</w:instrText>
        </w:r>
        <w:r w:rsidR="00903ED5">
          <w:fldChar w:fldCharType="separate"/>
        </w:r>
        <w:r w:rsidR="00555CF4">
          <w:rPr>
            <w:noProof/>
          </w:rPr>
          <w:t>11</w:t>
        </w:r>
        <w:r w:rsidR="00903ED5">
          <w:fldChar w:fldCharType="end"/>
        </w:r>
      </w:sdtContent>
    </w:sdt>
  </w:p>
  <w:p w14:paraId="4E5FFEF8" w14:textId="089C7727" w:rsidR="00BB58C4" w:rsidRPr="0073139A" w:rsidRDefault="00BB58C4" w:rsidP="00866157">
    <w:pPr>
      <w:pStyle w:val="Encabezado"/>
      <w:tabs>
        <w:tab w:val="clear" w:pos="4252"/>
        <w:tab w:val="clear" w:pos="8504"/>
        <w:tab w:val="center" w:pos="4419"/>
      </w:tabs>
      <w:jc w:val="right"/>
      <w:rPr>
        <w:b/>
        <w:sz w:val="24"/>
        <w:szCs w:val="24"/>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0876FDD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6D840D0"/>
    <w:multiLevelType w:val="hybridMultilevel"/>
    <w:tmpl w:val="4C221AA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 w15:restartNumberingAfterBreak="0">
    <w:nsid w:val="0DF10F25"/>
    <w:multiLevelType w:val="hybridMultilevel"/>
    <w:tmpl w:val="745A3BA8"/>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3" w15:restartNumberingAfterBreak="0">
    <w:nsid w:val="0EFA3B2A"/>
    <w:multiLevelType w:val="hybridMultilevel"/>
    <w:tmpl w:val="ED7EBA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16CD6B87"/>
    <w:multiLevelType w:val="hybridMultilevel"/>
    <w:tmpl w:val="F2C4D2E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18C573B5"/>
    <w:multiLevelType w:val="hybridMultilevel"/>
    <w:tmpl w:val="4D22855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6" w15:restartNumberingAfterBreak="0">
    <w:nsid w:val="1AA43B93"/>
    <w:multiLevelType w:val="hybridMultilevel"/>
    <w:tmpl w:val="4E2428C4"/>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7" w15:restartNumberingAfterBreak="0">
    <w:nsid w:val="1C4D63FA"/>
    <w:multiLevelType w:val="hybridMultilevel"/>
    <w:tmpl w:val="59FA2EB2"/>
    <w:lvl w:ilvl="0" w:tplc="080A0001">
      <w:start w:val="1"/>
      <w:numFmt w:val="bullet"/>
      <w:lvlText w:val=""/>
      <w:lvlJc w:val="left"/>
      <w:pPr>
        <w:ind w:left="1455" w:hanging="360"/>
      </w:pPr>
      <w:rPr>
        <w:rFonts w:ascii="Symbol" w:hAnsi="Symbol" w:hint="default"/>
      </w:rPr>
    </w:lvl>
    <w:lvl w:ilvl="1" w:tplc="080A0003" w:tentative="1">
      <w:start w:val="1"/>
      <w:numFmt w:val="bullet"/>
      <w:lvlText w:val="o"/>
      <w:lvlJc w:val="left"/>
      <w:pPr>
        <w:ind w:left="2175" w:hanging="360"/>
      </w:pPr>
      <w:rPr>
        <w:rFonts w:ascii="Courier New" w:hAnsi="Courier New" w:cs="Courier New" w:hint="default"/>
      </w:rPr>
    </w:lvl>
    <w:lvl w:ilvl="2" w:tplc="080A0005" w:tentative="1">
      <w:start w:val="1"/>
      <w:numFmt w:val="bullet"/>
      <w:lvlText w:val=""/>
      <w:lvlJc w:val="left"/>
      <w:pPr>
        <w:ind w:left="2895" w:hanging="360"/>
      </w:pPr>
      <w:rPr>
        <w:rFonts w:ascii="Wingdings" w:hAnsi="Wingdings" w:hint="default"/>
      </w:rPr>
    </w:lvl>
    <w:lvl w:ilvl="3" w:tplc="080A0001" w:tentative="1">
      <w:start w:val="1"/>
      <w:numFmt w:val="bullet"/>
      <w:lvlText w:val=""/>
      <w:lvlJc w:val="left"/>
      <w:pPr>
        <w:ind w:left="3615" w:hanging="360"/>
      </w:pPr>
      <w:rPr>
        <w:rFonts w:ascii="Symbol" w:hAnsi="Symbol" w:hint="default"/>
      </w:rPr>
    </w:lvl>
    <w:lvl w:ilvl="4" w:tplc="080A0003" w:tentative="1">
      <w:start w:val="1"/>
      <w:numFmt w:val="bullet"/>
      <w:lvlText w:val="o"/>
      <w:lvlJc w:val="left"/>
      <w:pPr>
        <w:ind w:left="4335" w:hanging="360"/>
      </w:pPr>
      <w:rPr>
        <w:rFonts w:ascii="Courier New" w:hAnsi="Courier New" w:cs="Courier New" w:hint="default"/>
      </w:rPr>
    </w:lvl>
    <w:lvl w:ilvl="5" w:tplc="080A0005" w:tentative="1">
      <w:start w:val="1"/>
      <w:numFmt w:val="bullet"/>
      <w:lvlText w:val=""/>
      <w:lvlJc w:val="left"/>
      <w:pPr>
        <w:ind w:left="5055" w:hanging="360"/>
      </w:pPr>
      <w:rPr>
        <w:rFonts w:ascii="Wingdings" w:hAnsi="Wingdings" w:hint="default"/>
      </w:rPr>
    </w:lvl>
    <w:lvl w:ilvl="6" w:tplc="080A0001" w:tentative="1">
      <w:start w:val="1"/>
      <w:numFmt w:val="bullet"/>
      <w:lvlText w:val=""/>
      <w:lvlJc w:val="left"/>
      <w:pPr>
        <w:ind w:left="5775" w:hanging="360"/>
      </w:pPr>
      <w:rPr>
        <w:rFonts w:ascii="Symbol" w:hAnsi="Symbol" w:hint="default"/>
      </w:rPr>
    </w:lvl>
    <w:lvl w:ilvl="7" w:tplc="080A0003" w:tentative="1">
      <w:start w:val="1"/>
      <w:numFmt w:val="bullet"/>
      <w:lvlText w:val="o"/>
      <w:lvlJc w:val="left"/>
      <w:pPr>
        <w:ind w:left="6495" w:hanging="360"/>
      </w:pPr>
      <w:rPr>
        <w:rFonts w:ascii="Courier New" w:hAnsi="Courier New" w:cs="Courier New" w:hint="default"/>
      </w:rPr>
    </w:lvl>
    <w:lvl w:ilvl="8" w:tplc="080A0005" w:tentative="1">
      <w:start w:val="1"/>
      <w:numFmt w:val="bullet"/>
      <w:lvlText w:val=""/>
      <w:lvlJc w:val="left"/>
      <w:pPr>
        <w:ind w:left="7215" w:hanging="360"/>
      </w:pPr>
      <w:rPr>
        <w:rFonts w:ascii="Wingdings" w:hAnsi="Wingdings" w:hint="default"/>
      </w:rPr>
    </w:lvl>
  </w:abstractNum>
  <w:abstractNum w:abstractNumId="8" w15:restartNumberingAfterBreak="0">
    <w:nsid w:val="23484196"/>
    <w:multiLevelType w:val="hybridMultilevel"/>
    <w:tmpl w:val="2548A60A"/>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9" w15:restartNumberingAfterBreak="0">
    <w:nsid w:val="23A51808"/>
    <w:multiLevelType w:val="hybridMultilevel"/>
    <w:tmpl w:val="48AA062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0" w15:restartNumberingAfterBreak="0">
    <w:nsid w:val="25AD16FE"/>
    <w:multiLevelType w:val="hybridMultilevel"/>
    <w:tmpl w:val="7954EBCA"/>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11" w15:restartNumberingAfterBreak="0">
    <w:nsid w:val="2F0058A9"/>
    <w:multiLevelType w:val="hybridMultilevel"/>
    <w:tmpl w:val="25CC529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33916E5D"/>
    <w:multiLevelType w:val="hybridMultilevel"/>
    <w:tmpl w:val="D45C4C0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3" w15:restartNumberingAfterBreak="0">
    <w:nsid w:val="36837C0E"/>
    <w:multiLevelType w:val="hybridMultilevel"/>
    <w:tmpl w:val="13D8857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4"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58172E2E"/>
    <w:multiLevelType w:val="hybridMultilevel"/>
    <w:tmpl w:val="2AAEB256"/>
    <w:lvl w:ilvl="0" w:tplc="96F4A518">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6" w15:restartNumberingAfterBreak="0">
    <w:nsid w:val="6C007B0E"/>
    <w:multiLevelType w:val="hybridMultilevel"/>
    <w:tmpl w:val="1DB8A0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1">
      <w:start w:val="1"/>
      <w:numFmt w:val="bullet"/>
      <w:lvlText w:val=""/>
      <w:lvlJc w:val="left"/>
      <w:pPr>
        <w:ind w:left="2160" w:hanging="360"/>
      </w:pPr>
      <w:rPr>
        <w:rFonts w:ascii="Symbol" w:hAnsi="Symbol"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71115DCB"/>
    <w:multiLevelType w:val="hybridMultilevel"/>
    <w:tmpl w:val="E9F86E96"/>
    <w:lvl w:ilvl="0" w:tplc="96F4A518">
      <w:numFmt w:val="bullet"/>
      <w:lvlText w:val=""/>
      <w:lvlJc w:val="left"/>
      <w:pPr>
        <w:ind w:left="1720" w:hanging="360"/>
      </w:pPr>
      <w:rPr>
        <w:rFonts w:ascii="AvantGarde Bk BT" w:eastAsia="Times New Roman" w:hAnsi="AvantGarde Bk BT" w:cs="Aria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769B6B51"/>
    <w:multiLevelType w:val="hybridMultilevel"/>
    <w:tmpl w:val="A808DC8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7"/>
  </w:num>
  <w:num w:numId="2">
    <w:abstractNumId w:val="14"/>
  </w:num>
  <w:num w:numId="3">
    <w:abstractNumId w:val="11"/>
  </w:num>
  <w:num w:numId="4">
    <w:abstractNumId w:val="5"/>
  </w:num>
  <w:num w:numId="5">
    <w:abstractNumId w:val="15"/>
  </w:num>
  <w:num w:numId="6">
    <w:abstractNumId w:val="17"/>
  </w:num>
  <w:num w:numId="7">
    <w:abstractNumId w:val="13"/>
  </w:num>
  <w:num w:numId="8">
    <w:abstractNumId w:val="4"/>
  </w:num>
  <w:num w:numId="9">
    <w:abstractNumId w:val="6"/>
  </w:num>
  <w:num w:numId="10">
    <w:abstractNumId w:val="0"/>
  </w:num>
  <w:num w:numId="11">
    <w:abstractNumId w:val="8"/>
  </w:num>
  <w:num w:numId="12">
    <w:abstractNumId w:val="12"/>
  </w:num>
  <w:num w:numId="13">
    <w:abstractNumId w:val="18"/>
  </w:num>
  <w:num w:numId="14">
    <w:abstractNumId w:val="3"/>
  </w:num>
  <w:num w:numId="15">
    <w:abstractNumId w:val="16"/>
  </w:num>
  <w:num w:numId="16">
    <w:abstractNumId w:val="1"/>
  </w:num>
  <w:num w:numId="17">
    <w:abstractNumId w:val="10"/>
  </w:num>
  <w:num w:numId="18">
    <w:abstractNumId w:val="2"/>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0DD4"/>
    <w:rsid w:val="00000FF2"/>
    <w:rsid w:val="00003319"/>
    <w:rsid w:val="00007BD0"/>
    <w:rsid w:val="0001315E"/>
    <w:rsid w:val="00030B7E"/>
    <w:rsid w:val="000336FF"/>
    <w:rsid w:val="000359B8"/>
    <w:rsid w:val="000367DC"/>
    <w:rsid w:val="000456C5"/>
    <w:rsid w:val="00050C1D"/>
    <w:rsid w:val="000563B8"/>
    <w:rsid w:val="00057F6A"/>
    <w:rsid w:val="00063DDF"/>
    <w:rsid w:val="000746C3"/>
    <w:rsid w:val="00076575"/>
    <w:rsid w:val="000774FC"/>
    <w:rsid w:val="00087952"/>
    <w:rsid w:val="000976AA"/>
    <w:rsid w:val="000A3ABE"/>
    <w:rsid w:val="000B39D2"/>
    <w:rsid w:val="000B51E8"/>
    <w:rsid w:val="000C5E27"/>
    <w:rsid w:val="000E016B"/>
    <w:rsid w:val="000E31E7"/>
    <w:rsid w:val="000E6AAF"/>
    <w:rsid w:val="000F0B51"/>
    <w:rsid w:val="000F1938"/>
    <w:rsid w:val="0010443C"/>
    <w:rsid w:val="00124CDD"/>
    <w:rsid w:val="00134B0C"/>
    <w:rsid w:val="0014471E"/>
    <w:rsid w:val="00147FBF"/>
    <w:rsid w:val="001538E8"/>
    <w:rsid w:val="00157814"/>
    <w:rsid w:val="0016166C"/>
    <w:rsid w:val="00163BB6"/>
    <w:rsid w:val="00170C35"/>
    <w:rsid w:val="00171B59"/>
    <w:rsid w:val="001735CC"/>
    <w:rsid w:val="00176792"/>
    <w:rsid w:val="00187B15"/>
    <w:rsid w:val="001944C2"/>
    <w:rsid w:val="00194B1A"/>
    <w:rsid w:val="001A1B4A"/>
    <w:rsid w:val="001A312B"/>
    <w:rsid w:val="001A313A"/>
    <w:rsid w:val="001D6EE0"/>
    <w:rsid w:val="001E10CA"/>
    <w:rsid w:val="001E74B6"/>
    <w:rsid w:val="001F2799"/>
    <w:rsid w:val="001F715B"/>
    <w:rsid w:val="00211E60"/>
    <w:rsid w:val="00215243"/>
    <w:rsid w:val="002202DA"/>
    <w:rsid w:val="002219FD"/>
    <w:rsid w:val="00221B7D"/>
    <w:rsid w:val="0022254D"/>
    <w:rsid w:val="00227127"/>
    <w:rsid w:val="00230636"/>
    <w:rsid w:val="0023529E"/>
    <w:rsid w:val="0024134B"/>
    <w:rsid w:val="00242A34"/>
    <w:rsid w:val="00245024"/>
    <w:rsid w:val="00252950"/>
    <w:rsid w:val="00256FA4"/>
    <w:rsid w:val="00264DF4"/>
    <w:rsid w:val="00277F22"/>
    <w:rsid w:val="00282C68"/>
    <w:rsid w:val="00283EC3"/>
    <w:rsid w:val="00297B35"/>
    <w:rsid w:val="002A2188"/>
    <w:rsid w:val="002A79DD"/>
    <w:rsid w:val="002B23C5"/>
    <w:rsid w:val="002B316C"/>
    <w:rsid w:val="002C0997"/>
    <w:rsid w:val="002C756B"/>
    <w:rsid w:val="002E538D"/>
    <w:rsid w:val="002F0582"/>
    <w:rsid w:val="002F5EBE"/>
    <w:rsid w:val="0030212D"/>
    <w:rsid w:val="003056D7"/>
    <w:rsid w:val="00312B2F"/>
    <w:rsid w:val="00326102"/>
    <w:rsid w:val="00327F12"/>
    <w:rsid w:val="00330170"/>
    <w:rsid w:val="0033059C"/>
    <w:rsid w:val="00333559"/>
    <w:rsid w:val="00336032"/>
    <w:rsid w:val="00337BFB"/>
    <w:rsid w:val="00343A00"/>
    <w:rsid w:val="00346226"/>
    <w:rsid w:val="003511A1"/>
    <w:rsid w:val="0035746B"/>
    <w:rsid w:val="003616B3"/>
    <w:rsid w:val="0036293E"/>
    <w:rsid w:val="003770F9"/>
    <w:rsid w:val="003805C5"/>
    <w:rsid w:val="003907AA"/>
    <w:rsid w:val="0039632D"/>
    <w:rsid w:val="00397A89"/>
    <w:rsid w:val="003C113C"/>
    <w:rsid w:val="003C1A19"/>
    <w:rsid w:val="003D3913"/>
    <w:rsid w:val="003D59E9"/>
    <w:rsid w:val="003F0DE4"/>
    <w:rsid w:val="003F211B"/>
    <w:rsid w:val="003F5D78"/>
    <w:rsid w:val="0040453B"/>
    <w:rsid w:val="00421652"/>
    <w:rsid w:val="00424F4B"/>
    <w:rsid w:val="00433469"/>
    <w:rsid w:val="004453E8"/>
    <w:rsid w:val="00460195"/>
    <w:rsid w:val="00467473"/>
    <w:rsid w:val="004675E2"/>
    <w:rsid w:val="00470BE9"/>
    <w:rsid w:val="00472EE4"/>
    <w:rsid w:val="00472F27"/>
    <w:rsid w:val="00483017"/>
    <w:rsid w:val="004830CA"/>
    <w:rsid w:val="0049028F"/>
    <w:rsid w:val="0049335D"/>
    <w:rsid w:val="004C3DD9"/>
    <w:rsid w:val="004E04A6"/>
    <w:rsid w:val="004E17B0"/>
    <w:rsid w:val="004F18B2"/>
    <w:rsid w:val="004F1974"/>
    <w:rsid w:val="00501B55"/>
    <w:rsid w:val="00514410"/>
    <w:rsid w:val="00523871"/>
    <w:rsid w:val="00531CB1"/>
    <w:rsid w:val="0053424A"/>
    <w:rsid w:val="00535463"/>
    <w:rsid w:val="00540CA8"/>
    <w:rsid w:val="005458D6"/>
    <w:rsid w:val="00553F80"/>
    <w:rsid w:val="00555623"/>
    <w:rsid w:val="00555CF4"/>
    <w:rsid w:val="00562348"/>
    <w:rsid w:val="00565716"/>
    <w:rsid w:val="005719E7"/>
    <w:rsid w:val="005A5F30"/>
    <w:rsid w:val="005B2937"/>
    <w:rsid w:val="005B546E"/>
    <w:rsid w:val="005B5D01"/>
    <w:rsid w:val="005B6A07"/>
    <w:rsid w:val="005C2CD4"/>
    <w:rsid w:val="005D395B"/>
    <w:rsid w:val="005D7138"/>
    <w:rsid w:val="005D7BB9"/>
    <w:rsid w:val="005E3DCE"/>
    <w:rsid w:val="005F0301"/>
    <w:rsid w:val="005F2C70"/>
    <w:rsid w:val="0060615D"/>
    <w:rsid w:val="00611AEE"/>
    <w:rsid w:val="00611ECA"/>
    <w:rsid w:val="00613C0E"/>
    <w:rsid w:val="00635970"/>
    <w:rsid w:val="0064041F"/>
    <w:rsid w:val="00641A52"/>
    <w:rsid w:val="00642395"/>
    <w:rsid w:val="00644051"/>
    <w:rsid w:val="006741DB"/>
    <w:rsid w:val="00674F69"/>
    <w:rsid w:val="006840ED"/>
    <w:rsid w:val="006D6F76"/>
    <w:rsid w:val="006E06D0"/>
    <w:rsid w:val="006E2CFD"/>
    <w:rsid w:val="006E3CBB"/>
    <w:rsid w:val="006E3DFC"/>
    <w:rsid w:val="006F5AF8"/>
    <w:rsid w:val="00713B96"/>
    <w:rsid w:val="007147A3"/>
    <w:rsid w:val="00717BFA"/>
    <w:rsid w:val="00726DD6"/>
    <w:rsid w:val="00727029"/>
    <w:rsid w:val="0073139A"/>
    <w:rsid w:val="0073286D"/>
    <w:rsid w:val="0073687F"/>
    <w:rsid w:val="0073761A"/>
    <w:rsid w:val="00742F6E"/>
    <w:rsid w:val="00744F06"/>
    <w:rsid w:val="0074632B"/>
    <w:rsid w:val="00766D33"/>
    <w:rsid w:val="0077404A"/>
    <w:rsid w:val="007741E1"/>
    <w:rsid w:val="0077767D"/>
    <w:rsid w:val="00783325"/>
    <w:rsid w:val="0078421D"/>
    <w:rsid w:val="007842FC"/>
    <w:rsid w:val="007853F3"/>
    <w:rsid w:val="00795293"/>
    <w:rsid w:val="007A7505"/>
    <w:rsid w:val="007B3C20"/>
    <w:rsid w:val="007B55C2"/>
    <w:rsid w:val="007C6E63"/>
    <w:rsid w:val="007D2174"/>
    <w:rsid w:val="007D7D24"/>
    <w:rsid w:val="007E4498"/>
    <w:rsid w:val="007E454C"/>
    <w:rsid w:val="007E77CB"/>
    <w:rsid w:val="007F2CA7"/>
    <w:rsid w:val="00811573"/>
    <w:rsid w:val="0081577B"/>
    <w:rsid w:val="00816FAE"/>
    <w:rsid w:val="0082212B"/>
    <w:rsid w:val="0082258F"/>
    <w:rsid w:val="00824823"/>
    <w:rsid w:val="008331A7"/>
    <w:rsid w:val="00833B39"/>
    <w:rsid w:val="00843505"/>
    <w:rsid w:val="00844C19"/>
    <w:rsid w:val="00847B37"/>
    <w:rsid w:val="00861823"/>
    <w:rsid w:val="00863EA0"/>
    <w:rsid w:val="00866157"/>
    <w:rsid w:val="00870F0C"/>
    <w:rsid w:val="00872917"/>
    <w:rsid w:val="00875B0F"/>
    <w:rsid w:val="0087641E"/>
    <w:rsid w:val="0088180A"/>
    <w:rsid w:val="00885350"/>
    <w:rsid w:val="0089216A"/>
    <w:rsid w:val="00894923"/>
    <w:rsid w:val="008A4759"/>
    <w:rsid w:val="008B55BE"/>
    <w:rsid w:val="008D39C1"/>
    <w:rsid w:val="008E2452"/>
    <w:rsid w:val="008E2DB7"/>
    <w:rsid w:val="008E39C3"/>
    <w:rsid w:val="008E5738"/>
    <w:rsid w:val="00901760"/>
    <w:rsid w:val="00903ED5"/>
    <w:rsid w:val="00920384"/>
    <w:rsid w:val="00923099"/>
    <w:rsid w:val="00925909"/>
    <w:rsid w:val="00930B00"/>
    <w:rsid w:val="00936757"/>
    <w:rsid w:val="00947E2D"/>
    <w:rsid w:val="00952260"/>
    <w:rsid w:val="009573F6"/>
    <w:rsid w:val="0096266E"/>
    <w:rsid w:val="00973310"/>
    <w:rsid w:val="00983B6B"/>
    <w:rsid w:val="00991192"/>
    <w:rsid w:val="009A0889"/>
    <w:rsid w:val="009A6472"/>
    <w:rsid w:val="009B1BFE"/>
    <w:rsid w:val="009B583D"/>
    <w:rsid w:val="009B6A4E"/>
    <w:rsid w:val="009C0307"/>
    <w:rsid w:val="009D4F38"/>
    <w:rsid w:val="009E1776"/>
    <w:rsid w:val="009E5CBF"/>
    <w:rsid w:val="009F79BB"/>
    <w:rsid w:val="00A20517"/>
    <w:rsid w:val="00A238DA"/>
    <w:rsid w:val="00A318EC"/>
    <w:rsid w:val="00A47F30"/>
    <w:rsid w:val="00A519B7"/>
    <w:rsid w:val="00A53825"/>
    <w:rsid w:val="00A624C7"/>
    <w:rsid w:val="00A62E81"/>
    <w:rsid w:val="00A6635B"/>
    <w:rsid w:val="00A7262B"/>
    <w:rsid w:val="00A73321"/>
    <w:rsid w:val="00A8635A"/>
    <w:rsid w:val="00A90A07"/>
    <w:rsid w:val="00AA3FE6"/>
    <w:rsid w:val="00AA51B6"/>
    <w:rsid w:val="00AB1844"/>
    <w:rsid w:val="00AC43B6"/>
    <w:rsid w:val="00AC73C5"/>
    <w:rsid w:val="00AD0240"/>
    <w:rsid w:val="00AE284E"/>
    <w:rsid w:val="00AE4AAB"/>
    <w:rsid w:val="00AE5B57"/>
    <w:rsid w:val="00AF0B4D"/>
    <w:rsid w:val="00B0227F"/>
    <w:rsid w:val="00B06182"/>
    <w:rsid w:val="00B2136E"/>
    <w:rsid w:val="00B21B15"/>
    <w:rsid w:val="00B244D5"/>
    <w:rsid w:val="00B27800"/>
    <w:rsid w:val="00B27E4B"/>
    <w:rsid w:val="00B30F6E"/>
    <w:rsid w:val="00B35658"/>
    <w:rsid w:val="00B35A91"/>
    <w:rsid w:val="00B4223C"/>
    <w:rsid w:val="00B43398"/>
    <w:rsid w:val="00B56651"/>
    <w:rsid w:val="00B623D5"/>
    <w:rsid w:val="00B84B15"/>
    <w:rsid w:val="00B85D45"/>
    <w:rsid w:val="00B91D3C"/>
    <w:rsid w:val="00BB032D"/>
    <w:rsid w:val="00BB46F8"/>
    <w:rsid w:val="00BB58C4"/>
    <w:rsid w:val="00BC431F"/>
    <w:rsid w:val="00BD0C83"/>
    <w:rsid w:val="00BD37EA"/>
    <w:rsid w:val="00BD42FD"/>
    <w:rsid w:val="00BD6597"/>
    <w:rsid w:val="00BD7547"/>
    <w:rsid w:val="00BE69EE"/>
    <w:rsid w:val="00BE7EA5"/>
    <w:rsid w:val="00BF2CB0"/>
    <w:rsid w:val="00C0068A"/>
    <w:rsid w:val="00C05A5C"/>
    <w:rsid w:val="00C07050"/>
    <w:rsid w:val="00C113E5"/>
    <w:rsid w:val="00C11E2A"/>
    <w:rsid w:val="00C16CF6"/>
    <w:rsid w:val="00C17116"/>
    <w:rsid w:val="00C41E1B"/>
    <w:rsid w:val="00C54DD7"/>
    <w:rsid w:val="00C6023C"/>
    <w:rsid w:val="00C73204"/>
    <w:rsid w:val="00C74E4A"/>
    <w:rsid w:val="00C7655E"/>
    <w:rsid w:val="00C770DC"/>
    <w:rsid w:val="00C81A0B"/>
    <w:rsid w:val="00CA777A"/>
    <w:rsid w:val="00CA7E41"/>
    <w:rsid w:val="00CB14C3"/>
    <w:rsid w:val="00CD55ED"/>
    <w:rsid w:val="00CE1967"/>
    <w:rsid w:val="00CE355F"/>
    <w:rsid w:val="00CF1C58"/>
    <w:rsid w:val="00CF7D4C"/>
    <w:rsid w:val="00D04385"/>
    <w:rsid w:val="00D24FDB"/>
    <w:rsid w:val="00D25A13"/>
    <w:rsid w:val="00D323E6"/>
    <w:rsid w:val="00D351AD"/>
    <w:rsid w:val="00D40D85"/>
    <w:rsid w:val="00D477E5"/>
    <w:rsid w:val="00D62131"/>
    <w:rsid w:val="00D76409"/>
    <w:rsid w:val="00D811A8"/>
    <w:rsid w:val="00D84B2A"/>
    <w:rsid w:val="00D85CDD"/>
    <w:rsid w:val="00D91E3A"/>
    <w:rsid w:val="00DA4B29"/>
    <w:rsid w:val="00DB0A80"/>
    <w:rsid w:val="00DB2B6A"/>
    <w:rsid w:val="00DB604E"/>
    <w:rsid w:val="00DC0CCC"/>
    <w:rsid w:val="00DC2D92"/>
    <w:rsid w:val="00DC36F5"/>
    <w:rsid w:val="00DD2E01"/>
    <w:rsid w:val="00DF5973"/>
    <w:rsid w:val="00E014D4"/>
    <w:rsid w:val="00E03C8E"/>
    <w:rsid w:val="00E047B2"/>
    <w:rsid w:val="00E13C9F"/>
    <w:rsid w:val="00E233EB"/>
    <w:rsid w:val="00E25A91"/>
    <w:rsid w:val="00E467C3"/>
    <w:rsid w:val="00E57FE2"/>
    <w:rsid w:val="00E75E3D"/>
    <w:rsid w:val="00E846F6"/>
    <w:rsid w:val="00E86762"/>
    <w:rsid w:val="00E948F3"/>
    <w:rsid w:val="00EC1741"/>
    <w:rsid w:val="00EC75BA"/>
    <w:rsid w:val="00ED5D42"/>
    <w:rsid w:val="00EE2AC3"/>
    <w:rsid w:val="00F14D38"/>
    <w:rsid w:val="00F1632C"/>
    <w:rsid w:val="00F20327"/>
    <w:rsid w:val="00F24340"/>
    <w:rsid w:val="00F24856"/>
    <w:rsid w:val="00F271AB"/>
    <w:rsid w:val="00F40419"/>
    <w:rsid w:val="00F51F53"/>
    <w:rsid w:val="00F70B68"/>
    <w:rsid w:val="00F91851"/>
    <w:rsid w:val="00F946B7"/>
    <w:rsid w:val="00FA3EFB"/>
    <w:rsid w:val="00FB6244"/>
    <w:rsid w:val="00FD01C5"/>
    <w:rsid w:val="00FD477F"/>
    <w:rsid w:val="00FD72BD"/>
    <w:rsid w:val="00FE047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character" w:customStyle="1" w:styleId="corte4fondoCar1">
    <w:name w:val="corte4 fondo Car1"/>
    <w:link w:val="corte4fondo"/>
    <w:locked/>
    <w:rsid w:val="00CA777A"/>
    <w:rPr>
      <w:rFonts w:ascii="Arial" w:eastAsia="Times New Roman" w:hAnsi="Arial"/>
      <w:sz w:val="30"/>
    </w:rPr>
  </w:style>
  <w:style w:type="paragraph" w:customStyle="1" w:styleId="corte4fondo">
    <w:name w:val="corte4 fondo"/>
    <w:basedOn w:val="Normal"/>
    <w:link w:val="corte4fondoCar1"/>
    <w:qFormat/>
    <w:rsid w:val="00CA777A"/>
    <w:pPr>
      <w:spacing w:after="0" w:line="360" w:lineRule="auto"/>
      <w:ind w:firstLine="709"/>
      <w:jc w:val="both"/>
    </w:pPr>
    <w:rPr>
      <w:rFonts w:ascii="Arial" w:eastAsia="Times New Roman" w:hAnsi="Arial"/>
      <w:sz w:val="30"/>
    </w:rPr>
  </w:style>
  <w:style w:type="paragraph" w:customStyle="1" w:styleId="xmsonormal">
    <w:name w:val="x_msonormal"/>
    <w:basedOn w:val="Normal"/>
    <w:rsid w:val="00CA777A"/>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customStyle="1" w:styleId="xcontentpasted0">
    <w:name w:val="x_contentpasted0"/>
    <w:basedOn w:val="Fuentedeprrafopredeter"/>
    <w:rsid w:val="00CA777A"/>
  </w:style>
  <w:style w:type="paragraph" w:styleId="Textodeglobo">
    <w:name w:val="Balloon Text"/>
    <w:basedOn w:val="Normal"/>
    <w:link w:val="TextodegloboCar"/>
    <w:uiPriority w:val="99"/>
    <w:semiHidden/>
    <w:unhideWhenUsed/>
    <w:rsid w:val="00C113E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113E5"/>
    <w:rPr>
      <w:rFonts w:ascii="Segoe UI" w:hAnsi="Segoe UI" w:cs="Segoe UI"/>
      <w:sz w:val="18"/>
      <w:szCs w:val="18"/>
    </w:rPr>
  </w:style>
  <w:style w:type="character" w:styleId="Hipervnculo">
    <w:name w:val="Hyperlink"/>
    <w:basedOn w:val="Fuentedeprrafopredeter"/>
    <w:uiPriority w:val="99"/>
    <w:unhideWhenUsed/>
    <w:rsid w:val="00283EC3"/>
    <w:rPr>
      <w:color w:val="0563C1" w:themeColor="hyperlink"/>
      <w:u w:val="single"/>
    </w:rPr>
  </w:style>
  <w:style w:type="paragraph" w:styleId="Prrafodelista">
    <w:name w:val="List Paragraph"/>
    <w:basedOn w:val="Normal"/>
    <w:uiPriority w:val="34"/>
    <w:qFormat/>
    <w:rsid w:val="00326102"/>
    <w:pPr>
      <w:spacing w:after="200" w:line="276" w:lineRule="auto"/>
      <w:ind w:left="720"/>
      <w:contextualSpacing/>
    </w:pPr>
    <w:rPr>
      <w:rFonts w:eastAsiaTheme="minorEastAsia"/>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56833536">
      <w:bodyDiv w:val="1"/>
      <w:marLeft w:val="0"/>
      <w:marRight w:val="0"/>
      <w:marTop w:val="0"/>
      <w:marBottom w:val="0"/>
      <w:divBdr>
        <w:top w:val="none" w:sz="0" w:space="0" w:color="auto"/>
        <w:left w:val="none" w:sz="0" w:space="0" w:color="auto"/>
        <w:bottom w:val="none" w:sz="0" w:space="0" w:color="auto"/>
        <w:right w:val="none" w:sz="0" w:space="0" w:color="auto"/>
      </w:divBdr>
    </w:div>
    <w:div w:id="2032028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lsoslp.com.mx/slp/dan-banderazo-de-salida-a-remodelacion-de-los-parques-tangamanga/1373634" TargetMode="External"/><Relationship Id="rId13" Type="http://schemas.openxmlformats.org/officeDocument/2006/relationships/hyperlink" Target="https://canal7slp.tv/2022/gobierno-inauguro-espacios-en-el-parque-tangamanga-i/"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pulsoslp.com.mx/slp/inauguran-rehabilitacion-del-parquetangamanga-i%20fotos/1452738"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odigosanluis.com/gallardo-remodelacion-parquetangamanga/" TargetMode="Externa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hyperlink" Target="https://laorquesta.mx/arranco-la-remodelacion-del-parque-tangamanga/"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periodicoelmomento.com/2021/gallardo-dio-inicio-a-rehabilitacion-del-parque-tangamanga-1/" TargetMode="External"/><Relationship Id="rId14" Type="http://schemas.openxmlformats.org/officeDocument/2006/relationships/hyperlink" Target="https://www.liderempresarial.com/asi-se-vivio-la-reinauguracion-del-parque-tangamanga-i-en-slp/"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B7E1E8-385F-4325-B887-C5EB042025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964</TotalTime>
  <Pages>12</Pages>
  <Words>3582</Words>
  <Characters>19703</Characters>
  <Application>Microsoft Office Word</Application>
  <DocSecurity>0</DocSecurity>
  <Lines>164</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Pedro</cp:lastModifiedBy>
  <cp:revision>274</cp:revision>
  <cp:lastPrinted>2024-01-18T17:47:00Z</cp:lastPrinted>
  <dcterms:created xsi:type="dcterms:W3CDTF">2020-06-17T19:11:00Z</dcterms:created>
  <dcterms:modified xsi:type="dcterms:W3CDTF">2024-02-26T17:29:00Z</dcterms:modified>
</cp:coreProperties>
</file>