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14E2" w:rsidRDefault="00EA5651">
      <w:pPr>
        <w:spacing w:line="276" w:lineRule="auto"/>
        <w:jc w:val="both"/>
        <w:rPr>
          <w:rFonts w:ascii="Arial" w:hAnsi="Arial" w:cs="Arial"/>
        </w:rPr>
      </w:pPr>
      <w:bookmarkStart w:id="0" w:name="_GoBack"/>
      <w:bookmarkEnd w:id="0"/>
      <w:r>
        <w:rPr>
          <w:rFonts w:ascii="Arial" w:hAnsi="Arial" w:cs="Arial"/>
        </w:rPr>
        <w:t xml:space="preserve">En cumplimiento al acuerdo emitido por el Comité de Transparencia de la Fiscalía General del Estado FGE, en la </w:t>
      </w:r>
      <w:r>
        <w:rPr>
          <w:rFonts w:ascii="Arial" w:hAnsi="Arial" w:cs="Arial"/>
          <w:b/>
        </w:rPr>
        <w:t>Octava Sesión</w:t>
      </w:r>
      <w:r>
        <w:rPr>
          <w:rFonts w:ascii="Arial" w:hAnsi="Arial" w:cs="Arial"/>
        </w:rPr>
        <w:t xml:space="preserve"> </w:t>
      </w:r>
      <w:r>
        <w:rPr>
          <w:rFonts w:ascii="Arial" w:hAnsi="Arial" w:cs="Arial"/>
          <w:b/>
        </w:rPr>
        <w:t>O</w:t>
      </w:r>
      <w:r>
        <w:rPr>
          <w:rFonts w:ascii="Arial" w:hAnsi="Arial" w:cs="Arial"/>
          <w:b/>
          <w:bCs/>
        </w:rPr>
        <w:t xml:space="preserve">rdinaria </w:t>
      </w:r>
      <w:r>
        <w:rPr>
          <w:rFonts w:ascii="Arial" w:hAnsi="Arial" w:cs="Arial"/>
          <w:b/>
        </w:rPr>
        <w:t xml:space="preserve">2024 </w:t>
      </w:r>
      <w:r>
        <w:rPr>
          <w:rFonts w:ascii="Arial" w:hAnsi="Arial" w:cs="Arial"/>
        </w:rPr>
        <w:t xml:space="preserve">de este Órgano Colegiado, en términos de lo dispuesto por los artículos 51, 52 fracción II, 127 de la Ley de Transparencia y Acceso a la Información Pública del Estado de San Luis Potosí LTAIPSLP, lineamiento Quincuagésimo primero de los Lineamientos Generales para la Clasificación y Desclasificación de la Información, así como para la Elaboración de Versiones Públicas LGCDIEVP, se procede a emitir la siguiente Resolución.  </w:t>
      </w:r>
    </w:p>
    <w:p w:rsidR="002C14E2" w:rsidRDefault="002C14E2">
      <w:pPr>
        <w:spacing w:line="276" w:lineRule="auto"/>
        <w:jc w:val="both"/>
        <w:rPr>
          <w:rFonts w:ascii="Arial" w:hAnsi="Arial" w:cs="Arial"/>
        </w:rPr>
      </w:pPr>
    </w:p>
    <w:p w:rsidR="002C14E2" w:rsidRDefault="002C14E2">
      <w:pPr>
        <w:spacing w:line="276" w:lineRule="auto"/>
        <w:jc w:val="both"/>
        <w:rPr>
          <w:rFonts w:ascii="Arial" w:hAnsi="Arial" w:cs="Arial"/>
        </w:rPr>
      </w:pPr>
    </w:p>
    <w:p w:rsidR="002C14E2" w:rsidRDefault="00EA5651">
      <w:pPr>
        <w:spacing w:line="276" w:lineRule="auto"/>
        <w:jc w:val="center"/>
        <w:rPr>
          <w:rFonts w:ascii="Arial" w:hAnsi="Arial" w:cs="Arial"/>
          <w:b/>
        </w:rPr>
      </w:pPr>
      <w:r>
        <w:rPr>
          <w:rFonts w:ascii="Arial" w:hAnsi="Arial" w:cs="Arial"/>
          <w:b/>
        </w:rPr>
        <w:t>RESULTANDO</w:t>
      </w:r>
    </w:p>
    <w:p w:rsidR="002C14E2" w:rsidRDefault="00EA5651">
      <w:pPr>
        <w:spacing w:line="276" w:lineRule="auto"/>
        <w:rPr>
          <w:rFonts w:ascii="Arial" w:hAnsi="Arial" w:cs="Arial"/>
          <w:b/>
        </w:rPr>
      </w:pPr>
      <w:r>
        <w:rPr>
          <w:rFonts w:ascii="Arial" w:hAnsi="Arial" w:cs="Arial"/>
          <w:b/>
        </w:rPr>
        <w:t>ANTECEDENTES</w:t>
      </w:r>
    </w:p>
    <w:p w:rsidR="002C14E2" w:rsidRDefault="002C14E2">
      <w:pPr>
        <w:spacing w:line="276" w:lineRule="auto"/>
        <w:rPr>
          <w:rFonts w:ascii="Arial" w:hAnsi="Arial" w:cs="Arial"/>
          <w:b/>
        </w:rPr>
      </w:pPr>
    </w:p>
    <w:p w:rsidR="00AB7C42" w:rsidRDefault="00AB7C42">
      <w:pPr>
        <w:spacing w:line="276" w:lineRule="auto"/>
        <w:rPr>
          <w:rFonts w:ascii="Arial" w:hAnsi="Arial" w:cs="Arial"/>
          <w:b/>
        </w:rPr>
      </w:pPr>
    </w:p>
    <w:p w:rsidR="002C14E2" w:rsidRPr="008D0520" w:rsidRDefault="00EA5651">
      <w:pPr>
        <w:numPr>
          <w:ilvl w:val="0"/>
          <w:numId w:val="1"/>
        </w:numPr>
        <w:spacing w:line="276" w:lineRule="auto"/>
        <w:jc w:val="both"/>
        <w:rPr>
          <w:rFonts w:ascii="Arial" w:eastAsia="Times New Roman" w:hAnsi="Arial" w:cs="Arial"/>
          <w:lang w:eastAsia="es-MX"/>
        </w:rPr>
      </w:pPr>
      <w:r>
        <w:rPr>
          <w:rFonts w:ascii="Arial" w:hAnsi="Arial" w:cs="Arial"/>
          <w:b/>
        </w:rPr>
        <w:t xml:space="preserve">  </w:t>
      </w:r>
      <w:r w:rsidRPr="008D0520">
        <w:rPr>
          <w:rFonts w:ascii="Arial" w:hAnsi="Arial" w:cs="Arial"/>
          <w:b/>
        </w:rPr>
        <w:t>El Contador Público César Isidro Cruz Director General de Administración</w:t>
      </w:r>
      <w:r w:rsidRPr="008D0520">
        <w:rPr>
          <w:rFonts w:ascii="Arial" w:eastAsia="Times New Roman" w:hAnsi="Arial" w:cs="Arial"/>
        </w:rPr>
        <w:t>, manifiesta</w:t>
      </w:r>
      <w:r w:rsidRPr="008D0520">
        <w:rPr>
          <w:rFonts w:ascii="Arial" w:hAnsi="Arial" w:cs="Arial"/>
        </w:rPr>
        <w:t xml:space="preserve"> haber recibido la solicitud de información número </w:t>
      </w:r>
      <w:r w:rsidRPr="008D0520">
        <w:rPr>
          <w:rFonts w:ascii="Arial" w:hAnsi="Arial" w:cs="Arial"/>
          <w:b/>
        </w:rPr>
        <w:t>UT-SI-P-346-240469824000346-2024</w:t>
      </w:r>
      <w:r w:rsidRPr="008D0520">
        <w:rPr>
          <w:rFonts w:ascii="Arial" w:hAnsi="Arial" w:cs="Arial"/>
        </w:rPr>
        <w:t xml:space="preserve">, en la que el Ciudadano </w:t>
      </w:r>
      <w:r w:rsidR="00360A9F" w:rsidRPr="008D0520">
        <w:rPr>
          <w:rFonts w:ascii="Arial" w:hAnsi="Arial" w:cs="Arial"/>
        </w:rPr>
        <w:t>quien</w:t>
      </w:r>
      <w:r w:rsidRPr="008D0520">
        <w:rPr>
          <w:rFonts w:ascii="Arial" w:hAnsi="Arial" w:cs="Arial"/>
        </w:rPr>
        <w:t xml:space="preserve"> </w:t>
      </w:r>
      <w:r w:rsidRPr="008D0520">
        <w:rPr>
          <w:rFonts w:ascii="Arial" w:hAnsi="Arial" w:cs="Arial"/>
          <w:b/>
          <w:bCs/>
        </w:rPr>
        <w:t>NO PROPORCIONO NOMBRE</w:t>
      </w:r>
      <w:r w:rsidRPr="008D0520">
        <w:rPr>
          <w:rFonts w:ascii="Arial" w:hAnsi="Arial" w:cs="Arial"/>
          <w:b/>
        </w:rPr>
        <w:t>,</w:t>
      </w:r>
      <w:r w:rsidRPr="008D0520">
        <w:rPr>
          <w:rFonts w:ascii="Arial" w:eastAsia="Times New Roman" w:hAnsi="Arial" w:cs="Arial"/>
          <w:b/>
          <w:lang w:eastAsia="es-MX"/>
        </w:rPr>
        <w:t xml:space="preserve"> </w:t>
      </w:r>
      <w:r w:rsidRPr="008D0520">
        <w:rPr>
          <w:rFonts w:ascii="Arial" w:eastAsia="Times New Roman" w:hAnsi="Arial" w:cs="Arial"/>
          <w:lang w:eastAsia="es-MX"/>
        </w:rPr>
        <w:t>solicitó acceder a;</w:t>
      </w:r>
    </w:p>
    <w:p w:rsidR="002C14E2" w:rsidRDefault="002C14E2">
      <w:pPr>
        <w:spacing w:line="276" w:lineRule="auto"/>
        <w:jc w:val="both"/>
        <w:rPr>
          <w:rFonts w:ascii="Arial" w:eastAsia="Times New Roman" w:hAnsi="Arial" w:cs="Arial"/>
          <w:lang w:eastAsia="es-MX"/>
        </w:rPr>
      </w:pPr>
    </w:p>
    <w:p w:rsidR="002C14E2" w:rsidRPr="00AB7C42" w:rsidRDefault="00EA5651">
      <w:pPr>
        <w:ind w:left="708" w:firstLine="708"/>
        <w:jc w:val="both"/>
        <w:rPr>
          <w:rFonts w:ascii="Arial" w:hAnsi="Arial" w:cs="Arial"/>
          <w:i/>
          <w:sz w:val="20"/>
          <w:szCs w:val="20"/>
        </w:rPr>
      </w:pPr>
      <w:r w:rsidRPr="00AB7C42">
        <w:rPr>
          <w:rFonts w:ascii="Arial" w:hAnsi="Arial" w:cs="Arial"/>
          <w:b/>
          <w:i/>
          <w:sz w:val="20"/>
          <w:szCs w:val="20"/>
        </w:rPr>
        <w:t>“</w:t>
      </w:r>
      <w:r w:rsidRPr="00AB7C42">
        <w:rPr>
          <w:rFonts w:ascii="Arial" w:hAnsi="Arial" w:cs="Arial"/>
          <w:b/>
          <w:i/>
          <w:sz w:val="20"/>
          <w:szCs w:val="20"/>
          <w:u w:val="single"/>
        </w:rPr>
        <w:t>Requiero los recibos de nómina de todos los colaboradores de  cada área desde el 2018 a la fecha</w:t>
      </w:r>
      <w:r w:rsidRPr="00AB7C42">
        <w:rPr>
          <w:rFonts w:ascii="Arial" w:hAnsi="Arial" w:cs="Arial"/>
          <w:b/>
          <w:i/>
          <w:sz w:val="20"/>
          <w:szCs w:val="20"/>
        </w:rPr>
        <w:t>. Contratos de personal de base, eventual, por contrato, o cualquier tipo de contratación, así como contratos de proveedores con datos fiscales y domicilios con los que han trabajado del 2018 a la fecha</w:t>
      </w:r>
      <w:r w:rsidRPr="00AB7C42">
        <w:rPr>
          <w:rFonts w:ascii="Arial" w:hAnsi="Arial" w:cs="Arial"/>
          <w:i/>
          <w:sz w:val="20"/>
          <w:szCs w:val="20"/>
        </w:rPr>
        <w:t>…(sic)”.</w:t>
      </w:r>
    </w:p>
    <w:p w:rsidR="002C14E2" w:rsidRPr="00AB7C42" w:rsidRDefault="002C14E2">
      <w:pPr>
        <w:ind w:firstLine="708"/>
        <w:jc w:val="both"/>
        <w:rPr>
          <w:rFonts w:ascii="Arial" w:hAnsi="Arial" w:cs="Arial"/>
          <w:b/>
          <w:bCs/>
        </w:rPr>
      </w:pPr>
    </w:p>
    <w:p w:rsidR="002C14E2" w:rsidRDefault="002C14E2">
      <w:pPr>
        <w:spacing w:line="276" w:lineRule="auto"/>
        <w:jc w:val="both"/>
        <w:rPr>
          <w:rFonts w:ascii="Arial" w:hAnsi="Arial" w:cs="Arial"/>
          <w:b/>
          <w:i/>
          <w:sz w:val="22"/>
          <w:szCs w:val="22"/>
        </w:rPr>
      </w:pPr>
    </w:p>
    <w:p w:rsidR="002C14E2" w:rsidRDefault="00EA5651">
      <w:pPr>
        <w:spacing w:line="276" w:lineRule="auto"/>
        <w:jc w:val="both"/>
        <w:rPr>
          <w:rFonts w:ascii="Arial" w:hAnsi="Arial" w:cs="Arial"/>
        </w:rPr>
      </w:pPr>
      <w:r>
        <w:rPr>
          <w:rFonts w:ascii="Arial" w:hAnsi="Arial" w:cs="Arial"/>
          <w:b/>
        </w:rPr>
        <w:t>II.  El Contador Público César Isidro Cruz Director General de Administración</w:t>
      </w:r>
      <w:r>
        <w:rPr>
          <w:rFonts w:ascii="Arial" w:hAnsi="Arial" w:cs="Arial"/>
        </w:rPr>
        <w:t>, de la FGE, advierte que parte de la información que le solicitan es información susceptible de clasificar como reservada, de conformidad con el artículo 129 fracciones I y XII de la LTAIPSLP.</w:t>
      </w:r>
    </w:p>
    <w:p w:rsidR="002C14E2" w:rsidRDefault="002C14E2">
      <w:pPr>
        <w:spacing w:line="276" w:lineRule="auto"/>
        <w:jc w:val="both"/>
        <w:rPr>
          <w:rFonts w:ascii="Arial" w:hAnsi="Arial" w:cs="Arial"/>
          <w:highlight w:val="yellow"/>
        </w:rPr>
      </w:pPr>
    </w:p>
    <w:p w:rsidR="00FC282D" w:rsidRDefault="00FC282D">
      <w:pPr>
        <w:spacing w:line="276" w:lineRule="auto"/>
        <w:jc w:val="both"/>
        <w:rPr>
          <w:rFonts w:ascii="Arial" w:hAnsi="Arial" w:cs="Arial"/>
          <w:highlight w:val="yellow"/>
        </w:rPr>
      </w:pPr>
    </w:p>
    <w:p w:rsidR="002C14E2" w:rsidRDefault="00EA5651">
      <w:pPr>
        <w:spacing w:line="276" w:lineRule="auto"/>
        <w:jc w:val="both"/>
        <w:rPr>
          <w:rFonts w:ascii="Arial" w:hAnsi="Arial" w:cs="Arial"/>
          <w:b/>
        </w:rPr>
      </w:pPr>
      <w:r>
        <w:rPr>
          <w:rFonts w:ascii="Arial" w:hAnsi="Arial" w:cs="Arial"/>
          <w:b/>
        </w:rPr>
        <w:t>III.</w:t>
      </w:r>
      <w:r>
        <w:rPr>
          <w:rFonts w:ascii="Arial" w:hAnsi="Arial" w:cs="Arial"/>
        </w:rPr>
        <w:t xml:space="preserve">    Al encontrarse en la hipótesis establecida en el artículo 120 fracción I de la LTAIPSLP, </w:t>
      </w:r>
      <w:r>
        <w:rPr>
          <w:rFonts w:ascii="Arial" w:hAnsi="Arial" w:cs="Arial"/>
          <w:b/>
        </w:rPr>
        <w:t>el Contador Público César Isidro Cruz Director General de Administración</w:t>
      </w:r>
      <w:r>
        <w:rPr>
          <w:rFonts w:ascii="Arial" w:hAnsi="Arial" w:cs="Arial"/>
        </w:rPr>
        <w:t xml:space="preserve"> de la FGE, emite el </w:t>
      </w:r>
      <w:r>
        <w:rPr>
          <w:rFonts w:ascii="Arial" w:hAnsi="Arial" w:cs="Arial"/>
          <w:b/>
        </w:rPr>
        <w:t>Acuerdo de Reserva Total</w:t>
      </w:r>
      <w:r>
        <w:rPr>
          <w:rFonts w:ascii="Arial" w:hAnsi="Arial" w:cs="Arial"/>
        </w:rPr>
        <w:t xml:space="preserve"> número </w:t>
      </w:r>
      <w:r>
        <w:rPr>
          <w:rFonts w:ascii="Arial" w:hAnsi="Arial" w:cs="Arial"/>
          <w:b/>
        </w:rPr>
        <w:t xml:space="preserve">AR/29/2024, </w:t>
      </w:r>
      <w:r>
        <w:rPr>
          <w:rFonts w:ascii="Arial" w:hAnsi="Arial" w:cs="Arial"/>
        </w:rPr>
        <w:t>mismo que hace llegar mediante</w:t>
      </w:r>
      <w:r>
        <w:rPr>
          <w:rFonts w:ascii="Arial" w:eastAsia="Times New Roman" w:hAnsi="Arial" w:cs="Arial"/>
        </w:rPr>
        <w:t xml:space="preserve"> consecutivo </w:t>
      </w:r>
      <w:r w:rsidR="00AB7C42" w:rsidRPr="00740169">
        <w:rPr>
          <w:rFonts w:ascii="Arial" w:eastAsia="Times New Roman" w:hAnsi="Arial" w:cs="Arial"/>
          <w:b/>
          <w:bCs/>
        </w:rPr>
        <w:t>DPF/0149/</w:t>
      </w:r>
      <w:r w:rsidR="00AB7C42" w:rsidRPr="00740169">
        <w:rPr>
          <w:rFonts w:ascii="Arial" w:hAnsi="Arial" w:cs="Arial"/>
          <w:b/>
        </w:rPr>
        <w:t>2024</w:t>
      </w:r>
      <w:r w:rsidR="00AB7C42">
        <w:rPr>
          <w:rFonts w:ascii="Arial" w:hAnsi="Arial" w:cs="Arial"/>
          <w:b/>
        </w:rPr>
        <w:t>,</w:t>
      </w:r>
      <w:r>
        <w:rPr>
          <w:rFonts w:ascii="Arial" w:eastAsia="Times New Roman" w:hAnsi="Arial" w:cs="Arial"/>
        </w:rPr>
        <w:t xml:space="preserve"> suscrito por el Director General de Administración, fechado el 01 y recibido el 05 de agosto, por el comité de transparencia, solicitando</w:t>
      </w:r>
      <w:r>
        <w:rPr>
          <w:rFonts w:ascii="Arial" w:hAnsi="Arial" w:cs="Arial"/>
        </w:rPr>
        <w:t xml:space="preserve"> la confirmación del mismo.</w:t>
      </w:r>
    </w:p>
    <w:p w:rsidR="002C14E2" w:rsidRDefault="002C14E2">
      <w:pPr>
        <w:spacing w:line="276" w:lineRule="auto"/>
        <w:rPr>
          <w:rFonts w:ascii="Arial" w:hAnsi="Arial" w:cs="Arial"/>
          <w:b/>
        </w:rPr>
      </w:pPr>
    </w:p>
    <w:p w:rsidR="00AB7C42" w:rsidRDefault="00AB7C42">
      <w:pPr>
        <w:spacing w:line="276" w:lineRule="auto"/>
        <w:rPr>
          <w:rFonts w:ascii="Arial" w:hAnsi="Arial" w:cs="Arial"/>
          <w:b/>
        </w:rPr>
      </w:pPr>
    </w:p>
    <w:p w:rsidR="00AB7C42" w:rsidRDefault="00AB7C42">
      <w:pPr>
        <w:spacing w:line="276" w:lineRule="auto"/>
        <w:rPr>
          <w:rFonts w:ascii="Arial" w:hAnsi="Arial" w:cs="Arial"/>
          <w:b/>
        </w:rPr>
      </w:pPr>
    </w:p>
    <w:p w:rsidR="002C14E2" w:rsidRDefault="00EA5651">
      <w:pPr>
        <w:spacing w:line="276" w:lineRule="auto"/>
        <w:rPr>
          <w:rFonts w:ascii="Arial" w:hAnsi="Arial" w:cs="Arial"/>
          <w:b/>
        </w:rPr>
      </w:pPr>
      <w:r>
        <w:rPr>
          <w:rFonts w:ascii="Arial" w:hAnsi="Arial" w:cs="Arial"/>
          <w:b/>
        </w:rPr>
        <w:t>CONSIDERANDO</w:t>
      </w:r>
    </w:p>
    <w:p w:rsidR="002C14E2" w:rsidRDefault="002C14E2">
      <w:pPr>
        <w:spacing w:line="276" w:lineRule="auto"/>
        <w:jc w:val="both"/>
        <w:rPr>
          <w:rFonts w:ascii="Arial" w:hAnsi="Arial" w:cs="Arial"/>
        </w:rPr>
      </w:pPr>
    </w:p>
    <w:p w:rsidR="00F97FF2" w:rsidRDefault="00F97FF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hAnsi="Arial" w:cs="Arial"/>
          <w:b/>
        </w:rPr>
        <w:t>Acuerdo de Reserva Total</w:t>
      </w:r>
      <w:r>
        <w:rPr>
          <w:rFonts w:ascii="Arial" w:hAnsi="Arial" w:cs="Arial"/>
        </w:rPr>
        <w:t xml:space="preserve">  número </w:t>
      </w:r>
      <w:r>
        <w:rPr>
          <w:rFonts w:ascii="Arial" w:hAnsi="Arial" w:cs="Arial"/>
          <w:b/>
        </w:rPr>
        <w:t>AR/29/2024</w:t>
      </w:r>
      <w:r>
        <w:rPr>
          <w:rFonts w:ascii="Arial" w:hAnsi="Arial" w:cs="Arial"/>
        </w:rPr>
        <w:t>, que se somete a consideración en términos de lo dispuesto por los artículos 51, 52, fracción II de la LTAIPSLP, Lineamiento segundo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2C14E2" w:rsidRDefault="002C14E2">
      <w:pPr>
        <w:spacing w:line="276" w:lineRule="auto"/>
        <w:jc w:val="both"/>
        <w:rPr>
          <w:rFonts w:ascii="Arial" w:hAnsi="Arial" w:cs="Arial"/>
          <w:b/>
        </w:rPr>
      </w:pPr>
    </w:p>
    <w:p w:rsidR="002C14E2" w:rsidRDefault="002C14E2">
      <w:pPr>
        <w:spacing w:line="276" w:lineRule="auto"/>
        <w:jc w:val="both"/>
        <w:rPr>
          <w:rFonts w:ascii="Arial" w:hAnsi="Arial" w:cs="Arial"/>
          <w:b/>
        </w:rPr>
      </w:pPr>
    </w:p>
    <w:p w:rsidR="002C14E2" w:rsidRDefault="00EA5651">
      <w:pPr>
        <w:spacing w:line="276" w:lineRule="auto"/>
        <w:jc w:val="both"/>
        <w:rPr>
          <w:rFonts w:ascii="Arial" w:hAnsi="Arial" w:cs="Arial"/>
        </w:rPr>
      </w:pPr>
      <w:r>
        <w:rPr>
          <w:rFonts w:ascii="Arial" w:hAnsi="Arial" w:cs="Arial"/>
          <w:b/>
        </w:rPr>
        <w:t xml:space="preserve">SEGUNDO. Análisis. </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rPr>
        <w:t xml:space="preserve">Del </w:t>
      </w:r>
      <w:r>
        <w:rPr>
          <w:rFonts w:ascii="Arial" w:hAnsi="Arial" w:cs="Arial"/>
          <w:b/>
        </w:rPr>
        <w:t>Acuerdo de Reserva Total</w:t>
      </w:r>
      <w:r>
        <w:rPr>
          <w:rFonts w:ascii="Arial" w:hAnsi="Arial" w:cs="Arial"/>
        </w:rPr>
        <w:t xml:space="preserve"> número </w:t>
      </w:r>
      <w:r>
        <w:rPr>
          <w:rFonts w:ascii="Arial" w:hAnsi="Arial" w:cs="Arial"/>
          <w:b/>
        </w:rPr>
        <w:t>AR/29/2024</w:t>
      </w:r>
      <w:r>
        <w:rPr>
          <w:rFonts w:ascii="Arial" w:hAnsi="Arial" w:cs="Arial"/>
        </w:rPr>
        <w:t xml:space="preserve">, se advierte que el mismo contiene los requisitos mínimos establecidos por el artículo 128 de LTAIPSLP, y que a sabed son: </w:t>
      </w:r>
    </w:p>
    <w:p w:rsidR="002C14E2" w:rsidRDefault="002C14E2">
      <w:pPr>
        <w:spacing w:line="276" w:lineRule="auto"/>
        <w:jc w:val="both"/>
        <w:rPr>
          <w:rFonts w:ascii="Arial" w:hAnsi="Arial" w:cs="Arial"/>
        </w:rPr>
      </w:pPr>
    </w:p>
    <w:p w:rsidR="002C14E2" w:rsidRDefault="00EA5651">
      <w:pPr>
        <w:pStyle w:val="Prrafodelista"/>
        <w:numPr>
          <w:ilvl w:val="0"/>
          <w:numId w:val="2"/>
        </w:numPr>
        <w:spacing w:line="276" w:lineRule="auto"/>
        <w:jc w:val="both"/>
        <w:rPr>
          <w:rFonts w:ascii="Arial" w:hAnsi="Arial" w:cs="Arial"/>
        </w:rPr>
      </w:pPr>
      <w:r>
        <w:rPr>
          <w:rFonts w:ascii="Arial" w:hAnsi="Arial" w:cs="Arial"/>
        </w:rPr>
        <w:t>La fuente y el archivo donde se encuentra la información;</w:t>
      </w:r>
    </w:p>
    <w:p w:rsidR="002C14E2" w:rsidRDefault="00EA5651">
      <w:pPr>
        <w:pStyle w:val="Prrafodelista"/>
        <w:numPr>
          <w:ilvl w:val="0"/>
          <w:numId w:val="2"/>
        </w:numPr>
        <w:spacing w:line="276" w:lineRule="auto"/>
        <w:jc w:val="both"/>
        <w:rPr>
          <w:rFonts w:ascii="Arial" w:hAnsi="Arial" w:cs="Arial"/>
        </w:rPr>
      </w:pPr>
      <w:r>
        <w:rPr>
          <w:rFonts w:ascii="Arial" w:hAnsi="Arial" w:cs="Arial"/>
        </w:rPr>
        <w:t>La fundamentación y motivación del acuerdo;</w:t>
      </w:r>
    </w:p>
    <w:p w:rsidR="002C14E2" w:rsidRDefault="00EA5651">
      <w:pPr>
        <w:pStyle w:val="Prrafodelista"/>
        <w:numPr>
          <w:ilvl w:val="0"/>
          <w:numId w:val="2"/>
        </w:numPr>
        <w:spacing w:line="276" w:lineRule="auto"/>
        <w:jc w:val="both"/>
        <w:rPr>
          <w:rFonts w:ascii="Arial" w:hAnsi="Arial" w:cs="Arial"/>
        </w:rPr>
      </w:pPr>
      <w:r>
        <w:rPr>
          <w:rFonts w:ascii="Arial" w:hAnsi="Arial" w:cs="Arial"/>
        </w:rPr>
        <w:t xml:space="preserve">El documento, la parte o las partes de los mismos, que se reservan; </w:t>
      </w:r>
    </w:p>
    <w:p w:rsidR="002C14E2" w:rsidRDefault="00EA5651">
      <w:pPr>
        <w:pStyle w:val="Prrafodelista"/>
        <w:numPr>
          <w:ilvl w:val="0"/>
          <w:numId w:val="2"/>
        </w:numPr>
        <w:spacing w:line="276" w:lineRule="auto"/>
        <w:jc w:val="both"/>
        <w:rPr>
          <w:rFonts w:ascii="Arial" w:hAnsi="Arial" w:cs="Arial"/>
        </w:rPr>
      </w:pPr>
      <w:r>
        <w:rPr>
          <w:rFonts w:ascii="Arial" w:hAnsi="Arial" w:cs="Arial"/>
        </w:rPr>
        <w:t xml:space="preserve">El plazo por el que se reserva la información; </w:t>
      </w:r>
    </w:p>
    <w:p w:rsidR="002C14E2" w:rsidRDefault="00EA5651">
      <w:pPr>
        <w:pStyle w:val="Prrafodelista"/>
        <w:numPr>
          <w:ilvl w:val="0"/>
          <w:numId w:val="2"/>
        </w:numPr>
        <w:spacing w:line="276" w:lineRule="auto"/>
        <w:jc w:val="both"/>
        <w:rPr>
          <w:rFonts w:ascii="Arial" w:hAnsi="Arial" w:cs="Arial"/>
        </w:rPr>
      </w:pPr>
      <w:r>
        <w:rPr>
          <w:rFonts w:ascii="Arial" w:hAnsi="Arial" w:cs="Arial"/>
        </w:rPr>
        <w:t>La designación de la autoridad responsable de su protección;</w:t>
      </w:r>
    </w:p>
    <w:p w:rsidR="002C14E2" w:rsidRDefault="00EA5651">
      <w:pPr>
        <w:pStyle w:val="Prrafodelista"/>
        <w:numPr>
          <w:ilvl w:val="0"/>
          <w:numId w:val="2"/>
        </w:numPr>
        <w:spacing w:line="276" w:lineRule="auto"/>
        <w:jc w:val="both"/>
        <w:rPr>
          <w:rFonts w:ascii="Arial" w:hAnsi="Arial" w:cs="Arial"/>
        </w:rPr>
      </w:pPr>
      <w:r>
        <w:rPr>
          <w:rFonts w:ascii="Arial" w:hAnsi="Arial" w:cs="Arial"/>
        </w:rPr>
        <w:t xml:space="preserve">Número de identificación del acuerdo de reserva; </w:t>
      </w:r>
    </w:p>
    <w:p w:rsidR="002C14E2" w:rsidRDefault="00EA5651">
      <w:pPr>
        <w:pStyle w:val="Prrafodelista"/>
        <w:numPr>
          <w:ilvl w:val="0"/>
          <w:numId w:val="2"/>
        </w:numPr>
        <w:spacing w:line="276" w:lineRule="auto"/>
        <w:jc w:val="both"/>
        <w:rPr>
          <w:rFonts w:ascii="Arial" w:hAnsi="Arial" w:cs="Arial"/>
        </w:rPr>
      </w:pPr>
      <w:r>
        <w:rPr>
          <w:rFonts w:ascii="Arial" w:hAnsi="Arial" w:cs="Arial"/>
        </w:rPr>
        <w:t xml:space="preserve">La aplicación de la prueba del daño; </w:t>
      </w:r>
    </w:p>
    <w:p w:rsidR="002C14E2" w:rsidRDefault="00EA5651">
      <w:pPr>
        <w:pStyle w:val="Prrafodelista"/>
        <w:numPr>
          <w:ilvl w:val="0"/>
          <w:numId w:val="2"/>
        </w:numPr>
        <w:spacing w:line="276" w:lineRule="auto"/>
        <w:jc w:val="both"/>
        <w:rPr>
          <w:rFonts w:ascii="Arial" w:hAnsi="Arial" w:cs="Arial"/>
        </w:rPr>
      </w:pPr>
      <w:r>
        <w:rPr>
          <w:rFonts w:ascii="Arial" w:hAnsi="Arial" w:cs="Arial"/>
        </w:rPr>
        <w:t>Fecha del acuerdo de clasificación.</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rPr>
        <w:t>Dichos requisitos se encuentran concatenados a los lineamientos Octavo, Décimo Octavo, Vigésimo Tercero, Vigésimo sexto, Trigésimo primero, Trigésimo segundo, Trigésimo Tercero, y Trigésimo Cuarto de los LGCDIEVP.</w:t>
      </w:r>
    </w:p>
    <w:p w:rsidR="00AB7C42" w:rsidRDefault="00AB7C42">
      <w:pPr>
        <w:spacing w:line="276" w:lineRule="auto"/>
        <w:jc w:val="both"/>
        <w:rPr>
          <w:rFonts w:ascii="Arial" w:hAnsi="Arial" w:cs="Arial"/>
        </w:rPr>
      </w:pPr>
    </w:p>
    <w:p w:rsidR="00AB7C42" w:rsidRDefault="00AB7C42">
      <w:pPr>
        <w:spacing w:line="276" w:lineRule="auto"/>
        <w:jc w:val="both"/>
        <w:rPr>
          <w:rFonts w:ascii="Arial" w:hAnsi="Arial" w:cs="Arial"/>
        </w:rPr>
      </w:pPr>
    </w:p>
    <w:p w:rsidR="002C14E2" w:rsidRDefault="00EA5651">
      <w:pPr>
        <w:spacing w:line="276" w:lineRule="auto"/>
        <w:jc w:val="both"/>
        <w:rPr>
          <w:rFonts w:ascii="Arial" w:hAnsi="Arial" w:cs="Arial"/>
          <w:b/>
        </w:rPr>
      </w:pPr>
      <w:r>
        <w:rPr>
          <w:rFonts w:ascii="Arial" w:hAnsi="Arial" w:cs="Arial"/>
          <w:b/>
        </w:rPr>
        <w:lastRenderedPageBreak/>
        <w:t>TERCERO. Sentido de la resolución.</w:t>
      </w:r>
    </w:p>
    <w:p w:rsidR="002C14E2" w:rsidRDefault="002C14E2">
      <w:pPr>
        <w:spacing w:line="276" w:lineRule="auto"/>
        <w:jc w:val="both"/>
        <w:rPr>
          <w:rFonts w:ascii="Arial" w:hAnsi="Arial" w:cs="Arial"/>
          <w:b/>
        </w:rPr>
      </w:pPr>
    </w:p>
    <w:p w:rsidR="00FC282D" w:rsidRDefault="00FC282D">
      <w:pPr>
        <w:spacing w:line="276" w:lineRule="auto"/>
        <w:jc w:val="both"/>
        <w:rPr>
          <w:rFonts w:ascii="Arial" w:hAnsi="Arial" w:cs="Arial"/>
          <w:b/>
        </w:rPr>
      </w:pPr>
    </w:p>
    <w:p w:rsidR="002C14E2" w:rsidRDefault="00EA5651">
      <w:pPr>
        <w:pStyle w:val="Prrafodelista"/>
        <w:numPr>
          <w:ilvl w:val="0"/>
          <w:numId w:val="3"/>
        </w:numPr>
        <w:spacing w:line="276" w:lineRule="auto"/>
        <w:jc w:val="both"/>
        <w:rPr>
          <w:rFonts w:ascii="Arial" w:hAnsi="Arial" w:cs="Arial"/>
          <w:b/>
        </w:rPr>
      </w:pPr>
      <w:r>
        <w:rPr>
          <w:rFonts w:ascii="Arial" w:hAnsi="Arial" w:cs="Arial"/>
          <w:b/>
        </w:rPr>
        <w:t>Los motivos y razonamientos que sustenten la confirmación o modificación de la prueba de daño.</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b/>
        </w:rPr>
        <w:t>El Contador Público César Isidro Cruz Director General de Administración</w:t>
      </w:r>
      <w:r>
        <w:rPr>
          <w:rFonts w:ascii="Arial" w:hAnsi="Arial" w:cs="Arial"/>
        </w:rPr>
        <w:t>, adminicula las causales de procedencia de la reserva con las justificaciones en la aplicación de la prueba de daño en las tres hipótesis aplicables de acuerdo a la LTAIPSLP, concatena con lo establecido en el lineamiento Trigésimo Tercero de los LGCDIEVP, los que a la letra establecen;</w:t>
      </w:r>
    </w:p>
    <w:p w:rsidR="002C14E2" w:rsidRDefault="002C14E2">
      <w:pPr>
        <w:spacing w:line="276" w:lineRule="auto"/>
        <w:jc w:val="both"/>
        <w:rPr>
          <w:rFonts w:ascii="Arial" w:hAnsi="Arial" w:cs="Arial"/>
        </w:rPr>
      </w:pPr>
    </w:p>
    <w:p w:rsidR="002C14E2" w:rsidRDefault="00EA5651">
      <w:pPr>
        <w:spacing w:line="276" w:lineRule="auto"/>
        <w:ind w:left="567" w:right="616"/>
        <w:jc w:val="both"/>
        <w:rPr>
          <w:rFonts w:ascii="Arial" w:hAnsi="Arial" w:cs="Arial"/>
          <w:i/>
          <w:sz w:val="16"/>
          <w:szCs w:val="16"/>
        </w:rPr>
      </w:pPr>
      <w:r>
        <w:rPr>
          <w:rFonts w:ascii="Arial" w:hAnsi="Arial" w:cs="Arial"/>
          <w:b/>
          <w:i/>
          <w:sz w:val="16"/>
          <w:szCs w:val="16"/>
        </w:rPr>
        <w:t>Artículo 118.</w:t>
      </w:r>
      <w:r>
        <w:rPr>
          <w:rFonts w:ascii="Arial" w:hAnsi="Arial" w:cs="Arial"/>
          <w:i/>
          <w:sz w:val="16"/>
          <w:szCs w:val="16"/>
        </w:rPr>
        <w:t xml:space="preserve"> En la aplicación de la prueba de daño, el sujeto obligado deberá justificar que:</w:t>
      </w:r>
    </w:p>
    <w:p w:rsidR="002C14E2" w:rsidRDefault="002C14E2">
      <w:pPr>
        <w:spacing w:line="276" w:lineRule="auto"/>
        <w:ind w:left="567" w:right="616"/>
        <w:jc w:val="both"/>
        <w:rPr>
          <w:rFonts w:ascii="Arial" w:hAnsi="Arial" w:cs="Arial"/>
          <w:i/>
          <w:sz w:val="16"/>
          <w:szCs w:val="16"/>
        </w:rPr>
      </w:pPr>
    </w:p>
    <w:p w:rsidR="002C14E2" w:rsidRDefault="00EA5651">
      <w:pPr>
        <w:spacing w:line="276" w:lineRule="auto"/>
        <w:ind w:left="567" w:right="616"/>
        <w:jc w:val="both"/>
        <w:rPr>
          <w:rFonts w:ascii="Arial" w:hAnsi="Arial" w:cs="Arial"/>
          <w:i/>
          <w:sz w:val="16"/>
          <w:szCs w:val="16"/>
        </w:rPr>
      </w:pPr>
      <w:r>
        <w:rPr>
          <w:rFonts w:ascii="Arial" w:hAnsi="Arial" w:cs="Arial"/>
          <w:i/>
          <w:sz w:val="16"/>
          <w:szCs w:val="16"/>
        </w:rPr>
        <w:t>I. La divulgación de la información representa un riesgo real, demostrable e identificable de perjuicio significativo al interés público;</w:t>
      </w:r>
    </w:p>
    <w:p w:rsidR="002C14E2" w:rsidRDefault="002C14E2">
      <w:pPr>
        <w:spacing w:line="276" w:lineRule="auto"/>
        <w:ind w:left="567" w:right="616"/>
        <w:jc w:val="both"/>
        <w:rPr>
          <w:rFonts w:ascii="Arial" w:hAnsi="Arial" w:cs="Arial"/>
          <w:i/>
          <w:sz w:val="16"/>
          <w:szCs w:val="16"/>
        </w:rPr>
      </w:pPr>
    </w:p>
    <w:p w:rsidR="002C14E2" w:rsidRDefault="00EA5651">
      <w:pPr>
        <w:spacing w:line="276" w:lineRule="auto"/>
        <w:ind w:left="567" w:right="616"/>
        <w:jc w:val="both"/>
        <w:rPr>
          <w:rFonts w:ascii="Arial" w:hAnsi="Arial" w:cs="Arial"/>
          <w:i/>
          <w:sz w:val="16"/>
          <w:szCs w:val="16"/>
        </w:rPr>
      </w:pPr>
      <w:r>
        <w:rPr>
          <w:rFonts w:ascii="Arial" w:hAnsi="Arial" w:cs="Arial"/>
          <w:i/>
          <w:sz w:val="16"/>
          <w:szCs w:val="16"/>
        </w:rPr>
        <w:t>II. El riesgo de perjuicio que supondría la divulgación supera el interés público general de que se difunda, y</w:t>
      </w:r>
    </w:p>
    <w:p w:rsidR="002C14E2" w:rsidRDefault="002C14E2">
      <w:pPr>
        <w:spacing w:line="276" w:lineRule="auto"/>
        <w:ind w:left="567" w:right="616"/>
        <w:jc w:val="both"/>
        <w:rPr>
          <w:rFonts w:ascii="Arial" w:hAnsi="Arial" w:cs="Arial"/>
          <w:i/>
          <w:sz w:val="16"/>
          <w:szCs w:val="16"/>
        </w:rPr>
      </w:pPr>
    </w:p>
    <w:p w:rsidR="002C14E2" w:rsidRDefault="00EA5651">
      <w:pPr>
        <w:spacing w:line="276" w:lineRule="auto"/>
        <w:ind w:left="567" w:right="616"/>
        <w:jc w:val="both"/>
        <w:rPr>
          <w:rFonts w:ascii="Arial" w:hAnsi="Arial" w:cs="Arial"/>
          <w:i/>
          <w:sz w:val="16"/>
          <w:szCs w:val="16"/>
        </w:rPr>
      </w:pPr>
      <w:r>
        <w:rPr>
          <w:rFonts w:ascii="Arial" w:hAnsi="Arial" w:cs="Arial"/>
          <w:i/>
          <w:sz w:val="16"/>
          <w:szCs w:val="16"/>
        </w:rPr>
        <w:t>III. La limitación se adecua al principio de proporcionalidad y representa el medio menos restrictivo disponible para evitar el perjuicio.</w:t>
      </w:r>
    </w:p>
    <w:p w:rsidR="002C14E2" w:rsidRDefault="002C14E2">
      <w:pPr>
        <w:spacing w:line="276" w:lineRule="auto"/>
        <w:ind w:left="567" w:right="616"/>
        <w:jc w:val="both"/>
        <w:rPr>
          <w:rFonts w:ascii="Arial" w:hAnsi="Arial" w:cs="Arial"/>
          <w:i/>
          <w:sz w:val="16"/>
          <w:szCs w:val="16"/>
        </w:rPr>
      </w:pPr>
    </w:p>
    <w:p w:rsidR="002C14E2" w:rsidRDefault="00EA5651">
      <w:pPr>
        <w:spacing w:line="276" w:lineRule="auto"/>
        <w:ind w:left="567" w:right="616"/>
        <w:jc w:val="both"/>
        <w:rPr>
          <w:rFonts w:ascii="Arial" w:hAnsi="Arial" w:cs="Arial"/>
          <w:sz w:val="16"/>
          <w:szCs w:val="16"/>
        </w:rPr>
      </w:pPr>
      <w:r>
        <w:rPr>
          <w:rFonts w:ascii="Arial" w:hAnsi="Arial" w:cs="Arial"/>
          <w:b/>
          <w:sz w:val="16"/>
          <w:szCs w:val="16"/>
        </w:rPr>
        <w:t>Trigésimo tercero</w:t>
      </w:r>
      <w:r>
        <w:rPr>
          <w:rFonts w:ascii="Arial" w:hAnsi="Arial" w:cs="Arial"/>
          <w:sz w:val="16"/>
          <w:szCs w:val="16"/>
        </w:rPr>
        <w:t>. Para la aplicación de la prueba de daño a la que hace referencia el artículo 104 de la Ley General, los sujetos obligados atenderán lo siguiente:</w:t>
      </w:r>
    </w:p>
    <w:p w:rsidR="002C14E2" w:rsidRDefault="002C14E2">
      <w:pPr>
        <w:spacing w:line="276" w:lineRule="auto"/>
        <w:ind w:left="567"/>
        <w:jc w:val="both"/>
        <w:rPr>
          <w:rFonts w:ascii="Arial" w:hAnsi="Arial" w:cs="Arial"/>
          <w:sz w:val="16"/>
          <w:szCs w:val="16"/>
        </w:rPr>
      </w:pPr>
    </w:p>
    <w:p w:rsidR="002C14E2" w:rsidRDefault="00EA5651">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2C14E2" w:rsidRDefault="002C14E2">
      <w:pPr>
        <w:spacing w:line="276" w:lineRule="auto"/>
        <w:ind w:left="567" w:right="616"/>
        <w:jc w:val="both"/>
        <w:rPr>
          <w:rFonts w:ascii="Arial" w:hAnsi="Arial" w:cs="Arial"/>
          <w:i/>
          <w:sz w:val="16"/>
          <w:szCs w:val="16"/>
        </w:rPr>
      </w:pPr>
    </w:p>
    <w:p w:rsidR="002C14E2" w:rsidRDefault="00EA5651">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2C14E2" w:rsidRDefault="002C14E2">
      <w:pPr>
        <w:spacing w:line="276" w:lineRule="auto"/>
        <w:ind w:left="567" w:right="616"/>
        <w:jc w:val="both"/>
        <w:rPr>
          <w:rFonts w:ascii="Arial" w:hAnsi="Arial" w:cs="Arial"/>
          <w:i/>
          <w:sz w:val="16"/>
          <w:szCs w:val="16"/>
        </w:rPr>
      </w:pPr>
    </w:p>
    <w:p w:rsidR="002C14E2" w:rsidRDefault="00EA5651">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2C14E2" w:rsidRDefault="002C14E2">
      <w:pPr>
        <w:spacing w:line="276" w:lineRule="auto"/>
        <w:ind w:left="567" w:right="616"/>
        <w:jc w:val="both"/>
        <w:rPr>
          <w:rFonts w:ascii="Arial" w:hAnsi="Arial" w:cs="Arial"/>
          <w:i/>
          <w:sz w:val="16"/>
          <w:szCs w:val="16"/>
        </w:rPr>
      </w:pPr>
    </w:p>
    <w:p w:rsidR="002C14E2" w:rsidRDefault="00EA5651">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2C14E2" w:rsidRDefault="002C14E2">
      <w:pPr>
        <w:spacing w:line="276" w:lineRule="auto"/>
        <w:ind w:left="567" w:right="616"/>
        <w:jc w:val="both"/>
        <w:rPr>
          <w:rFonts w:ascii="Arial" w:hAnsi="Arial" w:cs="Arial"/>
          <w:i/>
          <w:sz w:val="16"/>
          <w:szCs w:val="16"/>
        </w:rPr>
      </w:pPr>
    </w:p>
    <w:p w:rsidR="002C14E2" w:rsidRDefault="00EA5651">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2C14E2" w:rsidRDefault="002C14E2">
      <w:pPr>
        <w:spacing w:line="276" w:lineRule="auto"/>
        <w:ind w:left="567" w:right="616"/>
        <w:jc w:val="both"/>
        <w:rPr>
          <w:rFonts w:ascii="Arial" w:hAnsi="Arial" w:cs="Arial"/>
          <w:i/>
          <w:sz w:val="16"/>
          <w:szCs w:val="16"/>
        </w:rPr>
      </w:pPr>
    </w:p>
    <w:p w:rsidR="002C14E2" w:rsidRDefault="00EA5651">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2C14E2" w:rsidRDefault="002C14E2">
      <w:pPr>
        <w:pStyle w:val="Prrafodelista"/>
        <w:spacing w:line="276" w:lineRule="auto"/>
        <w:ind w:left="567" w:right="616"/>
        <w:jc w:val="both"/>
        <w:rPr>
          <w:rFonts w:ascii="Arial" w:hAnsi="Arial" w:cs="Arial"/>
          <w:i/>
          <w:sz w:val="16"/>
          <w:szCs w:val="16"/>
        </w:rPr>
      </w:pPr>
    </w:p>
    <w:p w:rsidR="002C14E2" w:rsidRDefault="002C14E2">
      <w:pPr>
        <w:pStyle w:val="Prrafodelista"/>
        <w:spacing w:line="276" w:lineRule="auto"/>
        <w:ind w:left="567" w:right="616"/>
        <w:jc w:val="both"/>
        <w:rPr>
          <w:rFonts w:ascii="Arial" w:hAnsi="Arial" w:cs="Arial"/>
          <w:i/>
          <w:sz w:val="16"/>
          <w:szCs w:val="16"/>
        </w:rPr>
      </w:pPr>
    </w:p>
    <w:p w:rsidR="006E4BBD" w:rsidRPr="00850B13" w:rsidRDefault="00EA5651" w:rsidP="006E4BBD">
      <w:pPr>
        <w:autoSpaceDE w:val="0"/>
        <w:autoSpaceDN w:val="0"/>
        <w:adjustRightInd w:val="0"/>
        <w:spacing w:line="276" w:lineRule="auto"/>
        <w:jc w:val="both"/>
        <w:rPr>
          <w:rFonts w:ascii="Arial" w:eastAsia="Arial" w:hAnsi="Arial" w:cs="Arial"/>
        </w:rPr>
      </w:pPr>
      <w:r>
        <w:rPr>
          <w:rFonts w:ascii="Arial" w:hAnsi="Arial" w:cs="Arial"/>
        </w:rPr>
        <w:t xml:space="preserve">Por lo que se confirma la prueba de daño que realiza  </w:t>
      </w:r>
      <w:r>
        <w:rPr>
          <w:rFonts w:ascii="Arial" w:hAnsi="Arial" w:cs="Arial"/>
          <w:b/>
        </w:rPr>
        <w:t>El Contador Público César Isidro Cruz Director General de Administración</w:t>
      </w:r>
      <w:r>
        <w:rPr>
          <w:rFonts w:ascii="Arial" w:hAnsi="Arial" w:cs="Arial"/>
        </w:rPr>
        <w:t>, debido a que es claro y preciso al citar que resulta aplicable lo establecido en el artículo 129 fracciones I y  XII, de la LTAIPSLP, asimismo los  numerales  Décimo Octavo y Trigésimo Primero de los Lineamientos Generales en Materia de Clasificación y Desclasificación de la Información, así como la Elaboración de Versiones Públicas, y  de la siguiente normatividad aplicable a</w:t>
      </w:r>
      <w:r>
        <w:rPr>
          <w:rFonts w:ascii="Arial" w:eastAsia="Times New Roman" w:hAnsi="Arial" w:cs="Arial"/>
        </w:rPr>
        <w:t>rtículos 93, 93,</w:t>
      </w:r>
      <w:r>
        <w:rPr>
          <w:rFonts w:ascii="Arial" w:hAnsi="Arial" w:cs="Arial"/>
        </w:rPr>
        <w:t xml:space="preserve"> 97 y  98 </w:t>
      </w:r>
      <w:r>
        <w:rPr>
          <w:rFonts w:ascii="Arial" w:eastAsia="Times New Roman" w:hAnsi="Arial" w:cs="Arial"/>
        </w:rPr>
        <w:t xml:space="preserve"> bis, de la Ley del Sistema de Seguridad Pública del Estado, </w:t>
      </w:r>
      <w:r>
        <w:rPr>
          <w:rFonts w:ascii="Arial" w:eastAsia="Arial" w:hAnsi="Arial" w:cs="Arial"/>
        </w:rPr>
        <w:t xml:space="preserve">arábigo 218 del Código Nacional de Procedimientos Penales </w:t>
      </w:r>
      <w:r>
        <w:rPr>
          <w:rFonts w:ascii="Arial" w:eastAsia="Times New Roman" w:hAnsi="Arial" w:cs="Arial"/>
        </w:rPr>
        <w:t xml:space="preserve">de San Luis, así  como la </w:t>
      </w:r>
      <w:r>
        <w:rPr>
          <w:rFonts w:ascii="Arial" w:hAnsi="Arial" w:cs="Arial"/>
        </w:rPr>
        <w:t xml:space="preserve">Resolución de la Suprema Corte de Justicia de la Nación emitida el 12 de mayo 2022 dentro de la Controversia Constitucional Número 325/2019. </w:t>
      </w:r>
      <w:r>
        <w:rPr>
          <w:rFonts w:ascii="Arial" w:eastAsia="Arial" w:hAnsi="Arial" w:cs="Arial"/>
        </w:rPr>
        <w:t>De lo anterior, se actualiza un particular daño presente, probable y específico dada la situación de seguridad que actualmente vive el país respecto de la lucha contra la delincuencia organizada, la gravedad del tipo de delito que comenten y la permanencia que ha tenido en los últimos años. Los grupos delincuenciales podrían extorsionar o amenazar a la Institución para la obtención de datos técnicos o sensibles que les permita evadir las acciones implementadas por la Fiscalía General del Estado en su contra,</w:t>
      </w:r>
      <w:r>
        <w:rPr>
          <w:rFonts w:ascii="Arial" w:eastAsia="Arial" w:hAnsi="Arial" w:cs="Arial"/>
          <w:color w:val="FF0000"/>
        </w:rPr>
        <w:t xml:space="preserve"> </w:t>
      </w:r>
      <w:r>
        <w:rPr>
          <w:rFonts w:ascii="Arial" w:eastAsia="Arial" w:hAnsi="Arial" w:cs="Arial"/>
        </w:rPr>
        <w:t>r</w:t>
      </w:r>
      <w:r>
        <w:rPr>
          <w:rFonts w:ascii="Arial" w:hAnsi="Arial" w:cs="Arial"/>
        </w:rPr>
        <w:t xml:space="preserve">esultando como motivo, que el área </w:t>
      </w:r>
      <w:r>
        <w:rPr>
          <w:rFonts w:ascii="Arial" w:hAnsi="Arial" w:cs="Arial"/>
          <w:i/>
        </w:rPr>
        <w:t>funda y motiva su aplicación basándose en las hipótesis señalados tanto por la LTAIPSLP, y por los LGCDIEVP,</w:t>
      </w:r>
      <w:r>
        <w:rPr>
          <w:rFonts w:ascii="Arial" w:hAnsi="Arial" w:cs="Arial"/>
        </w:rPr>
        <w:t xml:space="preserve"> </w:t>
      </w:r>
      <w:r>
        <w:rPr>
          <w:rFonts w:ascii="Arial" w:hAnsi="Arial" w:cs="Arial"/>
          <w:i/>
        </w:rPr>
        <w:t>y como razonamientos</w:t>
      </w:r>
      <w:r>
        <w:rPr>
          <w:rFonts w:ascii="Arial" w:hAnsi="Arial" w:cs="Arial"/>
        </w:rPr>
        <w:t xml:space="preserve"> se tiene que; como lo señala </w:t>
      </w:r>
      <w:r>
        <w:rPr>
          <w:rFonts w:ascii="Arial" w:eastAsia="Times New Roman" w:hAnsi="Arial" w:cs="Arial"/>
        </w:rPr>
        <w:t xml:space="preserve"> </w:t>
      </w:r>
      <w:r>
        <w:rPr>
          <w:rFonts w:ascii="Arial" w:hAnsi="Arial" w:cs="Arial"/>
          <w:b/>
        </w:rPr>
        <w:t>el Contador Público César Isidro Cruz Director General de Administración</w:t>
      </w:r>
      <w:r>
        <w:rPr>
          <w:rFonts w:ascii="Arial" w:hAnsi="Arial" w:cs="Arial"/>
        </w:rPr>
        <w:t xml:space="preserve">,  </w:t>
      </w:r>
      <w:r>
        <w:rPr>
          <w:rFonts w:ascii="Arial" w:eastAsia="Times New Roman" w:hAnsi="Arial" w:cs="Arial"/>
        </w:rPr>
        <w:t>que</w:t>
      </w:r>
      <w:r>
        <w:rPr>
          <w:rFonts w:ascii="Arial" w:hAnsi="Arial" w:cs="Arial"/>
        </w:rPr>
        <w:t xml:space="preserve"> el dar </w:t>
      </w:r>
      <w:r>
        <w:rPr>
          <w:rFonts w:ascii="Arial" w:eastAsia="Arial" w:hAnsi="Arial" w:cs="Arial"/>
        </w:rPr>
        <w:t xml:space="preserve">a conocer </w:t>
      </w:r>
      <w:r>
        <w:rPr>
          <w:rFonts w:ascii="Arial" w:hAnsi="Arial" w:cs="Arial"/>
          <w:i/>
        </w:rPr>
        <w:t>la información pública solicitada sobre</w:t>
      </w:r>
      <w:r>
        <w:rPr>
          <w:rFonts w:ascii="Arial" w:hAnsi="Arial" w:cs="Arial"/>
        </w:rPr>
        <w:t>:</w:t>
      </w:r>
      <w:r>
        <w:t xml:space="preserve">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F75FB9" w:rsidRPr="00F75FB9">
        <w:rPr>
          <w:rFonts w:ascii="Arial" w:hAnsi="Arial" w:cs="Arial"/>
          <w:b/>
          <w:i/>
          <w:szCs w:val="22"/>
          <w:u w:val="single"/>
        </w:rPr>
        <w:t xml:space="preserve"> de noviembre del año 2020 al 3</w:t>
      </w:r>
      <w:r w:rsidR="002132D1">
        <w:rPr>
          <w:rFonts w:ascii="Arial" w:hAnsi="Arial" w:cs="Arial"/>
          <w:b/>
          <w:i/>
          <w:szCs w:val="22"/>
          <w:u w:val="single"/>
        </w:rPr>
        <w:t>1</w:t>
      </w:r>
      <w:r w:rsidR="00F75FB9" w:rsidRPr="00F75FB9">
        <w:rPr>
          <w:rFonts w:ascii="Arial" w:hAnsi="Arial" w:cs="Arial"/>
          <w:b/>
          <w:i/>
          <w:szCs w:val="22"/>
          <w:u w:val="single"/>
        </w:rPr>
        <w:t xml:space="preserve"> de </w:t>
      </w:r>
      <w:r w:rsidR="002132D1">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sidR="006E4BBD" w:rsidRPr="00850B13">
        <w:rPr>
          <w:rFonts w:ascii="Arial" w:hAnsi="Arial" w:cs="Arial"/>
        </w:rPr>
        <w:t>correspondiente a esta Fiscalía General del Estado</w:t>
      </w:r>
      <w:r w:rsidR="006E4BBD" w:rsidRPr="00850B13">
        <w:rPr>
          <w:rFonts w:ascii="Arial" w:eastAsia="Arial" w:hAnsi="Arial" w:cs="Arial"/>
        </w:rPr>
        <w:t xml:space="preserve">, representa un riesgo real, ya que se daría a conocer la </w:t>
      </w:r>
      <w:r w:rsidR="006E4BBD" w:rsidRPr="00850B13">
        <w:rPr>
          <w:rFonts w:ascii="Arial" w:eastAsia="Arial" w:hAnsi="Arial" w:cs="Arial"/>
          <w:b/>
        </w:rPr>
        <w:t>capacidad de reacción de la Institución</w:t>
      </w:r>
      <w:r w:rsidR="006E4BBD" w:rsidRPr="00850B13">
        <w:rPr>
          <w:rFonts w:ascii="Arial" w:eastAsia="Arial" w:hAnsi="Arial" w:cs="Arial"/>
        </w:rPr>
        <w:t xml:space="preserve"> ante la delincuencia organizada, lo que queda demostrado ya que se estará especificando la </w:t>
      </w:r>
      <w:r w:rsidR="006E4BBD" w:rsidRPr="00850B13">
        <w:rPr>
          <w:rFonts w:ascii="Arial" w:eastAsia="Arial" w:hAnsi="Arial" w:cs="Arial"/>
          <w:b/>
        </w:rPr>
        <w:t>cantidad de personal</w:t>
      </w:r>
      <w:r w:rsidR="006E4BBD" w:rsidRPr="00850B13">
        <w:rPr>
          <w:rFonts w:ascii="Arial" w:eastAsia="Arial" w:hAnsi="Arial" w:cs="Arial"/>
        </w:rPr>
        <w:t xml:space="preserve">, como Ministerios Públicos, auxiliares o secretarias con los que cuenta la </w:t>
      </w:r>
      <w:r w:rsidR="006E4BBD">
        <w:rPr>
          <w:rFonts w:ascii="Arial" w:eastAsia="Arial" w:hAnsi="Arial" w:cs="Arial"/>
        </w:rPr>
        <w:t>Institución</w:t>
      </w:r>
      <w:r w:rsidR="006E4BBD" w:rsidRPr="00850B13">
        <w:rPr>
          <w:rFonts w:ascii="Arial" w:eastAsia="Arial" w:hAnsi="Arial" w:cs="Arial"/>
        </w:rPr>
        <w:t xml:space="preserve"> en la Unidad de Litigación,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w:t>
      </w:r>
      <w:r w:rsidR="006E4BBD" w:rsidRPr="00850B13">
        <w:rPr>
          <w:rFonts w:ascii="Arial" w:eastAsia="Arial" w:hAnsi="Arial" w:cs="Arial"/>
        </w:rPr>
        <w:lastRenderedPageBreak/>
        <w:t xml:space="preserve">les persigue, siendo esta una de las causales de actualización de la hipótesis contemplada en el numeral Décimo Octavo de los </w:t>
      </w:r>
      <w:r w:rsidR="006E4BBD">
        <w:rPr>
          <w:rFonts w:ascii="Arial" w:hAnsi="Arial" w:cs="Arial"/>
        </w:rPr>
        <w:t>LGCDIEVP</w:t>
      </w:r>
      <w:r w:rsidR="006E4BBD" w:rsidRPr="00850B13">
        <w:rPr>
          <w:rFonts w:ascii="Arial" w:eastAsia="Arial" w:hAnsi="Arial" w:cs="Arial"/>
        </w:rPr>
        <w:t xml:space="preserve">. </w:t>
      </w:r>
    </w:p>
    <w:p w:rsidR="006E4BBD" w:rsidRPr="00850B13" w:rsidRDefault="006E4BBD" w:rsidP="006E4BBD">
      <w:pPr>
        <w:spacing w:line="276" w:lineRule="auto"/>
        <w:ind w:firstLine="708"/>
        <w:jc w:val="both"/>
        <w:rPr>
          <w:rFonts w:ascii="Arial" w:eastAsia="Arial" w:hAnsi="Arial" w:cs="Arial"/>
        </w:rPr>
      </w:pPr>
    </w:p>
    <w:p w:rsidR="002C14E2" w:rsidRDefault="00EA5651" w:rsidP="00EA5860">
      <w:pPr>
        <w:spacing w:line="276" w:lineRule="auto"/>
        <w:jc w:val="both"/>
        <w:rPr>
          <w:rFonts w:ascii="Arial" w:hAnsi="Arial" w:cs="Arial"/>
        </w:rPr>
      </w:pPr>
      <w:r>
        <w:rPr>
          <w:rFonts w:ascii="Arial" w:hAnsi="Arial" w:cs="Arial"/>
        </w:rPr>
        <w:t xml:space="preserve">Surte de observancia el señalar que el comprobante de ingresos identificado como </w:t>
      </w:r>
      <w:r>
        <w:rPr>
          <w:rFonts w:ascii="Arial" w:hAnsi="Arial" w:cs="Arial"/>
          <w:i/>
        </w:rPr>
        <w:t>“recibo de nómina”</w:t>
      </w:r>
      <w:r>
        <w:rPr>
          <w:rFonts w:ascii="Arial" w:hAnsi="Arial" w:cs="Arial"/>
        </w:rPr>
        <w:t xml:space="preserve">, en el ejercicio de la función pública, se encuentra ligado a la rendición de cuentas que se pudiera traducir como </w:t>
      </w:r>
      <w:r>
        <w:rPr>
          <w:rFonts w:ascii="Arial" w:hAnsi="Arial" w:cs="Arial"/>
          <w:i/>
        </w:rPr>
        <w:t>“la obligación de todos los servidores públicos de dar cuentas, explicar y justificar sus actos al público, que es el último depositario de la soberanía en una democracia”</w:t>
      </w:r>
      <w:r>
        <w:rPr>
          <w:rStyle w:val="Refdenotaalpie"/>
          <w:rFonts w:ascii="Arial" w:hAnsi="Arial" w:cs="Arial"/>
        </w:rPr>
        <w:footnoteReference w:id="1"/>
      </w:r>
      <w:r>
        <w:rPr>
          <w:rFonts w:ascii="Arial" w:hAnsi="Arial" w:cs="Arial"/>
        </w:rPr>
        <w:t xml:space="preserve">. </w:t>
      </w:r>
    </w:p>
    <w:p w:rsidR="002C14E2" w:rsidRDefault="002C14E2">
      <w:pPr>
        <w:ind w:firstLine="708"/>
        <w:jc w:val="both"/>
        <w:rPr>
          <w:rFonts w:ascii="Arial" w:hAnsi="Arial" w:cs="Arial"/>
        </w:rPr>
      </w:pPr>
    </w:p>
    <w:p w:rsidR="006E4BBD" w:rsidRPr="00850B13" w:rsidRDefault="006E4BBD" w:rsidP="006E4BBD">
      <w:pPr>
        <w:spacing w:line="276" w:lineRule="auto"/>
        <w:jc w:val="both"/>
        <w:rPr>
          <w:rFonts w:ascii="Arial" w:hAnsi="Arial" w:cs="Arial"/>
        </w:rPr>
      </w:pPr>
      <w:r w:rsidRPr="00850B13">
        <w:rPr>
          <w:rFonts w:ascii="Arial" w:hAnsi="Arial" w:cs="Arial"/>
        </w:rPr>
        <w:t>Dicho entonces que “control” y “fiscalización” son términos que se usan como sinónimos de rendición de cuentas, a pesar de no serlo. Control y fiscalización son mecanismos para supervisar los actos de gobierno, pero no siempre implican la obligación de los gobernantes para informar de manera periódica sobre sus decisiones y acciones. Por ello, el control y la fiscalización son mecanismos de un sistema global de rendición de cuentas, pero éste abarca además otros instrumentos como la transparencia y los informes periódicos que los gobernantes deben rendir a los ciudadanos.</w:t>
      </w:r>
    </w:p>
    <w:p w:rsidR="006E4BBD" w:rsidRDefault="006E4BBD" w:rsidP="006E4BBD">
      <w:pPr>
        <w:spacing w:line="276" w:lineRule="auto"/>
        <w:jc w:val="both"/>
        <w:rPr>
          <w:rFonts w:ascii="Arial" w:hAnsi="Arial" w:cs="Arial"/>
        </w:rPr>
      </w:pPr>
    </w:p>
    <w:p w:rsidR="00D63C04" w:rsidRPr="00850B13" w:rsidRDefault="00D63C04" w:rsidP="00D63C04">
      <w:pPr>
        <w:spacing w:line="276" w:lineRule="auto"/>
        <w:jc w:val="both"/>
        <w:rPr>
          <w:rFonts w:ascii="Arial" w:hAnsi="Arial" w:cs="Arial"/>
        </w:rPr>
      </w:pPr>
      <w:r w:rsidRPr="00850B13">
        <w:rPr>
          <w:rFonts w:ascii="Arial" w:hAnsi="Arial" w:cs="Arial"/>
        </w:rPr>
        <w:t>Finalmente, el concepto de “transparencia” también se usa en ocasiones como sinónimo de rendición de cuentas. La transparencia es una característica que abre la información de las organizaciones políticas y burocráticas al escrutinio público mediante sistemas de clasificación y difusión que reducen los costos de acceso a la información del gobierno. Sin embargo, la transparencia no implica un acto de rendir cuentas a un destinatario específico, sino la práctica de colocar la información en la “vitrina pública” para que los interesados puedan revisarla, analizarla y, en su caso, usarla como mecanismo para sancionar en caso de que haya anomalías en su interior. Al igual que en el caso de la fiscalización, la transparencia es sólo un instrumento de un sistema global de rendición de cuentas.</w:t>
      </w:r>
    </w:p>
    <w:p w:rsidR="006E4BBD" w:rsidRDefault="006E4BBD" w:rsidP="006E4BBD">
      <w:pPr>
        <w:spacing w:line="276" w:lineRule="auto"/>
        <w:ind w:firstLine="708"/>
        <w:jc w:val="both"/>
        <w:rPr>
          <w:rFonts w:ascii="Arial" w:eastAsia="Arial" w:hAnsi="Arial" w:cs="Arial"/>
        </w:rPr>
      </w:pPr>
    </w:p>
    <w:p w:rsidR="002C14E2" w:rsidRDefault="00EA5651" w:rsidP="00CB25DB">
      <w:pPr>
        <w:pStyle w:val="Default"/>
      </w:pPr>
      <w:r>
        <w:t xml:space="preserve">Dicho lo anterior, para el caso en particular la difusión de: </w:t>
      </w:r>
      <w:r w:rsidR="00C45A64" w:rsidRPr="00F75FB9">
        <w:t xml:space="preserve">“Los recibos de nómina </w:t>
      </w:r>
      <w:r w:rsidR="00C45A64" w:rsidRPr="00F75FB9">
        <w:rPr>
          <w:color w:val="231F20"/>
        </w:rPr>
        <w:t>por lo que corresponde a</w:t>
      </w:r>
      <w:r w:rsidR="00C45A64" w:rsidRPr="00F75FB9">
        <w:t xml:space="preserve">l personal </w:t>
      </w:r>
      <w:r w:rsidR="00C45A64" w:rsidRPr="00F75FB9">
        <w:rPr>
          <w:color w:val="231F20"/>
        </w:rPr>
        <w:t xml:space="preserve">con nivel tabular 02 al 11 (Seguridad y Custodia), que no realicen funciones directivas y </w:t>
      </w:r>
      <w:r w:rsidR="00C45A64" w:rsidRPr="00F75FB9">
        <w:t xml:space="preserve">que se encuentren adscrito a los Órganos Tácticos Operativos de la Fiscalía General del Estado como lo son Vicefiscalías, Fiscalías Especializadas y Dirección General de Métodos de Investigación, y de los Órganos Estratégicos: adscritos a la Dirección </w:t>
      </w:r>
      <w:r w:rsidR="00C45A64" w:rsidRPr="00F75FB9">
        <w:lastRenderedPageBreak/>
        <w:t>General de Política de Persecución Penal y Análisis Estratégico, Visitaduría General y la Dirección General de Aná</w:t>
      </w:r>
      <w:r w:rsidR="00B8775F">
        <w:t>lisis Criminal del periodo del 15</w:t>
      </w:r>
      <w:r w:rsidR="00C45A64" w:rsidRPr="00F75FB9">
        <w:t xml:space="preserve"> de noviembre del año 2020 al 3</w:t>
      </w:r>
      <w:r w:rsidR="0044501D">
        <w:t>1</w:t>
      </w:r>
      <w:r w:rsidR="00C45A64" w:rsidRPr="00F75FB9">
        <w:t xml:space="preserve"> de </w:t>
      </w:r>
      <w:r w:rsidR="0044501D">
        <w:t>julio</w:t>
      </w:r>
      <w:r w:rsidR="00C45A64" w:rsidRPr="00F75FB9">
        <w:t xml:space="preserve"> del año 2024”</w:t>
      </w:r>
      <w:r w:rsidR="00F75FB9" w:rsidRPr="00F75FB9">
        <w:t>,</w:t>
      </w:r>
      <w:r w:rsidR="00F75FB9" w:rsidRPr="0036068C">
        <w:t xml:space="preserve"> </w:t>
      </w:r>
      <w:r w:rsidR="00F75FB9">
        <w:t xml:space="preserve"> </w:t>
      </w:r>
      <w:r>
        <w:t>afectarían los programas de inteligencia y contra inteligencia con los que cuenta la Fiscalía del Estado, dejando en un grave estado de vulnerabilidad a la corporación para cumplir con sus obligaciones constitucionales.</w:t>
      </w:r>
    </w:p>
    <w:p w:rsidR="002C14E2" w:rsidRPr="00D63C04" w:rsidRDefault="002C14E2" w:rsidP="00CB25DB">
      <w:pPr>
        <w:pStyle w:val="Default"/>
      </w:pPr>
    </w:p>
    <w:p w:rsidR="002C14E2" w:rsidRPr="00CB25DB" w:rsidRDefault="00EA5651" w:rsidP="00CB25DB">
      <w:pPr>
        <w:pStyle w:val="Default"/>
      </w:pPr>
      <w:r w:rsidRPr="00CB25DB">
        <w:t>Dado que los integrantes del Sistema Nacional de Seguridad Publica pertenecientes a este Órgano Autónomo, son los que colaboran o ejercen funciones de alto riesgo relacionados con la seguridad publica en aspectos tales como la planeación, dirección, control, evaluación o ejecución de programas, directrices, metodologías y modelos, así como con la instrumentación de acciones estratégicas en contra de los generadores de delitos, motivo por el cual se estima necesario limitar diversos rubros de la información pública para garantizar aspectos tales como el honor, prestigio, dignidad, buena fama, intimidad personal, legitima secrecía a sus derechos, interpretación o utilización indebida en perjuicio de persona alguna, pues el progreso desarrollo de las técnicas de recolección, almacenamiento y acceso a datos, expone potencialmente  la privacidad de los sujetos tanto activos como pasivos de los expedientes de investigación que los servidores públicos de esta Fiscalía General del Estado en uso de sus funciones atienden y resuelven, así como los auxiliares estratégicos que intervienen para alcanzar dicho objetivo. Dando con ello, una parte porcentual de la capacidad de reacción en áreas específicas.</w:t>
      </w:r>
    </w:p>
    <w:p w:rsidR="002C14E2" w:rsidRDefault="00EA5651" w:rsidP="00CB25DB">
      <w:pPr>
        <w:pStyle w:val="Default"/>
      </w:pPr>
      <w:r>
        <w:t xml:space="preserve"> </w:t>
      </w:r>
    </w:p>
    <w:p w:rsidR="002C14E2" w:rsidRDefault="00EA5651" w:rsidP="00EA5860">
      <w:pPr>
        <w:autoSpaceDE w:val="0"/>
        <w:autoSpaceDN w:val="0"/>
        <w:adjustRightInd w:val="0"/>
        <w:spacing w:line="276" w:lineRule="auto"/>
        <w:jc w:val="both"/>
        <w:rPr>
          <w:rFonts w:ascii="Arial" w:hAnsi="Arial" w:cs="Arial"/>
          <w:b/>
          <w:u w:val="single"/>
        </w:rPr>
      </w:pPr>
      <w:r>
        <w:rPr>
          <w:rFonts w:ascii="Arial" w:hAnsi="Arial" w:cs="Arial"/>
        </w:rPr>
        <w:t xml:space="preserve">No pasando desapercibido, que la entrega de la información relativa a: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 xml:space="preserve">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periodo del </w:t>
      </w:r>
      <w:r w:rsidR="00B8775F">
        <w:rPr>
          <w:rFonts w:ascii="Arial" w:hAnsi="Arial" w:cs="Arial"/>
          <w:b/>
          <w:i/>
          <w:szCs w:val="22"/>
          <w:u w:val="single"/>
        </w:rPr>
        <w:t>15</w:t>
      </w:r>
      <w:r w:rsidR="002132D1">
        <w:rPr>
          <w:rFonts w:ascii="Arial" w:hAnsi="Arial" w:cs="Arial"/>
          <w:b/>
          <w:i/>
          <w:szCs w:val="22"/>
          <w:u w:val="single"/>
        </w:rPr>
        <w:t xml:space="preserve"> de noviembre del año 2020 al 31</w:t>
      </w:r>
      <w:r w:rsidR="00F75FB9" w:rsidRPr="00F75FB9">
        <w:rPr>
          <w:rFonts w:ascii="Arial" w:hAnsi="Arial" w:cs="Arial"/>
          <w:b/>
          <w:i/>
          <w:szCs w:val="22"/>
          <w:u w:val="single"/>
        </w:rPr>
        <w:t xml:space="preserve"> de </w:t>
      </w:r>
      <w:r w:rsidR="002132D1">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Pr>
          <w:rFonts w:ascii="Arial" w:hAnsi="Arial" w:cs="Arial"/>
        </w:rPr>
        <w:t xml:space="preserve">y la información que se derive de esta traería como consecuencias de la individualización de casos y los potenciales riesgos que esto implica son sumamente relevantes, ya que de materializarse pueden propiciar la revictimización, la comisión de nuevos delitos, afectar los flujos de información y entorpecer la investigación (y otros proyectos similares, que son un </w:t>
      </w:r>
      <w:r w:rsidR="00CB25DB">
        <w:rPr>
          <w:rFonts w:ascii="Arial" w:hAnsi="Arial" w:cs="Arial"/>
        </w:rPr>
        <w:t xml:space="preserve">insumo </w:t>
      </w:r>
      <w:r>
        <w:rPr>
          <w:rFonts w:ascii="Arial" w:hAnsi="Arial" w:cs="Arial"/>
        </w:rPr>
        <w:t xml:space="preserve"> importante para la investigación criminal), afectar los procesos de procuración de justicia, </w:t>
      </w:r>
      <w:r>
        <w:rPr>
          <w:rFonts w:ascii="Arial" w:hAnsi="Arial" w:cs="Arial"/>
          <w:b/>
          <w:u w:val="single"/>
        </w:rPr>
        <w:t xml:space="preserve">incrementar la desconfianza de la población en las autoridades </w:t>
      </w:r>
      <w:r>
        <w:rPr>
          <w:rFonts w:ascii="Arial" w:hAnsi="Arial" w:cs="Arial"/>
          <w:b/>
          <w:u w:val="single"/>
        </w:rPr>
        <w:lastRenderedPageBreak/>
        <w:t>de procuración de justicia y generar incentivos negativos para la denuncia de futuros delitos.</w:t>
      </w:r>
    </w:p>
    <w:p w:rsidR="002C14E2" w:rsidRDefault="002C14E2" w:rsidP="00EA5860">
      <w:pPr>
        <w:autoSpaceDE w:val="0"/>
        <w:autoSpaceDN w:val="0"/>
        <w:adjustRightInd w:val="0"/>
        <w:spacing w:line="276" w:lineRule="auto"/>
        <w:ind w:firstLine="708"/>
        <w:jc w:val="both"/>
        <w:rPr>
          <w:rFonts w:ascii="Arial" w:hAnsi="Arial" w:cs="Arial"/>
        </w:rPr>
      </w:pPr>
    </w:p>
    <w:p w:rsidR="002C14E2" w:rsidRDefault="00EA5651" w:rsidP="00EA5860">
      <w:pPr>
        <w:autoSpaceDE w:val="0"/>
        <w:autoSpaceDN w:val="0"/>
        <w:adjustRightInd w:val="0"/>
        <w:spacing w:line="276" w:lineRule="auto"/>
        <w:jc w:val="both"/>
        <w:rPr>
          <w:rFonts w:ascii="Arial" w:hAnsi="Arial" w:cs="Arial"/>
        </w:rPr>
      </w:pPr>
      <w:r>
        <w:rPr>
          <w:rFonts w:ascii="Arial" w:hAnsi="Arial" w:cs="Arial"/>
        </w:rPr>
        <w:t xml:space="preserve">Por lo anterior, hacer pública la información, hace perfectamente identificables a los servidores públicos, lo cual, les puede inhibir por el grado de exposición y conforme a las secuelas que cada una tengan, por lo que se les puede afectar de una manera incalculable, por </w:t>
      </w:r>
      <w:r w:rsidR="008D0520">
        <w:rPr>
          <w:rFonts w:ascii="Arial" w:hAnsi="Arial" w:cs="Arial"/>
        </w:rPr>
        <w:t>ejemplo,</w:t>
      </w:r>
      <w:r>
        <w:rPr>
          <w:rFonts w:ascii="Arial" w:hAnsi="Arial" w:cs="Arial"/>
        </w:rPr>
        <w:t xml:space="preserve"> en el sentido de que desistan de sus investigaciones, sea por presión social o por amenazas, lo que no solo conllevaría a la impunidad, sino a que se incrementen los delitos en el corto, mediano y largo plazo.</w:t>
      </w:r>
    </w:p>
    <w:p w:rsidR="002C14E2" w:rsidRDefault="002C14E2" w:rsidP="00EA5860">
      <w:pPr>
        <w:autoSpaceDE w:val="0"/>
        <w:autoSpaceDN w:val="0"/>
        <w:adjustRightInd w:val="0"/>
        <w:spacing w:line="276" w:lineRule="auto"/>
        <w:ind w:firstLine="708"/>
        <w:jc w:val="both"/>
        <w:rPr>
          <w:rFonts w:ascii="Arial" w:hAnsi="Arial" w:cs="Arial"/>
        </w:rPr>
      </w:pPr>
    </w:p>
    <w:p w:rsidR="002C14E2" w:rsidRDefault="00EA5651" w:rsidP="00EA5860">
      <w:pPr>
        <w:autoSpaceDE w:val="0"/>
        <w:autoSpaceDN w:val="0"/>
        <w:adjustRightInd w:val="0"/>
        <w:spacing w:line="276" w:lineRule="auto"/>
        <w:jc w:val="both"/>
        <w:rPr>
          <w:rFonts w:ascii="Arial" w:hAnsi="Arial" w:cs="Arial"/>
        </w:rPr>
      </w:pPr>
      <w:r>
        <w:rPr>
          <w:rFonts w:ascii="Arial" w:hAnsi="Arial" w:cs="Arial"/>
        </w:rPr>
        <w:t>De manera específica, su publicación afectaría en el corto plazo, en al menos tres esferas:</w:t>
      </w:r>
    </w:p>
    <w:p w:rsidR="002C14E2" w:rsidRDefault="002C14E2" w:rsidP="00EA5860">
      <w:pPr>
        <w:autoSpaceDE w:val="0"/>
        <w:autoSpaceDN w:val="0"/>
        <w:adjustRightInd w:val="0"/>
        <w:spacing w:line="276" w:lineRule="auto"/>
        <w:ind w:firstLine="708"/>
        <w:jc w:val="both"/>
        <w:rPr>
          <w:rFonts w:ascii="Arial" w:hAnsi="Arial" w:cs="Arial"/>
        </w:rPr>
      </w:pPr>
    </w:p>
    <w:p w:rsidR="002C14E2" w:rsidRDefault="00EA5651" w:rsidP="00EA5860">
      <w:pPr>
        <w:pStyle w:val="Prrafodelista"/>
        <w:numPr>
          <w:ilvl w:val="0"/>
          <w:numId w:val="5"/>
        </w:numPr>
        <w:autoSpaceDE w:val="0"/>
        <w:autoSpaceDN w:val="0"/>
        <w:adjustRightInd w:val="0"/>
        <w:spacing w:line="276" w:lineRule="auto"/>
        <w:jc w:val="both"/>
        <w:rPr>
          <w:rFonts w:ascii="Arial" w:hAnsi="Arial" w:cs="Arial"/>
        </w:rPr>
      </w:pPr>
      <w:r>
        <w:rPr>
          <w:rFonts w:ascii="Arial" w:hAnsi="Arial" w:cs="Arial"/>
        </w:rPr>
        <w:t>Individual: vulnera la integridad física y mental de las personas involucradas (víctimas, presunto responsable).</w:t>
      </w:r>
    </w:p>
    <w:p w:rsidR="002C14E2" w:rsidRDefault="00EA5651" w:rsidP="00EA5860">
      <w:pPr>
        <w:pStyle w:val="Prrafodelista"/>
        <w:numPr>
          <w:ilvl w:val="0"/>
          <w:numId w:val="5"/>
        </w:numPr>
        <w:autoSpaceDE w:val="0"/>
        <w:autoSpaceDN w:val="0"/>
        <w:adjustRightInd w:val="0"/>
        <w:spacing w:line="276" w:lineRule="auto"/>
        <w:jc w:val="both"/>
        <w:rPr>
          <w:rFonts w:ascii="Arial" w:hAnsi="Arial" w:cs="Arial"/>
        </w:rPr>
      </w:pPr>
      <w:r>
        <w:rPr>
          <w:rFonts w:ascii="Arial" w:hAnsi="Arial" w:cs="Arial"/>
        </w:rPr>
        <w:t>Investigación: puede afectar los procesos de investigación criminal.</w:t>
      </w:r>
    </w:p>
    <w:p w:rsidR="002C14E2" w:rsidRDefault="00EA5651" w:rsidP="00EA5860">
      <w:pPr>
        <w:pStyle w:val="Prrafodelista"/>
        <w:numPr>
          <w:ilvl w:val="0"/>
          <w:numId w:val="5"/>
        </w:numPr>
        <w:autoSpaceDE w:val="0"/>
        <w:autoSpaceDN w:val="0"/>
        <w:adjustRightInd w:val="0"/>
        <w:spacing w:line="276" w:lineRule="auto"/>
        <w:jc w:val="both"/>
        <w:rPr>
          <w:rFonts w:ascii="Arial" w:hAnsi="Arial" w:cs="Arial"/>
        </w:rPr>
      </w:pPr>
      <w:r>
        <w:rPr>
          <w:rFonts w:ascii="Arial" w:hAnsi="Arial" w:cs="Arial"/>
        </w:rPr>
        <w:t>Institucional: pone en riesgo la procuración de justicia.</w:t>
      </w:r>
    </w:p>
    <w:p w:rsidR="002C14E2" w:rsidRDefault="002C14E2" w:rsidP="00EA5860">
      <w:pPr>
        <w:pStyle w:val="Prrafodelista"/>
        <w:autoSpaceDE w:val="0"/>
        <w:autoSpaceDN w:val="0"/>
        <w:adjustRightInd w:val="0"/>
        <w:spacing w:line="276" w:lineRule="auto"/>
        <w:jc w:val="both"/>
        <w:rPr>
          <w:rFonts w:ascii="Arial" w:hAnsi="Arial" w:cs="Arial"/>
        </w:rPr>
      </w:pPr>
    </w:p>
    <w:p w:rsidR="002C14E2" w:rsidRDefault="00EA5651" w:rsidP="00EA5860">
      <w:pPr>
        <w:autoSpaceDE w:val="0"/>
        <w:autoSpaceDN w:val="0"/>
        <w:adjustRightInd w:val="0"/>
        <w:spacing w:line="276" w:lineRule="auto"/>
        <w:jc w:val="both"/>
        <w:rPr>
          <w:rFonts w:ascii="Arial" w:hAnsi="Arial" w:cs="Arial"/>
        </w:rPr>
      </w:pPr>
      <w:r>
        <w:rPr>
          <w:rFonts w:ascii="Arial" w:hAnsi="Arial" w:cs="Arial"/>
        </w:rPr>
        <w:t xml:space="preserve">Este riesgo puede ser un incentivo importante para no denunciar o para desistir en un proceso de denuncia ya iniciado. Recordemos que en México durante 2021 la cifra negra (delitos no denunciados o denunciados que no derivaron en carpeta de investigación) es de 93.2%, y entre las razones para no denunciar se encuentra la desconfianza en la autoridad en el 14.8% de las ocasiones, como lo señala la </w:t>
      </w:r>
      <w:r>
        <w:rPr>
          <w:rFonts w:ascii="Arial" w:hAnsi="Arial" w:cs="Arial"/>
          <w:b/>
        </w:rPr>
        <w:t>Encuesta Nacional de Victimización y Percepción sobre Seguridad Pública (ENVIPE) 2023</w:t>
      </w:r>
      <w:r>
        <w:rPr>
          <w:rStyle w:val="Refdenotaalpie"/>
          <w:rFonts w:ascii="Arial" w:hAnsi="Arial" w:cs="Arial"/>
        </w:rPr>
        <w:footnoteReference w:id="2"/>
      </w:r>
      <w:r>
        <w:rPr>
          <w:rFonts w:ascii="Arial" w:hAnsi="Arial" w:cs="Arial"/>
        </w:rPr>
        <w:t xml:space="preserve">, realizada por el INEGI en su </w:t>
      </w:r>
      <w:r>
        <w:rPr>
          <w:rFonts w:ascii="Arial" w:hAnsi="Arial" w:cs="Arial"/>
          <w:b/>
        </w:rPr>
        <w:t>Comunicado de Prensa No. 546/23</w:t>
      </w:r>
      <w:r>
        <w:rPr>
          <w:rFonts w:ascii="Arial" w:hAnsi="Arial" w:cs="Arial"/>
        </w:rPr>
        <w:t xml:space="preserve"> de 11 de Septiembre de 2023.</w:t>
      </w:r>
    </w:p>
    <w:p w:rsidR="002C14E2" w:rsidRDefault="002C14E2" w:rsidP="00CB25DB">
      <w:pPr>
        <w:pStyle w:val="Default"/>
      </w:pPr>
    </w:p>
    <w:p w:rsidR="00D63C04" w:rsidRPr="00850B13" w:rsidRDefault="00D63C04" w:rsidP="00CB25DB">
      <w:pPr>
        <w:pStyle w:val="Default"/>
      </w:pPr>
      <w:r w:rsidRPr="00850B13">
        <w:t>Contexto que acatando a lo dispuesto por el numeral 218 del Código Nacional del Procedimientos Penales, resulta justificado acordar la reserva de la información, puesta que esta se genera de conformidad con los expedientes administrativos y de investigación que con motivo de sus funciones conozcan y atiendan los Agentes del Ministerio Público, auxiliares y secretarias, a fin de no amenazar el interés protegido aunado a que, de liberarse tal información, el daño que pudiera producirse resultaría mayor que cualquier interés por conocer dicha información.</w:t>
      </w:r>
    </w:p>
    <w:p w:rsidR="00D63C04" w:rsidRPr="00850B13" w:rsidRDefault="00D63C04" w:rsidP="00CB25DB">
      <w:pPr>
        <w:pStyle w:val="Default"/>
      </w:pPr>
    </w:p>
    <w:p w:rsidR="00D63C04" w:rsidRPr="00850B13" w:rsidRDefault="00D63C04" w:rsidP="00D63C04">
      <w:pPr>
        <w:autoSpaceDE w:val="0"/>
        <w:autoSpaceDN w:val="0"/>
        <w:adjustRightInd w:val="0"/>
        <w:spacing w:line="276" w:lineRule="auto"/>
        <w:jc w:val="both"/>
        <w:rPr>
          <w:rFonts w:ascii="Arial" w:hAnsi="Arial" w:cs="Arial"/>
        </w:rPr>
      </w:pPr>
      <w:r w:rsidRPr="00850B13">
        <w:rPr>
          <w:rFonts w:ascii="Arial" w:hAnsi="Arial" w:cs="Arial"/>
        </w:rPr>
        <w:lastRenderedPageBreak/>
        <w:t>Bajo el preámbulo de ser información, generada por esta autoridad en ejercicio de sus funciones y con recursos públicos, es, desde luego, información gubernamental a la que todos los ciudadanos deberían tener acceso. No obstante, al ser información que de forma paralela engloba a investigaciones de tipo criminal, se actualiza la excepción que dicta que parte de esta información puede ser reservada por las autoridades para que no sea conocida por el público hasta pasado un lapso de tiempo y bajo ciertas modalidades, ya que exponer determinados datos de manera anticipada puede llevar al fracaso las investigaciones que persiguen delitos.</w:t>
      </w:r>
    </w:p>
    <w:p w:rsidR="002C14E2" w:rsidRDefault="002C14E2" w:rsidP="008D0520">
      <w:pPr>
        <w:autoSpaceDE w:val="0"/>
        <w:autoSpaceDN w:val="0"/>
        <w:adjustRightInd w:val="0"/>
        <w:spacing w:line="276" w:lineRule="auto"/>
        <w:ind w:firstLine="360"/>
        <w:jc w:val="both"/>
        <w:rPr>
          <w:rFonts w:ascii="Arial" w:hAnsi="Arial" w:cs="Arial"/>
        </w:rPr>
      </w:pPr>
    </w:p>
    <w:p w:rsidR="002C14E2" w:rsidRDefault="00EA5651" w:rsidP="008D0520">
      <w:pPr>
        <w:autoSpaceDE w:val="0"/>
        <w:autoSpaceDN w:val="0"/>
        <w:adjustRightInd w:val="0"/>
        <w:spacing w:line="276" w:lineRule="auto"/>
        <w:jc w:val="both"/>
        <w:rPr>
          <w:rFonts w:ascii="Arial" w:hAnsi="Arial" w:cs="Arial"/>
        </w:rPr>
      </w:pPr>
      <w:r>
        <w:rPr>
          <w:rFonts w:ascii="Arial" w:hAnsi="Arial" w:cs="Arial"/>
        </w:rPr>
        <w:t>Si bien la seguridad es una construcción permanente de la vida cotidiana. Actualmente se discuten no sólo los bienes jurídicos que se deben proteger mediante las políticas de seguridad pública, sino también la relación existente entre la noción de “seguridad” con las de derechos humanos, libertad, democracia, criminalidad, orden público, etc., ya que, aunque una de las amenazas más visibles a la seguridad pública es la delincuencia.</w:t>
      </w:r>
    </w:p>
    <w:p w:rsidR="002C14E2" w:rsidRDefault="002C14E2" w:rsidP="008D0520">
      <w:pPr>
        <w:autoSpaceDE w:val="0"/>
        <w:autoSpaceDN w:val="0"/>
        <w:adjustRightInd w:val="0"/>
        <w:spacing w:line="276" w:lineRule="auto"/>
        <w:ind w:firstLine="360"/>
        <w:jc w:val="both"/>
        <w:rPr>
          <w:rFonts w:ascii="Arial" w:hAnsi="Arial" w:cs="Arial"/>
        </w:rPr>
      </w:pPr>
    </w:p>
    <w:p w:rsidR="002C14E2" w:rsidRDefault="00EA5651" w:rsidP="008D0520">
      <w:pPr>
        <w:autoSpaceDE w:val="0"/>
        <w:autoSpaceDN w:val="0"/>
        <w:adjustRightInd w:val="0"/>
        <w:spacing w:line="276" w:lineRule="auto"/>
        <w:jc w:val="both"/>
        <w:rPr>
          <w:rFonts w:ascii="Arial" w:hAnsi="Arial" w:cs="Arial"/>
        </w:rPr>
      </w:pPr>
      <w:r>
        <w:rPr>
          <w:rFonts w:ascii="Arial" w:hAnsi="Arial" w:cs="Arial"/>
        </w:rPr>
        <w:t xml:space="preserve">La función de la seguridad pública supone un verdadero resguardo de los derechos como premisa indispensable de su pleno ejercicio y no se predica como el resultado de acciones específicas, sino como componente final de un proceso colectivo que se conforma con una multiplicidad de acciones. Es el sentimiento de protección jurisdiccional, de garantía jurídica, de proximidad Institucional con la victimas u ofendidos, de confiabilidad en las instituciones y en sus responsables, entre otros aspectos, lo que da lugar a la seguridad pública. </w:t>
      </w:r>
    </w:p>
    <w:p w:rsidR="002C14E2" w:rsidRDefault="002C14E2" w:rsidP="008D0520">
      <w:pPr>
        <w:autoSpaceDE w:val="0"/>
        <w:autoSpaceDN w:val="0"/>
        <w:adjustRightInd w:val="0"/>
        <w:spacing w:line="276" w:lineRule="auto"/>
        <w:ind w:firstLine="360"/>
        <w:jc w:val="both"/>
        <w:rPr>
          <w:rFonts w:ascii="Arial" w:hAnsi="Arial" w:cs="Arial"/>
        </w:rPr>
      </w:pPr>
    </w:p>
    <w:p w:rsidR="00D63C04" w:rsidRPr="00850B13" w:rsidRDefault="00D63C04" w:rsidP="00D63C04">
      <w:pPr>
        <w:autoSpaceDE w:val="0"/>
        <w:autoSpaceDN w:val="0"/>
        <w:adjustRightInd w:val="0"/>
        <w:spacing w:line="276" w:lineRule="auto"/>
        <w:jc w:val="both"/>
        <w:rPr>
          <w:rFonts w:ascii="Arial" w:hAnsi="Arial" w:cs="Arial"/>
        </w:rPr>
      </w:pPr>
      <w:r>
        <w:rPr>
          <w:rFonts w:ascii="Arial" w:hAnsi="Arial" w:cs="Arial"/>
        </w:rPr>
        <w:t xml:space="preserve">Asimismo, </w:t>
      </w:r>
      <w:r w:rsidRPr="006E6FA2">
        <w:rPr>
          <w:rFonts w:ascii="Arial" w:hAnsi="Arial" w:cs="Arial"/>
        </w:rPr>
        <w:t>el</w:t>
      </w:r>
      <w:r w:rsidRPr="00C36A9C">
        <w:rPr>
          <w:rFonts w:ascii="Arial" w:hAnsi="Arial" w:cs="Arial"/>
          <w:b/>
        </w:rPr>
        <w:t xml:space="preserve"> Contador Público César Isidro Cruz Director General de Administración</w:t>
      </w:r>
      <w:r w:rsidRPr="001228E0">
        <w:rPr>
          <w:rFonts w:ascii="Arial" w:hAnsi="Arial" w:cs="Arial"/>
        </w:rPr>
        <w:t xml:space="preserve">, </w:t>
      </w:r>
      <w:r w:rsidRPr="00850B13">
        <w:rPr>
          <w:rFonts w:ascii="Arial" w:hAnsi="Arial" w:cs="Arial"/>
        </w:rPr>
        <w:t>resaltar que es muy comprensible que las autoridades encargadas de investigar hechos ilícitos guarden sigilo y secrecía sobre sus actuaciones, pues no debe perderse de vista que, en muchos casos, el éxito de las investigaciones de este tipo depende de que sean oportunas y discretamente conducidas, a fin de que no se destruyan los indicios del delito y se evadan responsabilidades. Sin embargo, algunas investigaciones penales demandan un conocimiento público cuando se relacionan con hechos relevantes para la vida nacional, como puede ser la persecución de delitos de corrupción o de delincuencia organizada, y exigen que las autoridades rindan cuentas de manera constante sobre los avances que esas investigaciones presentan.</w:t>
      </w:r>
    </w:p>
    <w:p w:rsidR="002C14E2" w:rsidRDefault="002C14E2" w:rsidP="008D0520">
      <w:pPr>
        <w:autoSpaceDE w:val="0"/>
        <w:autoSpaceDN w:val="0"/>
        <w:adjustRightInd w:val="0"/>
        <w:spacing w:line="276" w:lineRule="auto"/>
        <w:ind w:firstLine="360"/>
        <w:jc w:val="both"/>
        <w:rPr>
          <w:rFonts w:ascii="Arial" w:hAnsi="Arial" w:cs="Arial"/>
        </w:rPr>
      </w:pPr>
    </w:p>
    <w:p w:rsidR="002C14E2" w:rsidRDefault="00EA5651" w:rsidP="008D0520">
      <w:pPr>
        <w:autoSpaceDE w:val="0"/>
        <w:autoSpaceDN w:val="0"/>
        <w:adjustRightInd w:val="0"/>
        <w:spacing w:line="276" w:lineRule="auto"/>
        <w:jc w:val="both"/>
        <w:rPr>
          <w:rFonts w:ascii="Arial" w:hAnsi="Arial" w:cs="Arial"/>
        </w:rPr>
      </w:pPr>
      <w:r>
        <w:rPr>
          <w:rFonts w:ascii="Arial" w:hAnsi="Arial" w:cs="Arial"/>
        </w:rPr>
        <w:lastRenderedPageBreak/>
        <w:t>Razonamiento del que se sirve prevenir y robustecer con lo dispuesto en el artículo 218 Código Nacional de Procedimientos Penales, decretado por el Congreso de la Unión, claramente establece que se considera información reservada:</w:t>
      </w:r>
    </w:p>
    <w:p w:rsidR="002C14E2" w:rsidRDefault="002C14E2" w:rsidP="00AC6A4B">
      <w:pPr>
        <w:autoSpaceDE w:val="0"/>
        <w:autoSpaceDN w:val="0"/>
        <w:adjustRightInd w:val="0"/>
        <w:spacing w:line="276" w:lineRule="auto"/>
        <w:jc w:val="both"/>
        <w:rPr>
          <w:rFonts w:ascii="Arial" w:hAnsi="Arial" w:cs="Arial"/>
        </w:rPr>
      </w:pPr>
    </w:p>
    <w:p w:rsidR="002C14E2" w:rsidRDefault="00EA5651">
      <w:pPr>
        <w:autoSpaceDE w:val="0"/>
        <w:autoSpaceDN w:val="0"/>
        <w:adjustRightInd w:val="0"/>
        <w:ind w:left="360"/>
        <w:jc w:val="both"/>
        <w:rPr>
          <w:rFonts w:ascii="Arial" w:hAnsi="Arial" w:cs="Arial"/>
          <w:i/>
          <w:sz w:val="20"/>
          <w:szCs w:val="20"/>
        </w:rPr>
      </w:pPr>
      <w:r>
        <w:rPr>
          <w:rFonts w:ascii="Arial" w:hAnsi="Arial" w:cs="Arial"/>
          <w:i/>
          <w:sz w:val="20"/>
          <w:szCs w:val="20"/>
        </w:rPr>
        <w:t>“…</w:t>
      </w:r>
      <w:r>
        <w:rPr>
          <w:rFonts w:ascii="Arial" w:hAnsi="Arial" w:cs="Arial"/>
          <w:b/>
          <w:i/>
          <w:sz w:val="20"/>
          <w:szCs w:val="20"/>
        </w:rPr>
        <w:t>Artículo 218. Reserva de los actos de investigación</w:t>
      </w:r>
      <w:r>
        <w:rPr>
          <w:rFonts w:ascii="Arial" w:hAnsi="Arial" w:cs="Arial"/>
          <w:i/>
          <w:sz w:val="20"/>
          <w:szCs w:val="20"/>
        </w:rPr>
        <w:t>.</w:t>
      </w:r>
    </w:p>
    <w:p w:rsidR="008D0520" w:rsidRDefault="008D0520">
      <w:pPr>
        <w:autoSpaceDE w:val="0"/>
        <w:autoSpaceDN w:val="0"/>
        <w:adjustRightInd w:val="0"/>
        <w:ind w:left="360"/>
        <w:jc w:val="both"/>
        <w:rPr>
          <w:rFonts w:ascii="Arial" w:hAnsi="Arial" w:cs="Arial"/>
          <w:i/>
          <w:sz w:val="20"/>
          <w:szCs w:val="20"/>
        </w:rPr>
      </w:pPr>
    </w:p>
    <w:p w:rsidR="002C14E2" w:rsidRDefault="00EA5651">
      <w:pPr>
        <w:autoSpaceDE w:val="0"/>
        <w:autoSpaceDN w:val="0"/>
        <w:adjustRightInd w:val="0"/>
        <w:ind w:left="360"/>
        <w:jc w:val="both"/>
        <w:rPr>
          <w:rFonts w:ascii="Arial" w:hAnsi="Arial" w:cs="Arial"/>
          <w:i/>
          <w:sz w:val="20"/>
          <w:szCs w:val="20"/>
        </w:rPr>
      </w:pPr>
      <w:r>
        <w:rPr>
          <w:rFonts w:ascii="Arial" w:hAnsi="Arial" w:cs="Arial"/>
          <w:b/>
          <w:i/>
          <w:sz w:val="20"/>
          <w:szCs w:val="20"/>
          <w:u w:val="single"/>
        </w:rPr>
        <w:t>Los registros de la investigación, así como todos los documentos, independientemente de su contenido o naturaleza</w:t>
      </w:r>
      <w:r>
        <w:rPr>
          <w:rFonts w:ascii="Arial" w:hAnsi="Arial" w:cs="Arial"/>
          <w:i/>
          <w:sz w:val="20"/>
          <w:szCs w:val="20"/>
        </w:rPr>
        <w:t xml:space="preserve">, los objetos, los registros de voz e imágenes </w:t>
      </w:r>
      <w:r>
        <w:rPr>
          <w:rFonts w:ascii="Arial" w:hAnsi="Arial" w:cs="Arial"/>
          <w:b/>
          <w:i/>
          <w:sz w:val="20"/>
          <w:szCs w:val="20"/>
          <w:u w:val="single"/>
        </w:rPr>
        <w:t>o cosas que le estén relacionados, son estrictamente reservados</w:t>
      </w:r>
      <w:r>
        <w:rPr>
          <w:rFonts w:ascii="Arial" w:hAnsi="Arial" w:cs="Arial"/>
          <w:i/>
          <w:sz w:val="20"/>
          <w:szCs w:val="20"/>
        </w:rPr>
        <w:t xml:space="preserve">, por lo que </w:t>
      </w:r>
      <w:r>
        <w:rPr>
          <w:rFonts w:ascii="Arial" w:hAnsi="Arial" w:cs="Arial"/>
          <w:i/>
          <w:sz w:val="20"/>
          <w:szCs w:val="20"/>
          <w:u w:val="single"/>
        </w:rPr>
        <w:t>únicamente las partes, podrán tener acceso a los mismos</w:t>
      </w:r>
      <w:r>
        <w:rPr>
          <w:rFonts w:ascii="Arial" w:hAnsi="Arial" w:cs="Arial"/>
          <w:i/>
          <w:sz w:val="20"/>
          <w:szCs w:val="20"/>
        </w:rPr>
        <w:t>, con las limitaciones establecidas en este Código y demás disposiciones aplicables.</w:t>
      </w:r>
    </w:p>
    <w:p w:rsidR="002C14E2" w:rsidRDefault="002C14E2">
      <w:pPr>
        <w:autoSpaceDE w:val="0"/>
        <w:autoSpaceDN w:val="0"/>
        <w:adjustRightInd w:val="0"/>
        <w:ind w:left="360"/>
        <w:jc w:val="both"/>
        <w:rPr>
          <w:rFonts w:ascii="Arial" w:hAnsi="Arial" w:cs="Arial"/>
          <w:i/>
          <w:sz w:val="20"/>
          <w:szCs w:val="20"/>
        </w:rPr>
      </w:pPr>
    </w:p>
    <w:p w:rsidR="002C14E2" w:rsidRDefault="00EA5651">
      <w:pPr>
        <w:autoSpaceDE w:val="0"/>
        <w:autoSpaceDN w:val="0"/>
        <w:adjustRightInd w:val="0"/>
        <w:ind w:left="360"/>
        <w:jc w:val="both"/>
        <w:rPr>
          <w:rFonts w:ascii="Arial" w:hAnsi="Arial" w:cs="Arial"/>
          <w:i/>
          <w:sz w:val="20"/>
          <w:szCs w:val="20"/>
        </w:rPr>
      </w:pPr>
      <w:r>
        <w:rPr>
          <w:rFonts w:ascii="Arial" w:hAnsi="Arial" w:cs="Arial"/>
          <w:i/>
          <w:sz w:val="20"/>
          <w:szCs w:val="20"/>
        </w:rPr>
        <w:t>La víctima u ofendido y su Asesor Jurídico podrán tener acceso a los registros de la investigación en cualquier momento.</w:t>
      </w:r>
    </w:p>
    <w:p w:rsidR="002C14E2" w:rsidRDefault="002C14E2">
      <w:pPr>
        <w:autoSpaceDE w:val="0"/>
        <w:autoSpaceDN w:val="0"/>
        <w:adjustRightInd w:val="0"/>
        <w:ind w:left="360"/>
        <w:jc w:val="both"/>
        <w:rPr>
          <w:rFonts w:ascii="Arial" w:hAnsi="Arial" w:cs="Arial"/>
          <w:i/>
          <w:sz w:val="20"/>
          <w:szCs w:val="20"/>
        </w:rPr>
      </w:pPr>
    </w:p>
    <w:p w:rsidR="002C14E2" w:rsidRDefault="00EA5651">
      <w:pPr>
        <w:autoSpaceDE w:val="0"/>
        <w:autoSpaceDN w:val="0"/>
        <w:adjustRightInd w:val="0"/>
        <w:ind w:left="360"/>
        <w:jc w:val="both"/>
        <w:rPr>
          <w:rFonts w:ascii="Arial" w:hAnsi="Arial" w:cs="Arial"/>
          <w:i/>
          <w:sz w:val="20"/>
          <w:szCs w:val="20"/>
        </w:rPr>
      </w:pPr>
      <w:r>
        <w:rPr>
          <w:rFonts w:ascii="Arial" w:hAnsi="Arial" w:cs="Arial"/>
          <w:i/>
          <w:sz w:val="20"/>
          <w:szCs w:val="20"/>
        </w:rPr>
        <w:t>El imputado y su defensor podrán tener acceso a ellos cuando se encuentre detenido, sea citado para comparecer como imputado o sea sujeto de un acto de molestia y se pretenda recibir su entrevista, a partir de este momento ya no podrán mantenerse en reserva los registros para el imputado o su Defensor a fin de no afectar su derecho de defensa. Para los efectos de este párrafo, se entenderá como acto de molestia lo dispuesto en el artículo 266 de este Código.</w:t>
      </w:r>
    </w:p>
    <w:p w:rsidR="002C14E2" w:rsidRDefault="002C14E2">
      <w:pPr>
        <w:autoSpaceDE w:val="0"/>
        <w:autoSpaceDN w:val="0"/>
        <w:adjustRightInd w:val="0"/>
        <w:ind w:left="360"/>
        <w:jc w:val="both"/>
        <w:rPr>
          <w:rFonts w:ascii="Arial" w:hAnsi="Arial" w:cs="Arial"/>
          <w:i/>
          <w:sz w:val="20"/>
          <w:szCs w:val="20"/>
        </w:rPr>
      </w:pPr>
    </w:p>
    <w:p w:rsidR="002C14E2" w:rsidRDefault="00EA5651">
      <w:pPr>
        <w:autoSpaceDE w:val="0"/>
        <w:autoSpaceDN w:val="0"/>
        <w:adjustRightInd w:val="0"/>
        <w:ind w:left="360"/>
        <w:jc w:val="both"/>
        <w:rPr>
          <w:rFonts w:ascii="Arial" w:hAnsi="Arial" w:cs="Arial"/>
          <w:i/>
          <w:sz w:val="20"/>
          <w:szCs w:val="20"/>
        </w:rPr>
      </w:pPr>
      <w:r>
        <w:rPr>
          <w:rFonts w:ascii="Arial" w:hAnsi="Arial" w:cs="Arial"/>
          <w:i/>
          <w:sz w:val="20"/>
          <w:szCs w:val="20"/>
        </w:rPr>
        <w:t>En ningún caso la reserva de los registros podrá hacerse valer en perjuicio del imputado y su Defensor, una vez dictado el auto de vinculación a proceso, salvo lo previsto en este Código o en las leyes especiales.</w:t>
      </w:r>
    </w:p>
    <w:p w:rsidR="002C14E2" w:rsidRDefault="002C14E2">
      <w:pPr>
        <w:autoSpaceDE w:val="0"/>
        <w:autoSpaceDN w:val="0"/>
        <w:adjustRightInd w:val="0"/>
        <w:ind w:left="360"/>
        <w:jc w:val="both"/>
        <w:rPr>
          <w:rFonts w:ascii="Arial" w:hAnsi="Arial" w:cs="Arial"/>
          <w:i/>
          <w:sz w:val="20"/>
          <w:szCs w:val="20"/>
        </w:rPr>
      </w:pPr>
    </w:p>
    <w:p w:rsidR="002C14E2" w:rsidRDefault="00EA5651">
      <w:pPr>
        <w:autoSpaceDE w:val="0"/>
        <w:autoSpaceDN w:val="0"/>
        <w:adjustRightInd w:val="0"/>
        <w:ind w:left="360"/>
        <w:jc w:val="both"/>
        <w:rPr>
          <w:rFonts w:ascii="Arial" w:hAnsi="Arial" w:cs="Arial"/>
          <w:i/>
          <w:sz w:val="20"/>
          <w:szCs w:val="20"/>
        </w:rPr>
      </w:pPr>
      <w:r>
        <w:rPr>
          <w:rFonts w:ascii="Arial" w:hAnsi="Arial" w:cs="Arial"/>
          <w:i/>
          <w:sz w:val="20"/>
          <w:szCs w:val="20"/>
        </w:rPr>
        <w:t>Para efectos de acceso a la información pública gubernamental, el Ministerio Público únicamente deberá proporcionar una versión pública de las determinaciones de no ejercicio de la acción penal, archivo temporal o de aplicación de un criterio de oportunidad, siempre que haya transcurrido un plazo igual al de prescripción de los delitos de que se trate, de conformidad con lo dispuesto en el Código Penal Federal o estatal correspondiente, sin que pueda ser menor de tres años, ni mayor de doce años, contado a partir de que dicha determinación haya quedado firme…(sic)”.</w:t>
      </w:r>
    </w:p>
    <w:p w:rsidR="008D0520" w:rsidRDefault="008D0520">
      <w:pPr>
        <w:autoSpaceDE w:val="0"/>
        <w:autoSpaceDN w:val="0"/>
        <w:adjustRightInd w:val="0"/>
        <w:ind w:left="360"/>
        <w:jc w:val="both"/>
        <w:rPr>
          <w:rFonts w:ascii="Arial" w:hAnsi="Arial" w:cs="Arial"/>
          <w:i/>
          <w:sz w:val="20"/>
          <w:szCs w:val="20"/>
        </w:rPr>
      </w:pPr>
    </w:p>
    <w:p w:rsidR="00D63C04" w:rsidRPr="00155AB2" w:rsidRDefault="00D63C04" w:rsidP="00D63C04">
      <w:pPr>
        <w:spacing w:line="276" w:lineRule="auto"/>
        <w:jc w:val="both"/>
        <w:rPr>
          <w:rFonts w:ascii="Arial" w:eastAsia="Arial" w:hAnsi="Arial" w:cs="Arial"/>
        </w:rPr>
      </w:pPr>
      <w:r w:rsidRPr="00155AB2">
        <w:rPr>
          <w:rFonts w:ascii="Arial" w:eastAsia="Arial" w:hAnsi="Arial" w:cs="Arial"/>
        </w:rPr>
        <w:t xml:space="preserve">De lo anteriormente citado, robustece que la revelación de información del personal que tiene a su cargo el desarrollo o ejercicio de la función pública en materia de seguridad pública y procuración de justicia, pondría en conocimiento de la sociedad y más grave aún de los grupos criminales una parte porcentual de la capacidad de reacción de esta Institución, dejando en estado de indefensión a la sociedad y todos los ejes participes para el cumplimiento de la ley en toda su expresión. Daño que resultaría de imposible reparación, y en la que el Estado tiene la calidad de velador de un bien jurídico tutelado. </w:t>
      </w:r>
    </w:p>
    <w:p w:rsidR="002C14E2" w:rsidRDefault="002C14E2">
      <w:pPr>
        <w:jc w:val="both"/>
        <w:rPr>
          <w:rFonts w:ascii="Arial" w:eastAsia="Arial"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t xml:space="preserve">Enfatizando que el personal sustantivo dentro de la Fiscalía General del Estado que brinda o colabora, para apoyo técnico jurídico y coadyuva con todos los intervinientes dentro del proceso penal, en la investigación y litigación de los asuntos a su cargo, así como en la preparación de estrategias que, por su alta complejidad, importancia y trascendencia, </w:t>
      </w:r>
      <w:r>
        <w:rPr>
          <w:rFonts w:ascii="Arial" w:eastAsia="Arial" w:hAnsi="Arial" w:cs="Arial"/>
        </w:rPr>
        <w:lastRenderedPageBreak/>
        <w:t>relevancia o especialización, así lo ameriten; apoyando en la revisión de carpetas de investigación para supervisar el cumplimiento de los planes de investigación, sugiere actos y la posible teoría del caso; emite opiniones previas a la realización de los diversos actos procesales; coadyuva en la actualización operativa, y supervisa el efectivo desempeño del modelo de gestión de este Organismo Autónomo.</w:t>
      </w:r>
    </w:p>
    <w:p w:rsidR="002C14E2" w:rsidRDefault="002C14E2" w:rsidP="00AC6A4B">
      <w:pPr>
        <w:spacing w:line="276" w:lineRule="auto"/>
        <w:ind w:firstLine="708"/>
        <w:jc w:val="both"/>
        <w:rPr>
          <w:rFonts w:ascii="Arial" w:eastAsia="Arial" w:hAnsi="Arial" w:cs="Arial"/>
        </w:rPr>
      </w:pPr>
    </w:p>
    <w:p w:rsidR="008D0520" w:rsidRDefault="00EA5651" w:rsidP="008D0520">
      <w:pPr>
        <w:spacing w:line="276" w:lineRule="auto"/>
        <w:jc w:val="both"/>
        <w:rPr>
          <w:rFonts w:ascii="Arial" w:eastAsia="Arial" w:hAnsi="Arial" w:cs="Arial"/>
        </w:rPr>
      </w:pPr>
      <w:r>
        <w:rPr>
          <w:rFonts w:ascii="Arial" w:eastAsia="Arial" w:hAnsi="Arial" w:cs="Arial"/>
        </w:rPr>
        <w:t xml:space="preserve">Además de lo anterior esta información podría permitir a los miembros de la delincuencia organizada identificar no solo a los servidores públicos, sino sus actividades concretas, hecho delictivo e incluso la efectividad de la amenaza real y eminente en el entorno social, desde la perspectiva de la Procuración de Justicia, como una expresión de la impericia de la delincuencia organizada y sus alcances hacia la capacidad de respuesta ante las acciones realizadas para abatir actos delictivos, lo que podría poner en riesgo las acciones concretas de la persecución delictiva, tal como lo provee la Suprema Corte de Justicia de la Nación, en su resolución emitida el 12 de mayo de 2022, dentro de la </w:t>
      </w:r>
      <w:r w:rsidR="008D0520" w:rsidRPr="00850B13">
        <w:rPr>
          <w:rFonts w:ascii="Arial" w:eastAsia="Arial" w:hAnsi="Arial" w:cs="Arial"/>
          <w:b/>
        </w:rPr>
        <w:t>controversia constitucional número 325/2019</w:t>
      </w:r>
      <w:r w:rsidR="008D0520" w:rsidRPr="00850B13">
        <w:rPr>
          <w:rFonts w:ascii="Arial" w:eastAsia="Arial" w:hAnsi="Arial" w:cs="Arial"/>
        </w:rPr>
        <w:t>:</w:t>
      </w:r>
    </w:p>
    <w:p w:rsidR="008D0520" w:rsidRDefault="008D0520" w:rsidP="008D0520">
      <w:pPr>
        <w:spacing w:line="276" w:lineRule="auto"/>
        <w:jc w:val="both"/>
        <w:rPr>
          <w:rFonts w:ascii="Arial" w:eastAsia="Arial" w:hAnsi="Arial" w:cs="Arial"/>
        </w:rPr>
      </w:pPr>
    </w:p>
    <w:p w:rsidR="008D0520" w:rsidRDefault="008D0520" w:rsidP="008D0520">
      <w:pPr>
        <w:spacing w:line="276" w:lineRule="auto"/>
        <w:jc w:val="both"/>
        <w:rPr>
          <w:rFonts w:ascii="Arial" w:eastAsia="Arial" w:hAnsi="Arial" w:cs="Arial"/>
        </w:rPr>
      </w:pPr>
      <w:r>
        <w:rPr>
          <w:rFonts w:ascii="Arial" w:eastAsia="Arial" w:hAnsi="Arial" w:cs="Arial"/>
        </w:rPr>
        <w:t>inciso b</w:t>
      </w:r>
      <w:r w:rsidRPr="00850B13">
        <w:rPr>
          <w:rFonts w:ascii="Arial" w:eastAsia="Arial" w:hAnsi="Arial" w:cs="Arial"/>
        </w:rPr>
        <w:t>):</w:t>
      </w:r>
    </w:p>
    <w:p w:rsidR="008D0520" w:rsidRPr="00F27B45" w:rsidRDefault="008D0520" w:rsidP="008D0520">
      <w:pPr>
        <w:ind w:firstLine="708"/>
        <w:jc w:val="both"/>
        <w:rPr>
          <w:rFonts w:ascii="Arial" w:eastAsia="Arial" w:hAnsi="Arial" w:cs="Arial"/>
          <w:sz w:val="22"/>
        </w:rPr>
      </w:pPr>
    </w:p>
    <w:p w:rsidR="008D0520" w:rsidRPr="00F27B45" w:rsidRDefault="008D0520" w:rsidP="008D0520">
      <w:pPr>
        <w:ind w:left="708" w:firstLine="708"/>
        <w:jc w:val="both"/>
        <w:rPr>
          <w:rFonts w:ascii="Arial" w:eastAsia="Arial" w:hAnsi="Arial" w:cs="Arial"/>
          <w:b/>
          <w:i/>
          <w:sz w:val="18"/>
          <w:szCs w:val="20"/>
        </w:rPr>
      </w:pPr>
      <w:r w:rsidRPr="00F27B45">
        <w:rPr>
          <w:rFonts w:ascii="Arial" w:eastAsia="Arial" w:hAnsi="Arial" w:cs="Arial"/>
          <w:b/>
          <w:i/>
          <w:sz w:val="18"/>
          <w:szCs w:val="20"/>
        </w:rPr>
        <w:t>“b) con dicha información se revelarían a detalle las características funcionales del personal y con ello, su organización para el cumplimiento de sus funciones;”</w:t>
      </w:r>
    </w:p>
    <w:p w:rsidR="008D0520" w:rsidRPr="00F27B45" w:rsidRDefault="008D0520" w:rsidP="008D0520">
      <w:pPr>
        <w:ind w:firstLine="708"/>
        <w:jc w:val="both"/>
        <w:rPr>
          <w:rFonts w:ascii="Arial" w:eastAsia="Arial" w:hAnsi="Arial" w:cs="Arial"/>
          <w:sz w:val="22"/>
        </w:rPr>
      </w:pPr>
    </w:p>
    <w:p w:rsidR="008D0520" w:rsidRDefault="008D0520" w:rsidP="008D0520">
      <w:pPr>
        <w:spacing w:line="276" w:lineRule="auto"/>
        <w:jc w:val="both"/>
        <w:rPr>
          <w:rFonts w:ascii="Arial" w:eastAsia="Arial" w:hAnsi="Arial" w:cs="Arial"/>
        </w:rPr>
      </w:pPr>
      <w:r w:rsidRPr="00850B13">
        <w:rPr>
          <w:rFonts w:ascii="Arial" w:eastAsia="Arial" w:hAnsi="Arial" w:cs="Arial"/>
        </w:rPr>
        <w:t xml:space="preserve">En cuanto al inciso C) de la misma resolución en comento: </w:t>
      </w:r>
    </w:p>
    <w:p w:rsidR="008D0520" w:rsidRDefault="008D0520" w:rsidP="008D0520">
      <w:pPr>
        <w:spacing w:line="276" w:lineRule="auto"/>
        <w:jc w:val="both"/>
        <w:rPr>
          <w:rFonts w:ascii="Arial" w:eastAsia="Arial" w:hAnsi="Arial" w:cs="Arial"/>
        </w:rPr>
      </w:pPr>
    </w:p>
    <w:p w:rsidR="008D0520" w:rsidRDefault="008D0520" w:rsidP="008D0520">
      <w:pPr>
        <w:spacing w:line="276" w:lineRule="auto"/>
        <w:ind w:left="1416"/>
        <w:jc w:val="both"/>
        <w:rPr>
          <w:rFonts w:ascii="Arial" w:eastAsia="Arial" w:hAnsi="Arial" w:cs="Arial"/>
          <w:b/>
          <w:i/>
          <w:sz w:val="18"/>
          <w:szCs w:val="18"/>
        </w:rPr>
      </w:pPr>
      <w:r w:rsidRPr="005618A3">
        <w:rPr>
          <w:rFonts w:ascii="Arial" w:eastAsia="Arial" w:hAnsi="Arial" w:cs="Arial"/>
          <w:b/>
          <w:i/>
          <w:sz w:val="18"/>
          <w:szCs w:val="18"/>
        </w:rPr>
        <w:t xml:space="preserve">“c) los Ministerios Públicos de la Federación están sujetos a cambios de adscripción”. </w:t>
      </w:r>
    </w:p>
    <w:p w:rsidR="004C1A0C" w:rsidRPr="005618A3" w:rsidRDefault="004C1A0C" w:rsidP="008D0520">
      <w:pPr>
        <w:spacing w:line="276" w:lineRule="auto"/>
        <w:ind w:left="1416"/>
        <w:jc w:val="both"/>
        <w:rPr>
          <w:rFonts w:ascii="Arial" w:eastAsia="Arial" w:hAnsi="Arial" w:cs="Arial"/>
          <w:b/>
          <w:i/>
          <w:sz w:val="18"/>
          <w:szCs w:val="18"/>
        </w:rPr>
      </w:pPr>
    </w:p>
    <w:p w:rsidR="002C14E2" w:rsidRDefault="00EA5651" w:rsidP="008D0520">
      <w:pPr>
        <w:spacing w:line="276" w:lineRule="auto"/>
        <w:jc w:val="both"/>
        <w:rPr>
          <w:rFonts w:ascii="Arial" w:eastAsia="Arial" w:hAnsi="Arial" w:cs="Arial"/>
        </w:rPr>
      </w:pPr>
      <w:r>
        <w:rPr>
          <w:rFonts w:ascii="Arial" w:eastAsia="Arial" w:hAnsi="Arial" w:cs="Arial"/>
        </w:rPr>
        <w:t>De igual forma los agentes del Ministerio Público, además de los Policías, Peritos, inclusive el personal de administrativo y de apoyo, están sujetos a cambios de adscripción, acorde a las necesidades del servicio.</w:t>
      </w:r>
    </w:p>
    <w:p w:rsidR="002C14E2" w:rsidRDefault="002C14E2" w:rsidP="00AC6A4B">
      <w:pPr>
        <w:spacing w:line="276" w:lineRule="auto"/>
        <w:ind w:firstLine="708"/>
        <w:jc w:val="both"/>
        <w:rPr>
          <w:rFonts w:ascii="Arial" w:eastAsia="Arial" w:hAnsi="Arial" w:cs="Arial"/>
        </w:rPr>
      </w:pPr>
    </w:p>
    <w:p w:rsidR="00C7264B" w:rsidRPr="00071AD8" w:rsidRDefault="00C7264B" w:rsidP="00C7264B">
      <w:pPr>
        <w:spacing w:line="276" w:lineRule="auto"/>
        <w:jc w:val="both"/>
        <w:rPr>
          <w:rFonts w:ascii="Arial" w:eastAsia="Arial" w:hAnsi="Arial" w:cs="Arial"/>
        </w:rPr>
      </w:pPr>
      <w:r w:rsidRPr="00071AD8">
        <w:rPr>
          <w:rFonts w:ascii="Arial" w:eastAsia="Arial" w:hAnsi="Arial" w:cs="Arial"/>
        </w:rPr>
        <w:t>Sirve robustecer lo anterior, con lo contemplado en el numera 126 fracción III de la Ley del Sistema de Seguridad Pública del Estado de San Luis Potosí, en la cual de forma expresa se señala las excepciones al derecho de acceso a la información, que coligen en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w:t>
      </w:r>
    </w:p>
    <w:p w:rsidR="002C14E2" w:rsidRDefault="002C14E2">
      <w:pPr>
        <w:ind w:firstLine="708"/>
        <w:jc w:val="both"/>
        <w:rPr>
          <w:rFonts w:ascii="Arial" w:eastAsia="Arial"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lastRenderedPageBreak/>
        <w:t xml:space="preserve">En concreto advierto que los rubros que se reservan constreñidos en: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E312E3">
        <w:rPr>
          <w:rFonts w:ascii="Arial" w:hAnsi="Arial" w:cs="Arial"/>
          <w:b/>
          <w:i/>
          <w:szCs w:val="22"/>
          <w:u w:val="single"/>
        </w:rPr>
        <w:t xml:space="preserve"> de no</w:t>
      </w:r>
      <w:r w:rsidR="00B8775F">
        <w:rPr>
          <w:rFonts w:ascii="Arial" w:hAnsi="Arial" w:cs="Arial"/>
          <w:b/>
          <w:i/>
          <w:szCs w:val="22"/>
          <w:u w:val="single"/>
        </w:rPr>
        <w:t>viembre del año 2020 al 31</w:t>
      </w:r>
      <w:r w:rsidR="00F75FB9" w:rsidRPr="00F75FB9">
        <w:rPr>
          <w:rFonts w:ascii="Arial" w:hAnsi="Arial" w:cs="Arial"/>
          <w:b/>
          <w:i/>
          <w:szCs w:val="22"/>
          <w:u w:val="single"/>
        </w:rPr>
        <w:t xml:space="preserve"> de </w:t>
      </w:r>
      <w:r w:rsidR="00E312E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sidR="00F75FB9">
        <w:rPr>
          <w:rFonts w:ascii="Arial" w:hAnsi="Arial" w:cs="Arial"/>
        </w:rPr>
        <w:t xml:space="preserve"> </w:t>
      </w:r>
      <w:r>
        <w:rPr>
          <w:rFonts w:ascii="Arial" w:hAnsi="Arial" w:cs="Arial"/>
        </w:rPr>
        <w:t xml:space="preserve"> </w:t>
      </w:r>
      <w:r>
        <w:rPr>
          <w:rFonts w:ascii="Arial" w:eastAsia="Arial" w:hAnsi="Arial" w:cs="Arial"/>
        </w:rPr>
        <w:t>de manera razonable genera vulnerabilidad a la Seguridad Pública y la Paz social de la entidad. Así como a las acciones de procuración de justicia en materia de investigación y persecución de un delito de modo que entorpece diligencias tendientes al cumplimiento de mandamientos judiciales dentro de su competencia, lo que resulta en detrimento de la seguridad pública y la conducción jurídica de investigaciones y el ejercicio de la acción penal, funciones preponderantes de la fiscalía General del Estado.</w:t>
      </w:r>
    </w:p>
    <w:p w:rsidR="002C14E2" w:rsidRDefault="002C14E2" w:rsidP="00AC6A4B">
      <w:pPr>
        <w:spacing w:line="276" w:lineRule="auto"/>
        <w:ind w:firstLine="708"/>
        <w:jc w:val="both"/>
        <w:rPr>
          <w:rFonts w:ascii="Arial" w:eastAsia="Arial"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t xml:space="preserve">La Suprema Corte de Justicia contempla, en su resolución emitida el 12 de mayo de 2022, dentro de la </w:t>
      </w:r>
      <w:r>
        <w:rPr>
          <w:rFonts w:ascii="Arial" w:eastAsia="Arial" w:hAnsi="Arial" w:cs="Arial"/>
          <w:b/>
        </w:rPr>
        <w:t>Controversia Constitucional número 325/2019</w:t>
      </w:r>
      <w:r>
        <w:rPr>
          <w:rFonts w:ascii="Arial" w:eastAsia="Arial" w:hAnsi="Arial" w:cs="Arial"/>
        </w:rPr>
        <w:t xml:space="preserve">, que </w:t>
      </w:r>
      <w:r>
        <w:rPr>
          <w:rFonts w:ascii="Arial" w:eastAsia="Arial" w:hAnsi="Arial" w:cs="Arial"/>
          <w:i/>
        </w:rPr>
        <w:t>“la entrega de información a un particular referente al nombre y cargo de todo el personal que realiza tareas sustantivas de investigación y persecución de delitos, podría comprometer el ejercicio de sus facultades constitucionales y, con ello, la seguridad pública del país, en virtud de que: a) la información podría ser aprovechada por los grupos criminales para conocer la capacidad de reacción de la FGR…”</w:t>
      </w:r>
      <w:r>
        <w:rPr>
          <w:rFonts w:ascii="Arial" w:eastAsia="Arial" w:hAnsi="Arial" w:cs="Arial"/>
        </w:rPr>
        <w:t xml:space="preserve"> Partiendo de esta premisa, se estima que a través de la expresión documental consistente en los recibos de nómina de los periodos del 2022 y 2023, revelar el número total del personal vinculado directa o indirectamente en las labores de procuración de justicia resultaría en la revelación concreta de una parte porcentual de la capacidad de respuesta y capacidad operativa de la Fiscalía , lo cual sería aprovechada por la delincuencia organizada, para impedir las acciones de procuración de justicia poniendo en riesgo, la seguridad pública del estado, el orden público, la seguridad de la institución, la seguridad y la vida de los propios servidores públicos, y en casos extremos la seguridad y vida de la ciudadanía, derivado de la posibilidad de que se generen enfrentamientos abiertamente violentos causando daños colaterales,  además de la afectación directa en los procesos de investigación y persecución de los actos delictivos.</w:t>
      </w:r>
    </w:p>
    <w:p w:rsidR="002C14E2" w:rsidRDefault="002C14E2" w:rsidP="00AC6A4B">
      <w:pPr>
        <w:spacing w:line="276" w:lineRule="auto"/>
        <w:jc w:val="both"/>
        <w:rPr>
          <w:rFonts w:ascii="Arial" w:eastAsia="Arial"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lastRenderedPageBreak/>
        <w:t>El objeto de la clasificación es preservar la capacidad y con ello se pudiera inferir la fuerza de la corporación, sus funciones operativas en el desarrollo de las competencias de la Fiscalía General del Estado.</w:t>
      </w:r>
    </w:p>
    <w:p w:rsidR="002C14E2" w:rsidRDefault="002C14E2" w:rsidP="00AC6A4B">
      <w:pPr>
        <w:autoSpaceDE w:val="0"/>
        <w:autoSpaceDN w:val="0"/>
        <w:adjustRightInd w:val="0"/>
        <w:spacing w:line="276" w:lineRule="auto"/>
        <w:jc w:val="both"/>
        <w:rPr>
          <w:rFonts w:ascii="Arial" w:hAnsi="Arial" w:cs="Arial"/>
          <w:sz w:val="22"/>
          <w:szCs w:val="22"/>
        </w:rPr>
      </w:pPr>
    </w:p>
    <w:p w:rsidR="002C14E2" w:rsidRPr="00C7264B" w:rsidRDefault="00EA5651" w:rsidP="00AC6A4B">
      <w:pPr>
        <w:spacing w:line="276" w:lineRule="auto"/>
        <w:jc w:val="both"/>
        <w:rPr>
          <w:rFonts w:ascii="Arial" w:eastAsia="Arial" w:hAnsi="Arial" w:cs="Arial"/>
        </w:rPr>
      </w:pPr>
      <w:r w:rsidRPr="00C7264B">
        <w:rPr>
          <w:rFonts w:ascii="Arial" w:eastAsia="Arial" w:hAnsi="Arial" w:cs="Arial"/>
        </w:rPr>
        <w:t>Consecuentemente, se busca proteger la seguridad pública, la prevención, investigación y persecución de los delitos que son materia de su competencia.</w:t>
      </w:r>
    </w:p>
    <w:p w:rsidR="002C14E2" w:rsidRPr="00C7264B" w:rsidRDefault="002C14E2" w:rsidP="00AC6A4B">
      <w:pPr>
        <w:spacing w:line="276" w:lineRule="auto"/>
        <w:ind w:firstLine="708"/>
        <w:jc w:val="both"/>
        <w:rPr>
          <w:rFonts w:ascii="Arial" w:hAnsi="Arial" w:cs="Arial"/>
        </w:rPr>
      </w:pPr>
    </w:p>
    <w:p w:rsidR="002C14E2" w:rsidRDefault="00EA5651" w:rsidP="00AC6A4B">
      <w:pPr>
        <w:autoSpaceDE w:val="0"/>
        <w:autoSpaceDN w:val="0"/>
        <w:adjustRightInd w:val="0"/>
        <w:spacing w:line="276" w:lineRule="auto"/>
        <w:jc w:val="both"/>
        <w:rPr>
          <w:rFonts w:ascii="Arial" w:hAnsi="Arial" w:cs="Arial"/>
          <w:bCs/>
        </w:rPr>
      </w:pPr>
      <w:r>
        <w:rPr>
          <w:rFonts w:ascii="Arial" w:hAnsi="Arial" w:cs="Arial"/>
        </w:rPr>
        <w:t>De igual manera e</w:t>
      </w:r>
      <w:r>
        <w:rPr>
          <w:rFonts w:ascii="Arial" w:hAnsi="Arial" w:cs="Arial"/>
          <w:b/>
        </w:rPr>
        <w:t>l Contador Público César Isidro Cruz Director General de Administración</w:t>
      </w:r>
      <w:r>
        <w:rPr>
          <w:rFonts w:ascii="Arial" w:hAnsi="Arial" w:cs="Arial"/>
        </w:rPr>
        <w:t xml:space="preserve">, señala atingentemente las circunstancias de </w:t>
      </w:r>
      <w:r>
        <w:rPr>
          <w:rFonts w:ascii="Arial" w:hAnsi="Arial" w:cs="Arial"/>
          <w:b/>
          <w:i/>
        </w:rPr>
        <w:t xml:space="preserve">modo, tiempo, y lugar </w:t>
      </w:r>
      <w:r>
        <w:rPr>
          <w:rFonts w:ascii="Arial" w:hAnsi="Arial" w:cs="Arial"/>
        </w:rPr>
        <w:t xml:space="preserve">que acreditan el vínculo entre la difusión de la información y la afectación al interés púbico o a la seguridad nacional, señalando que para probar la relación causal entre la </w:t>
      </w:r>
      <w:r>
        <w:rPr>
          <w:rFonts w:ascii="Arial" w:hAnsi="Arial" w:cs="Arial"/>
          <w:b/>
          <w:bCs/>
          <w:i/>
          <w:iCs/>
          <w:u w:val="single"/>
        </w:rPr>
        <w:t>circunstancia de modo</w:t>
      </w:r>
      <w:r>
        <w:rPr>
          <w:rFonts w:ascii="Arial" w:hAnsi="Arial" w:cs="Arial"/>
        </w:rPr>
        <w:t>.</w:t>
      </w:r>
      <w:r>
        <w:rPr>
          <w:rFonts w:ascii="Arial" w:hAnsi="Arial" w:cs="Arial"/>
          <w:bCs/>
        </w:rPr>
        <w:t xml:space="preserve"> –</w:t>
      </w:r>
      <w:bookmarkStart w:id="1" w:name="_Hlk155262063"/>
      <w:r>
        <w:rPr>
          <w:rFonts w:ascii="Arial" w:hAnsi="Arial" w:cs="Arial"/>
          <w:bCs/>
        </w:rPr>
        <w:t xml:space="preserve"> Otorgar la información señalada</w:t>
      </w:r>
      <w:r>
        <w:rPr>
          <w:rFonts w:ascii="Arial" w:hAnsi="Arial" w:cs="Arial"/>
        </w:rPr>
        <w:t xml:space="preserve"> para dar atención a la </w:t>
      </w:r>
      <w:r>
        <w:rPr>
          <w:rFonts w:ascii="Arial" w:hAnsi="Arial" w:cs="Arial"/>
          <w:b/>
        </w:rPr>
        <w:t>Solicitud de Acceso a la Información</w:t>
      </w:r>
      <w:r>
        <w:rPr>
          <w:rFonts w:ascii="Arial" w:hAnsi="Arial" w:cs="Arial"/>
        </w:rPr>
        <w:t xml:space="preserve"> registradas con número: </w:t>
      </w:r>
      <w:r>
        <w:rPr>
          <w:rFonts w:ascii="Arial" w:hAnsi="Arial" w:cs="Arial"/>
          <w:b/>
        </w:rPr>
        <w:t>UT-SI-P-346-240469824000346-2024</w:t>
      </w:r>
      <w:r>
        <w:rPr>
          <w:rFonts w:ascii="Arial" w:hAnsi="Arial" w:cs="Arial"/>
        </w:rPr>
        <w:t>, referente a</w:t>
      </w:r>
      <w:r w:rsidR="00F75FB9">
        <w:rPr>
          <w:rFonts w:ascii="Arial" w:hAnsi="Arial" w:cs="Arial"/>
        </w:rPr>
        <w:t xml:space="preserve">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F75FB9" w:rsidRPr="00F75FB9">
        <w:rPr>
          <w:rFonts w:ascii="Arial" w:hAnsi="Arial" w:cs="Arial"/>
          <w:b/>
          <w:i/>
          <w:szCs w:val="22"/>
          <w:u w:val="single"/>
        </w:rPr>
        <w:t xml:space="preserve"> de noviembre del año</w:t>
      </w:r>
      <w:r w:rsidR="00E312E3">
        <w:rPr>
          <w:rFonts w:ascii="Arial" w:hAnsi="Arial" w:cs="Arial"/>
          <w:b/>
          <w:i/>
          <w:szCs w:val="22"/>
          <w:u w:val="single"/>
        </w:rPr>
        <w:t xml:space="preserve"> 2020 al 31</w:t>
      </w:r>
      <w:r w:rsidR="00F75FB9" w:rsidRPr="00F75FB9">
        <w:rPr>
          <w:rFonts w:ascii="Arial" w:hAnsi="Arial" w:cs="Arial"/>
          <w:b/>
          <w:i/>
          <w:szCs w:val="22"/>
          <w:u w:val="single"/>
        </w:rPr>
        <w:t xml:space="preserve"> de </w:t>
      </w:r>
      <w:r w:rsidR="00E312E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Pr>
          <w:rFonts w:ascii="Arial" w:hAnsi="Arial" w:cs="Arial"/>
        </w:rPr>
        <w:t>correspondiente a esta Fiscalía General del Estado</w:t>
      </w:r>
      <w:r>
        <w:rPr>
          <w:rFonts w:ascii="Arial" w:hAnsi="Arial" w:cs="Arial"/>
          <w:bCs/>
        </w:rPr>
        <w:t xml:space="preserve">, al ser documentos que pudiera transparentar </w:t>
      </w:r>
      <w:r w:rsidR="00FC282D">
        <w:rPr>
          <w:rFonts w:ascii="Arial" w:hAnsi="Arial" w:cs="Arial"/>
          <w:bCs/>
        </w:rPr>
        <w:t>erario</w:t>
      </w:r>
      <w:r>
        <w:rPr>
          <w:rFonts w:ascii="Arial" w:hAnsi="Arial" w:cs="Arial"/>
          <w:bCs/>
        </w:rPr>
        <w:t xml:space="preserve"> público, también es cierto, que la naturaleza de dichos documentos contiene datos como el nombre y cargo del personal, quienes aun cuando no realicen tareas operativas, tienen acceso a in formación privilegiada de las partes, tales como los imputados y víctimas que se encuentran vinculados en las investigaciones de actos delictivos como son: carpetas de investigación, registros de base de datos de la Fiscalía General del Estado como ente de seguridad, documentos judiciales y/o administrativos vinculados en la planeación, estrategia y concreción de operativos de investigación, persecución o detención de presuntos responsables de actos delictivos,  análisis criminal, documentos judiciales y/o administrativos de los registros de armas, archivos de documentación relacionada al manejo de evidencias, entre otros documentos de índole judicial o administrativo vinculados a procesos de integración, indagación o persecución delictiva, constituye un acto de desacato a la leyes rectoras de la Procuración de Justicia, dado que se estaría otorgando información con la que se puede vincular a quienes participan en los </w:t>
      </w:r>
      <w:r>
        <w:rPr>
          <w:rFonts w:ascii="Arial" w:hAnsi="Arial" w:cs="Arial"/>
          <w:bCs/>
        </w:rPr>
        <w:lastRenderedPageBreak/>
        <w:t xml:space="preserve">procesos de investigación, poniendo en riesgo no solo el debido proceso, sino al personal en su integridad física. </w:t>
      </w:r>
    </w:p>
    <w:p w:rsidR="002C14E2" w:rsidRDefault="002C14E2" w:rsidP="00AC6A4B">
      <w:pPr>
        <w:autoSpaceDE w:val="0"/>
        <w:autoSpaceDN w:val="0"/>
        <w:adjustRightInd w:val="0"/>
        <w:spacing w:line="276" w:lineRule="auto"/>
        <w:jc w:val="both"/>
        <w:rPr>
          <w:rFonts w:ascii="Arial" w:hAnsi="Arial" w:cs="Arial"/>
          <w:bCs/>
        </w:rPr>
      </w:pPr>
    </w:p>
    <w:p w:rsidR="00F75FB9" w:rsidRPr="00F75FB9" w:rsidRDefault="00EA5651" w:rsidP="00F75FB9">
      <w:pPr>
        <w:autoSpaceDE w:val="0"/>
        <w:autoSpaceDN w:val="0"/>
        <w:adjustRightInd w:val="0"/>
        <w:spacing w:line="276" w:lineRule="auto"/>
        <w:jc w:val="both"/>
        <w:rPr>
          <w:rFonts w:ascii="Arial" w:hAnsi="Arial" w:cs="Arial"/>
          <w:bCs/>
        </w:rPr>
      </w:pPr>
      <w:r w:rsidRPr="00F75FB9">
        <w:rPr>
          <w:rFonts w:ascii="Arial" w:hAnsi="Arial" w:cs="Arial"/>
          <w:bCs/>
        </w:rPr>
        <w:t xml:space="preserve">Misma que deja en evidencia las acciones emprendidas en materia de Seguridad Ciudadana, la cual tiene como eje central a la persona y sus derechos humanos, observando y respetando el ejercicio de los derechos de ciudadanía con perspectiva de género, las libertades y los derechos fundamentales, así como el fomento de una cultura de paz. </w:t>
      </w:r>
      <w:r w:rsidRPr="00F75FB9">
        <w:rPr>
          <w:rFonts w:ascii="Arial" w:hAnsi="Arial" w:cs="Arial"/>
        </w:rPr>
        <w:t>Asimismo, e</w:t>
      </w:r>
      <w:r w:rsidRPr="00F75FB9">
        <w:rPr>
          <w:rFonts w:ascii="Arial" w:hAnsi="Arial" w:cs="Arial"/>
          <w:b/>
        </w:rPr>
        <w:t>l Contador Público César Isidro Cruz Director General de Administración</w:t>
      </w:r>
      <w:r w:rsidRPr="00F75FB9">
        <w:rPr>
          <w:rFonts w:ascii="Arial" w:hAnsi="Arial" w:cs="Arial"/>
        </w:rPr>
        <w:t xml:space="preserve">, justifica que para probar la relación causal entre la </w:t>
      </w:r>
      <w:r w:rsidRPr="00F75FB9">
        <w:rPr>
          <w:rFonts w:ascii="Arial" w:hAnsi="Arial" w:cs="Arial"/>
          <w:b/>
          <w:bCs/>
          <w:u w:val="single"/>
        </w:rPr>
        <w:t xml:space="preserve">circunstancia de </w:t>
      </w:r>
      <w:r w:rsidRPr="00F75FB9">
        <w:rPr>
          <w:rFonts w:ascii="Arial" w:hAnsi="Arial" w:cs="Arial"/>
          <w:b/>
          <w:bCs/>
          <w:i/>
          <w:u w:val="single"/>
        </w:rPr>
        <w:t>tiempo</w:t>
      </w:r>
      <w:r w:rsidRPr="00F75FB9">
        <w:rPr>
          <w:rFonts w:ascii="Arial" w:hAnsi="Arial" w:cs="Arial"/>
        </w:rPr>
        <w:t>.</w:t>
      </w:r>
      <w:r w:rsidRPr="00F75FB9">
        <w:rPr>
          <w:rFonts w:ascii="Arial" w:hAnsi="Arial" w:cs="Arial"/>
          <w:bCs/>
        </w:rPr>
        <w:t xml:space="preserve">  </w:t>
      </w:r>
      <w:r w:rsidR="00F75FB9" w:rsidRPr="00F75FB9">
        <w:rPr>
          <w:rFonts w:ascii="Arial" w:hAnsi="Arial" w:cs="Arial"/>
          <w:bCs/>
        </w:rPr>
        <w:t xml:space="preserve">Debido que la información que se reserva comprende </w:t>
      </w:r>
      <w:r w:rsidR="0044501D">
        <w:rPr>
          <w:rFonts w:ascii="Arial" w:hAnsi="Arial" w:cs="Arial"/>
          <w:color w:val="231F20"/>
        </w:rPr>
        <w:t>de 1</w:t>
      </w:r>
      <w:r w:rsidR="00B8775F">
        <w:rPr>
          <w:rFonts w:ascii="Arial" w:hAnsi="Arial" w:cs="Arial"/>
          <w:color w:val="231F20"/>
        </w:rPr>
        <w:t>5</w:t>
      </w:r>
      <w:r w:rsidR="0044501D">
        <w:rPr>
          <w:rFonts w:ascii="Arial" w:hAnsi="Arial" w:cs="Arial"/>
          <w:color w:val="231F20"/>
        </w:rPr>
        <w:t xml:space="preserve"> de noviembre del 2020 al 31</w:t>
      </w:r>
      <w:r w:rsidR="00F75FB9" w:rsidRPr="00F75FB9">
        <w:rPr>
          <w:rFonts w:ascii="Arial" w:hAnsi="Arial" w:cs="Arial"/>
          <w:color w:val="231F20"/>
        </w:rPr>
        <w:t xml:space="preserve"> de </w:t>
      </w:r>
      <w:r w:rsidR="0044501D">
        <w:rPr>
          <w:rFonts w:ascii="Arial" w:hAnsi="Arial" w:cs="Arial"/>
          <w:color w:val="231F20"/>
        </w:rPr>
        <w:t>julio</w:t>
      </w:r>
      <w:r w:rsidR="00F75FB9" w:rsidRPr="00F75FB9">
        <w:rPr>
          <w:rFonts w:ascii="Arial" w:hAnsi="Arial" w:cs="Arial"/>
          <w:color w:val="231F20"/>
        </w:rPr>
        <w:t xml:space="preserve"> del 2024</w:t>
      </w:r>
      <w:r w:rsidR="00F75FB9" w:rsidRPr="00F75FB9">
        <w:rPr>
          <w:rFonts w:ascii="Arial" w:hAnsi="Arial" w:cs="Arial"/>
          <w:bCs/>
        </w:rPr>
        <w:t>, resulta necesario enfatizar que el tiempo que conllevan los procesos de integración, indagación y/o vinculación a procesos judiciales de las diversas carpetas de investigación en las que interviene el personal aquí reservado es determinado por cada caso en particular por lo que no es posible precisar el tiempo en el que pueda resolverse una carpeta de investigación, ni establecer una fecha estimada en la que se tendría la resolución correspondiente dado que ello es competencia exclusiva del juzgados. Asimismo, cabe precisar que los elementos que intervienen en una causa penal permanecen activos en los mismos aun estando vinculados a procesos judicial. Aunado a lo anterior, debe considerarse que el inicio de carpetas de investigación, la elaboración del análisis criminal, la planeación de operativos, el registro y anejo de evidencia, son actividades continuas, es decir, tampoco se puede precisar el momento en el que se iniciará una indagatoria, por lo que hacer pública la información que los identifique y los ubique, los haría blanco constante de amenazas y/o agresiones de parte de los inculparos, motivo por el que se estima viable que el plazo de reserva sea por cinco años, contados a partir del 01 de agosto del 2024 al 01 de agosto del 2029.</w:t>
      </w:r>
    </w:p>
    <w:p w:rsidR="002C14E2" w:rsidRDefault="002C14E2" w:rsidP="00F75FB9">
      <w:pPr>
        <w:autoSpaceDE w:val="0"/>
        <w:autoSpaceDN w:val="0"/>
        <w:adjustRightInd w:val="0"/>
        <w:spacing w:line="276" w:lineRule="auto"/>
        <w:jc w:val="both"/>
        <w:rPr>
          <w:rFonts w:ascii="Arial" w:hAnsi="Arial" w:cs="Arial"/>
          <w:bCs/>
        </w:rPr>
      </w:pPr>
    </w:p>
    <w:p w:rsidR="002C14E2" w:rsidRDefault="00EA5651" w:rsidP="00AC6A4B">
      <w:pPr>
        <w:autoSpaceDE w:val="0"/>
        <w:autoSpaceDN w:val="0"/>
        <w:adjustRightInd w:val="0"/>
        <w:spacing w:line="276" w:lineRule="auto"/>
        <w:jc w:val="both"/>
        <w:rPr>
          <w:rFonts w:ascii="Arial" w:eastAsia="Times New Roman" w:hAnsi="Arial" w:cs="Arial"/>
        </w:rPr>
      </w:pPr>
      <w:r>
        <w:rPr>
          <w:rFonts w:ascii="Arial" w:hAnsi="Arial" w:cs="Arial"/>
          <w:bCs/>
        </w:rPr>
        <w:t xml:space="preserve">La información que se reserva, en caso de ser difunda traería como consecuencia una afectación al interés público ya que la misma es información que pudiera establecer o dar </w:t>
      </w:r>
      <w:r w:rsidR="00FC282D">
        <w:rPr>
          <w:rFonts w:ascii="Arial" w:hAnsi="Arial" w:cs="Arial"/>
          <w:bCs/>
        </w:rPr>
        <w:t xml:space="preserve">indicios de </w:t>
      </w:r>
      <w:r>
        <w:rPr>
          <w:rFonts w:ascii="Arial" w:hAnsi="Arial" w:cs="Arial"/>
          <w:bCs/>
        </w:rPr>
        <w:t xml:space="preserve">un perjuicio significativo en el desarrollo de la investigación, al darse la divulgación de la información que nos ocupa, secrecía de la investigación actual e incluso los futuros actos de investigación que se pudieran ejecutar, causando un real detrimento a la Institución. </w:t>
      </w:r>
      <w:r>
        <w:rPr>
          <w:rFonts w:ascii="Arial" w:hAnsi="Arial" w:cs="Arial"/>
        </w:rPr>
        <w:t xml:space="preserve">En esa guisa, correctamente se considera en el acuerdo que nos ocupa que para probar la relación causal entre la </w:t>
      </w:r>
      <w:r>
        <w:rPr>
          <w:rFonts w:ascii="Arial" w:hAnsi="Arial" w:cs="Arial"/>
          <w:b/>
          <w:bCs/>
          <w:u w:val="single"/>
        </w:rPr>
        <w:t xml:space="preserve">circunstancia de </w:t>
      </w:r>
      <w:r>
        <w:rPr>
          <w:rFonts w:ascii="Arial" w:hAnsi="Arial" w:cs="Arial"/>
          <w:b/>
          <w:bCs/>
          <w:i/>
          <w:u w:val="single"/>
        </w:rPr>
        <w:t>lugar</w:t>
      </w:r>
      <w:r>
        <w:rPr>
          <w:rFonts w:ascii="Arial" w:hAnsi="Arial" w:cs="Arial"/>
          <w:u w:val="single"/>
        </w:rPr>
        <w:t>. –</w:t>
      </w:r>
      <w:r>
        <w:rPr>
          <w:rFonts w:ascii="Arial" w:hAnsi="Arial" w:cs="Arial"/>
          <w:bCs/>
        </w:rPr>
        <w:t xml:space="preserve"> </w:t>
      </w:r>
      <w:bookmarkEnd w:id="1"/>
      <w:r>
        <w:rPr>
          <w:rFonts w:ascii="Arial" w:hAnsi="Arial" w:cs="Arial"/>
          <w:bCs/>
        </w:rPr>
        <w:t xml:space="preserve">Atendiendo al ámbito de competencia territorial, se trata de todo el territorio del Estado de San Luis Potosí, asimismo, podría afectar a otras entidades puesto que las actividades de procuración de justicia se pudieran realizar de forma coordinada con las Fiscalías </w:t>
      </w:r>
      <w:r w:rsidR="00C7264B">
        <w:rPr>
          <w:rFonts w:ascii="Arial" w:hAnsi="Arial" w:cs="Arial"/>
          <w:bCs/>
        </w:rPr>
        <w:t>Estatales. Además</w:t>
      </w:r>
      <w:r>
        <w:rPr>
          <w:rFonts w:ascii="Arial" w:hAnsi="Arial" w:cs="Arial"/>
          <w:bCs/>
        </w:rPr>
        <w:t xml:space="preserve"> el hacer pública información </w:t>
      </w:r>
      <w:r>
        <w:rPr>
          <w:rFonts w:ascii="Arial" w:hAnsi="Arial" w:cs="Arial"/>
          <w:bCs/>
          <w:sz w:val="22"/>
          <w:szCs w:val="22"/>
        </w:rPr>
        <w:t xml:space="preserve"> </w:t>
      </w:r>
      <w:r>
        <w:rPr>
          <w:rFonts w:ascii="Arial" w:hAnsi="Arial" w:cs="Arial"/>
          <w:bCs/>
        </w:rPr>
        <w:t xml:space="preserve">de </w:t>
      </w:r>
      <w:r w:rsidR="00F75FB9" w:rsidRPr="00F75FB9">
        <w:rPr>
          <w:rFonts w:ascii="Arial" w:hAnsi="Arial" w:cs="Arial"/>
          <w:b/>
          <w:i/>
          <w:u w:val="single"/>
        </w:rPr>
        <w:t xml:space="preserve">“Los recibos </w:t>
      </w:r>
      <w:r w:rsidR="00F75FB9" w:rsidRPr="00F75FB9">
        <w:rPr>
          <w:rFonts w:ascii="Arial" w:hAnsi="Arial" w:cs="Arial"/>
          <w:b/>
          <w:i/>
          <w:u w:val="single"/>
        </w:rPr>
        <w:lastRenderedPageBreak/>
        <w:t xml:space="preserve">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842913">
        <w:rPr>
          <w:rFonts w:ascii="Arial" w:hAnsi="Arial" w:cs="Arial"/>
          <w:b/>
          <w:i/>
          <w:szCs w:val="22"/>
          <w:u w:val="single"/>
        </w:rPr>
        <w:t xml:space="preserve"> de noviembre del año 2020 al 31</w:t>
      </w:r>
      <w:r w:rsidR="00F75FB9" w:rsidRPr="00F75FB9">
        <w:rPr>
          <w:rFonts w:ascii="Arial" w:hAnsi="Arial" w:cs="Arial"/>
          <w:b/>
          <w:i/>
          <w:szCs w:val="22"/>
          <w:u w:val="single"/>
        </w:rPr>
        <w:t xml:space="preserve"> de </w:t>
      </w:r>
      <w:r w:rsidR="0084291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Pr>
          <w:rFonts w:ascii="Arial" w:hAnsi="Arial" w:cs="Arial"/>
        </w:rPr>
        <w:t xml:space="preserve">  </w:t>
      </w:r>
      <w:r>
        <w:rPr>
          <w:rFonts w:ascii="Arial" w:hAnsi="Arial" w:cs="Arial"/>
          <w:bCs/>
        </w:rPr>
        <w:t xml:space="preserve">puede establecer un peligro real e inminente </w:t>
      </w:r>
      <w:r>
        <w:rPr>
          <w:rFonts w:ascii="Arial" w:eastAsia="Times New Roman" w:hAnsi="Arial" w:cs="Arial"/>
        </w:rPr>
        <w:t>puesto que resultaría fácilmente ya que se daría a conocer la capacidad de reacción, dar indicios del estado de fuerza o mecanismos útiles de la Institución ante la delincuencia organizada para ejercer presión y con ellos identificar al personal operativo para con ello obstaculizar el debido proceso, llegando incluso a poner en riesgo la seguridad propia de los servidores públicos, además del orden público y seguridad pública.</w:t>
      </w:r>
    </w:p>
    <w:p w:rsidR="002C14E2" w:rsidRDefault="002C14E2" w:rsidP="00AC6A4B">
      <w:pPr>
        <w:spacing w:line="276" w:lineRule="auto"/>
        <w:jc w:val="both"/>
        <w:rPr>
          <w:rFonts w:ascii="Arial" w:hAnsi="Arial" w:cs="Arial"/>
          <w:i/>
        </w:rPr>
      </w:pPr>
    </w:p>
    <w:p w:rsidR="002C14E2" w:rsidRDefault="00EA5651" w:rsidP="00AC6A4B">
      <w:pPr>
        <w:spacing w:line="276" w:lineRule="auto"/>
        <w:jc w:val="both"/>
        <w:rPr>
          <w:rFonts w:ascii="Arial" w:eastAsia="Arial" w:hAnsi="Arial" w:cs="Arial"/>
        </w:rPr>
      </w:pPr>
      <w:r>
        <w:rPr>
          <w:rFonts w:ascii="Arial" w:hAnsi="Arial" w:cs="Arial"/>
          <w:i/>
        </w:rPr>
        <w:t>S</w:t>
      </w:r>
      <w:r>
        <w:rPr>
          <w:rFonts w:ascii="Arial" w:hAnsi="Arial" w:cs="Arial"/>
        </w:rPr>
        <w:t>e consideran acertadas las consideraciones vertidas por el</w:t>
      </w:r>
      <w:r>
        <w:rPr>
          <w:rFonts w:ascii="Arial" w:hAnsi="Arial" w:cs="Arial"/>
          <w:b/>
          <w:bCs/>
        </w:rPr>
        <w:t xml:space="preserve"> </w:t>
      </w:r>
      <w:r>
        <w:rPr>
          <w:rFonts w:ascii="Arial" w:hAnsi="Arial" w:cs="Arial"/>
          <w:b/>
        </w:rPr>
        <w:t xml:space="preserve"> Contador Público César Isidro Cruz Director General de Administración</w:t>
      </w:r>
      <w:r>
        <w:rPr>
          <w:rFonts w:ascii="Arial" w:hAnsi="Arial" w:cs="Arial"/>
        </w:rPr>
        <w:t xml:space="preserve">, ya que precisa </w:t>
      </w:r>
      <w:r>
        <w:rPr>
          <w:rFonts w:ascii="Arial" w:hAnsi="Arial" w:cs="Arial"/>
          <w:b/>
          <w:bCs/>
          <w:i/>
          <w:iCs/>
        </w:rPr>
        <w:t xml:space="preserve">las razones objetivas por las que la apertura de la información generaría un riesgo de perjuicio real, demostrable e identificable al interés jurídico tutelado de que </w:t>
      </w:r>
      <w:r>
        <w:rPr>
          <w:rFonts w:ascii="Arial" w:hAnsi="Arial" w:cs="Arial"/>
          <w:b/>
          <w:i/>
        </w:rPr>
        <w:t>se trate,</w:t>
      </w:r>
      <w:r>
        <w:rPr>
          <w:rFonts w:ascii="Arial" w:hAnsi="Arial" w:cs="Arial"/>
          <w:b/>
          <w:iCs/>
        </w:rPr>
        <w:t xml:space="preserve"> </w:t>
      </w:r>
      <w:r>
        <w:rPr>
          <w:rFonts w:ascii="Arial" w:hAnsi="Arial" w:cs="Arial"/>
          <w:iCs/>
        </w:rPr>
        <w:t xml:space="preserve">debido a </w:t>
      </w:r>
      <w:r>
        <w:rPr>
          <w:rFonts w:ascii="Arial" w:hAnsi="Arial" w:cs="Arial"/>
        </w:rPr>
        <w:t xml:space="preserve">que es claro y preciso al citar que la divulgación de la información representa un riesgo real, demostrable e identificable, de perjuicio significativo al interés público, ya que  pondría en riesgo el orden público, debido a que el dar a conocer </w:t>
      </w:r>
      <w:r>
        <w:rPr>
          <w:rFonts w:ascii="Arial" w:hAnsi="Arial" w:cs="Arial"/>
          <w:i/>
        </w:rPr>
        <w:t>la información</w:t>
      </w:r>
      <w:r>
        <w:rPr>
          <w:rFonts w:ascii="Arial" w:hAnsi="Arial" w:cs="Arial"/>
          <w:b/>
          <w:i/>
        </w:rPr>
        <w:t xml:space="preserve"> </w:t>
      </w:r>
      <w:r>
        <w:rPr>
          <w:rFonts w:ascii="Arial" w:eastAsia="Arial" w:hAnsi="Arial" w:cs="Arial"/>
        </w:rPr>
        <w:t xml:space="preserve"> </w:t>
      </w:r>
      <w:r>
        <w:rPr>
          <w:rFonts w:ascii="Arial" w:hAnsi="Arial" w:cs="Arial"/>
        </w:rPr>
        <w:t xml:space="preserve">referente a: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 xml:space="preserve">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periodo del </w:t>
      </w:r>
      <w:r w:rsidR="00B8775F">
        <w:rPr>
          <w:rFonts w:ascii="Arial" w:hAnsi="Arial" w:cs="Arial"/>
          <w:b/>
          <w:i/>
          <w:szCs w:val="22"/>
          <w:u w:val="single"/>
        </w:rPr>
        <w:t>15</w:t>
      </w:r>
      <w:r w:rsidR="00842913">
        <w:rPr>
          <w:rFonts w:ascii="Arial" w:hAnsi="Arial" w:cs="Arial"/>
          <w:b/>
          <w:i/>
          <w:szCs w:val="22"/>
          <w:u w:val="single"/>
        </w:rPr>
        <w:t xml:space="preserve"> de noviembre del año 2020 al 31</w:t>
      </w:r>
      <w:r w:rsidR="00F75FB9" w:rsidRPr="00F75FB9">
        <w:rPr>
          <w:rFonts w:ascii="Arial" w:hAnsi="Arial" w:cs="Arial"/>
          <w:b/>
          <w:i/>
          <w:szCs w:val="22"/>
          <w:u w:val="single"/>
        </w:rPr>
        <w:t xml:space="preserve"> de </w:t>
      </w:r>
      <w:r w:rsidR="0084291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Pr>
          <w:rFonts w:ascii="Arial" w:hAnsi="Arial" w:cs="Arial"/>
        </w:rPr>
        <w:t xml:space="preserve"> correspondiente a esta Fiscalía General del Estado</w:t>
      </w:r>
      <w:r>
        <w:rPr>
          <w:rFonts w:ascii="Arial" w:eastAsia="Arial" w:hAnsi="Arial" w:cs="Arial"/>
          <w:i/>
        </w:rPr>
        <w:t>,</w:t>
      </w:r>
      <w:r>
        <w:rPr>
          <w:rFonts w:ascii="Arial" w:eastAsia="Arial" w:hAnsi="Arial" w:cs="Arial"/>
        </w:rPr>
        <w:t xml:space="preserve"> supera el interés público general ya que el bien jurídico tutelado —en el supuesto concreto— es superior al derecho de acceso a la información al tratarse de la seguridad, integridad y vida de personas físicas. </w:t>
      </w:r>
    </w:p>
    <w:p w:rsidR="002C14E2" w:rsidRDefault="002C14E2" w:rsidP="00AC6A4B">
      <w:pPr>
        <w:spacing w:line="276" w:lineRule="auto"/>
        <w:ind w:firstLine="708"/>
        <w:jc w:val="both"/>
        <w:rPr>
          <w:rFonts w:ascii="Arial" w:eastAsia="Arial"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t xml:space="preserve">Se trae a colación lo anterior, dado que el hecho de hacer pública la información que integra los recursos humanos de esta Institución y su remuneración, potencializa al crimen organizado para cuantificar la forma y términos en que puede eliminar, corromper o anticipar las labores </w:t>
      </w:r>
      <w:r>
        <w:rPr>
          <w:rFonts w:ascii="Arial" w:eastAsia="Arial" w:hAnsi="Arial" w:cs="Arial"/>
        </w:rPr>
        <w:lastRenderedPageBreak/>
        <w:t>de los integrantes que apoyan en la procuración de justicia, específicamente el combate a la delincuencia, las conductas antisociales, la prevención y control del delito y de las infracciones administrativas, así como al personal que la integra, exponiendo incluso severamente su vida, su seguridad y su salud.</w:t>
      </w:r>
    </w:p>
    <w:p w:rsidR="002C14E2" w:rsidRDefault="002C14E2" w:rsidP="00AC6A4B">
      <w:pPr>
        <w:spacing w:line="276" w:lineRule="auto"/>
        <w:ind w:firstLine="708"/>
        <w:jc w:val="both"/>
        <w:rPr>
          <w:rFonts w:ascii="Arial" w:eastAsia="Arial"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t>Aunado a que para que la seguridad pública sea eficaz, se requiere que la coordinación de las instancias que forman parte del Sistema Nacional de Seguridad Pública sea integral, por medio de acciones coherentes y convergentes que aseguren la correcta distribución de la información y el acuerdo político en la toma de decisiones, así como una adecuada colaboración, lo cual se encuentra previsto desde hace una década en la Ley General que Establece las Bases de Coordinación del Sistema Nacional de Seguridad Pública.</w:t>
      </w:r>
    </w:p>
    <w:p w:rsidR="002C14E2" w:rsidRDefault="002C14E2" w:rsidP="00AC6A4B">
      <w:pPr>
        <w:spacing w:line="276" w:lineRule="auto"/>
        <w:ind w:firstLine="708"/>
        <w:jc w:val="both"/>
        <w:rPr>
          <w:rFonts w:ascii="Arial" w:eastAsia="Arial"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t xml:space="preserve">Sirve recordar que la seguridad pública es un derecho humano, no un mecanismo de control social, en un Estado de marco legal, de principios democráticos y de respeto profundo a los derechos humanos. </w:t>
      </w:r>
    </w:p>
    <w:p w:rsidR="002C14E2" w:rsidRDefault="002C14E2" w:rsidP="00AC6A4B">
      <w:pPr>
        <w:spacing w:line="276" w:lineRule="auto"/>
        <w:jc w:val="both"/>
        <w:rPr>
          <w:rFonts w:ascii="Arial" w:eastAsia="Arial" w:hAnsi="Arial" w:cs="Arial"/>
        </w:rPr>
      </w:pPr>
    </w:p>
    <w:p w:rsidR="002C14E2" w:rsidRDefault="00EA5651" w:rsidP="00AC6A4B">
      <w:pPr>
        <w:spacing w:line="276" w:lineRule="auto"/>
        <w:jc w:val="both"/>
        <w:rPr>
          <w:rFonts w:ascii="Arial" w:eastAsia="Arial" w:hAnsi="Arial" w:cs="Arial"/>
          <w:szCs w:val="22"/>
        </w:rPr>
      </w:pPr>
      <w:r>
        <w:rPr>
          <w:rFonts w:ascii="Arial" w:eastAsia="Arial" w:hAnsi="Arial" w:cs="Arial"/>
        </w:rPr>
        <w:t xml:space="preserve">Por lo que al realiza la apertura y divulgación de la información relacionada con: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7913E3">
        <w:rPr>
          <w:rFonts w:ascii="Arial" w:hAnsi="Arial" w:cs="Arial"/>
          <w:b/>
          <w:i/>
          <w:szCs w:val="22"/>
          <w:u w:val="single"/>
        </w:rPr>
        <w:t xml:space="preserve"> de noviembre del año 2020 al 31</w:t>
      </w:r>
      <w:r w:rsidR="00F75FB9" w:rsidRPr="00F75FB9">
        <w:rPr>
          <w:rFonts w:ascii="Arial" w:hAnsi="Arial" w:cs="Arial"/>
          <w:b/>
          <w:i/>
          <w:szCs w:val="22"/>
          <w:u w:val="single"/>
        </w:rPr>
        <w:t xml:space="preserve"> de </w:t>
      </w:r>
      <w:r w:rsidR="007913E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sidR="00FC282D">
        <w:rPr>
          <w:rFonts w:ascii="Arial" w:eastAsia="Arial" w:hAnsi="Arial" w:cs="Arial"/>
          <w:szCs w:val="22"/>
        </w:rPr>
        <w:t xml:space="preserve"> se</w:t>
      </w:r>
      <w:r>
        <w:rPr>
          <w:rFonts w:ascii="Arial" w:eastAsia="Arial" w:hAnsi="Arial" w:cs="Arial"/>
          <w:szCs w:val="22"/>
        </w:rPr>
        <w:t xml:space="preserve"> corre el riesgo de intromisión a los sistemas, amenazando la seguridad pública, la paz social, la conducción de investigaciones y el ejercicio de la acción penal, por lo que salvaguardar la seguridad pública supera cualquier interés en particular, así como poner en situación de vulnerabilidad a los operadores de los mismos.</w:t>
      </w:r>
    </w:p>
    <w:p w:rsidR="00C7264B" w:rsidRDefault="00C7264B" w:rsidP="00AC6A4B">
      <w:pPr>
        <w:spacing w:line="276" w:lineRule="auto"/>
        <w:jc w:val="both"/>
        <w:rPr>
          <w:rFonts w:ascii="Arial" w:eastAsia="Arial" w:hAnsi="Arial" w:cs="Arial"/>
          <w:szCs w:val="22"/>
        </w:rPr>
      </w:pPr>
    </w:p>
    <w:p w:rsidR="002C14E2" w:rsidRDefault="00EA5651" w:rsidP="00AC6A4B">
      <w:pPr>
        <w:autoSpaceDE w:val="0"/>
        <w:autoSpaceDN w:val="0"/>
        <w:adjustRightInd w:val="0"/>
        <w:spacing w:line="276" w:lineRule="auto"/>
        <w:jc w:val="both"/>
        <w:rPr>
          <w:rFonts w:ascii="Arial" w:hAnsi="Arial" w:cs="Arial"/>
          <w:i/>
          <w:szCs w:val="22"/>
        </w:rPr>
      </w:pPr>
      <w:r>
        <w:rPr>
          <w:rFonts w:ascii="Arial" w:eastAsia="Times New Roman" w:hAnsi="Arial" w:cs="Arial"/>
          <w:szCs w:val="22"/>
        </w:rPr>
        <w:t xml:space="preserve">Dicho de otra manera, los grupos delincuenciales, al conocer la cantidad y la capacidad económica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principio de prohibición de doble enjuiciamiento al proporcionar en la información solicitada mediante solicitud de información </w:t>
      </w:r>
      <w:r>
        <w:rPr>
          <w:rFonts w:ascii="Arial" w:hAnsi="Arial" w:cs="Arial"/>
          <w:b/>
          <w:szCs w:val="22"/>
        </w:rPr>
        <w:t>UT-SI-P-346-</w:t>
      </w:r>
      <w:r>
        <w:rPr>
          <w:rFonts w:ascii="Arial" w:hAnsi="Arial" w:cs="Arial"/>
          <w:b/>
          <w:szCs w:val="22"/>
        </w:rPr>
        <w:lastRenderedPageBreak/>
        <w:t xml:space="preserve">240469824000346-2024. </w:t>
      </w:r>
      <w:r>
        <w:rPr>
          <w:rFonts w:ascii="Arial" w:eastAsia="Times New Roman" w:hAnsi="Arial" w:cs="Arial"/>
          <w:szCs w:val="22"/>
        </w:rPr>
        <w:t>Derivado de lo anterior se estima que la difusión de los datos que se buscan reservar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rsidR="002C14E2" w:rsidRDefault="002C14E2" w:rsidP="00AC6A4B">
      <w:pPr>
        <w:spacing w:line="276" w:lineRule="auto"/>
        <w:ind w:firstLine="708"/>
        <w:jc w:val="both"/>
        <w:rPr>
          <w:rFonts w:ascii="Arial" w:eastAsia="Arial" w:hAnsi="Arial" w:cs="Arial"/>
          <w:szCs w:val="22"/>
        </w:rPr>
      </w:pPr>
    </w:p>
    <w:p w:rsidR="002C14E2" w:rsidRDefault="00EA5651" w:rsidP="00AC6A4B">
      <w:pPr>
        <w:spacing w:line="276" w:lineRule="auto"/>
        <w:jc w:val="both"/>
        <w:rPr>
          <w:rFonts w:ascii="Arial" w:eastAsia="Arial" w:hAnsi="Arial" w:cs="Arial"/>
        </w:rPr>
      </w:pPr>
      <w:r>
        <w:rPr>
          <w:rFonts w:ascii="Arial" w:eastAsia="Arial" w:hAnsi="Arial" w:cs="Arial"/>
          <w:szCs w:val="22"/>
        </w:rPr>
        <w:t>Máxime, que el derecho fundamental a la seguridad pública demanda una política de prevención del delito que permita hacer efectivo el ideal de una vida segura orientada al desarrollo de los individuos sin mayores limitaciones</w:t>
      </w:r>
      <w:r>
        <w:rPr>
          <w:rFonts w:ascii="Arial" w:eastAsia="Arial" w:hAnsi="Arial" w:cs="Arial"/>
        </w:rPr>
        <w:t xml:space="preserve"> que las establecidas en las leyes. En este sentido, es oportuno precisar que, la prevención del delito constituye una de las obligaciones a cargo del Estado mexicano reconocida en nuestro sistema jurídico; así, dicha obligación debe abarcar todas aquellas medidas de carácter jurídico, político, administrativo y cultural que promuevan la salvaguarda de los derechos humanos y aseguren que las eventuales violaciones a los mismos sean efectivamente sancionadas conforme a la ley.</w:t>
      </w:r>
    </w:p>
    <w:p w:rsidR="002C14E2" w:rsidRDefault="002C14E2" w:rsidP="00AC6A4B">
      <w:pPr>
        <w:spacing w:line="276" w:lineRule="auto"/>
        <w:ind w:firstLine="708"/>
        <w:jc w:val="both"/>
        <w:rPr>
          <w:rFonts w:ascii="Arial" w:eastAsia="Arial"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t xml:space="preserve">Bajo esta premisa, el brindar acceso a la información de la Fiscalía General del Estado, se compromete la seguridad del Estado y su sociedad e inclusive Nacional, ya que se pone en peligro la capacidad de reacción de la Institución causando un serio perjuicio a las actividades de seguridad pública, investigación, persecución y el ejercicio de la acción penal, así como el ejercicio de las </w:t>
      </w:r>
      <w:r>
        <w:rPr>
          <w:rFonts w:ascii="Arial" w:hAnsi="Arial" w:cs="Arial"/>
        </w:rPr>
        <w:t>autoridades de inteligencia tienen el poder de reservar información superficialmente inocua sobre la base de que podría permitir a un observador descubrir —a través de la creación de mosaicos— la identidad de una fuente de inteligencia. Un componente esencial en el uso de esta doctrina es la deferencia de los tribunales hacia la pericia —“expertise”— de las agencias y dependencias en materia seguridad nacional, toda vez que son estas quienes mejor pueden evaluar los riesgos de seguridad.</w:t>
      </w:r>
    </w:p>
    <w:p w:rsidR="002C14E2" w:rsidRDefault="002C14E2" w:rsidP="00AC6A4B">
      <w:pPr>
        <w:spacing w:line="276" w:lineRule="auto"/>
        <w:jc w:val="both"/>
        <w:rPr>
          <w:rFonts w:ascii="Arial" w:eastAsia="Times New Roman" w:hAnsi="Arial" w:cs="Arial"/>
        </w:rPr>
      </w:pPr>
    </w:p>
    <w:p w:rsidR="002C14E2" w:rsidRDefault="00EA5651" w:rsidP="00AC6A4B">
      <w:pPr>
        <w:spacing w:line="276" w:lineRule="auto"/>
        <w:jc w:val="both"/>
        <w:rPr>
          <w:rFonts w:ascii="Arial" w:eastAsia="Times New Roman" w:hAnsi="Arial" w:cs="Arial"/>
        </w:rPr>
      </w:pPr>
      <w:r>
        <w:rPr>
          <w:rFonts w:ascii="Arial" w:eastAsia="Times New Roman" w:hAnsi="Arial" w:cs="Arial"/>
        </w:rPr>
        <w:t xml:space="preserve">Al hacer pública la información que ahora se reserva, con motivo de la </w:t>
      </w:r>
      <w:r>
        <w:rPr>
          <w:rFonts w:ascii="Arial" w:eastAsia="Times New Roman" w:hAnsi="Arial" w:cs="Arial"/>
          <w:b/>
        </w:rPr>
        <w:t>So</w:t>
      </w:r>
      <w:r>
        <w:rPr>
          <w:rFonts w:ascii="Arial" w:hAnsi="Arial" w:cs="Arial"/>
          <w:b/>
        </w:rPr>
        <w:t>licitud de Acceso a la Información registradas con número: UT-SI-P-346-240469824000346-2024</w:t>
      </w:r>
      <w:r>
        <w:rPr>
          <w:rFonts w:ascii="Arial" w:hAnsi="Arial" w:cs="Arial"/>
        </w:rPr>
        <w:t xml:space="preserve">, referente a: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7913E3">
        <w:rPr>
          <w:rFonts w:ascii="Arial" w:hAnsi="Arial" w:cs="Arial"/>
          <w:b/>
          <w:i/>
          <w:szCs w:val="22"/>
          <w:u w:val="single"/>
        </w:rPr>
        <w:t xml:space="preserve"> de noviembre del año 2020 al 31</w:t>
      </w:r>
      <w:r w:rsidR="00F75FB9" w:rsidRPr="00F75FB9">
        <w:rPr>
          <w:rFonts w:ascii="Arial" w:hAnsi="Arial" w:cs="Arial"/>
          <w:b/>
          <w:i/>
          <w:szCs w:val="22"/>
          <w:u w:val="single"/>
        </w:rPr>
        <w:t xml:space="preserve"> de </w:t>
      </w:r>
      <w:r w:rsidR="007913E3">
        <w:rPr>
          <w:rFonts w:ascii="Arial" w:hAnsi="Arial" w:cs="Arial"/>
          <w:b/>
          <w:i/>
          <w:szCs w:val="22"/>
          <w:u w:val="single"/>
        </w:rPr>
        <w:t>julio</w:t>
      </w:r>
      <w:r w:rsidR="00F75FB9" w:rsidRPr="00F75FB9">
        <w:rPr>
          <w:rFonts w:ascii="Arial" w:hAnsi="Arial" w:cs="Arial"/>
          <w:b/>
          <w:i/>
          <w:szCs w:val="22"/>
          <w:u w:val="single"/>
        </w:rPr>
        <w:t xml:space="preserve"> </w:t>
      </w:r>
      <w:r w:rsidR="00F75FB9" w:rsidRPr="00F75FB9">
        <w:rPr>
          <w:rFonts w:ascii="Arial" w:hAnsi="Arial" w:cs="Arial"/>
          <w:b/>
          <w:i/>
          <w:szCs w:val="22"/>
          <w:u w:val="single"/>
        </w:rPr>
        <w:lastRenderedPageBreak/>
        <w:t>del año 2024”</w:t>
      </w:r>
      <w:r w:rsidR="00F75FB9" w:rsidRPr="00F75FB9">
        <w:rPr>
          <w:rFonts w:ascii="Arial" w:hAnsi="Arial" w:cs="Arial"/>
        </w:rPr>
        <w:t>,</w:t>
      </w:r>
      <w:r w:rsidR="00F75FB9" w:rsidRPr="0036068C">
        <w:t xml:space="preserve"> </w:t>
      </w:r>
      <w:r>
        <w:rPr>
          <w:rFonts w:ascii="Arial" w:hAnsi="Arial" w:cs="Arial"/>
        </w:rPr>
        <w:t>correspondiente a esta Fiscalía General del Estado</w:t>
      </w:r>
      <w:r>
        <w:rPr>
          <w:rFonts w:ascii="Arial" w:hAnsi="Arial" w:cs="Arial"/>
          <w:b/>
          <w:i/>
        </w:rPr>
        <w:t>.</w:t>
      </w:r>
      <w:r>
        <w:rPr>
          <w:rFonts w:ascii="Arial" w:eastAsia="Times New Roman" w:hAnsi="Arial" w:cs="Arial"/>
        </w:rPr>
        <w:t xml:space="preserve"> Es información que puede forman parte en diversas bases de datos criminalísticas y de personal donde se actúa información a la que únicamente pueden tener acceso los actores estratégicos de los cuerpos de seguridad pública, como lo establecen los Artículos 3°, 5° fracción III, 56 fracción XXVI, 93, 93 Bis y 126 de la Ley del Sistema de Seguridad Pública del Estado:</w:t>
      </w:r>
    </w:p>
    <w:p w:rsidR="00FC282D" w:rsidRDefault="00FC282D">
      <w:pPr>
        <w:ind w:firstLine="357"/>
        <w:jc w:val="both"/>
        <w:rPr>
          <w:rFonts w:ascii="Arial" w:eastAsia="Times New Roman" w:hAnsi="Arial" w:cs="Arial"/>
        </w:rPr>
      </w:pPr>
    </w:p>
    <w:p w:rsidR="002C14E2" w:rsidRDefault="00EA5651">
      <w:pPr>
        <w:ind w:left="1080" w:right="1998"/>
        <w:jc w:val="both"/>
        <w:rPr>
          <w:rFonts w:ascii="Arial" w:eastAsia="Times New Roman" w:hAnsi="Arial" w:cs="Arial"/>
          <w:i/>
          <w:sz w:val="20"/>
          <w:szCs w:val="20"/>
        </w:rPr>
      </w:pPr>
      <w:r>
        <w:rPr>
          <w:rFonts w:ascii="Arial" w:eastAsia="Times New Roman" w:hAnsi="Arial" w:cs="Arial"/>
          <w:i/>
          <w:sz w:val="20"/>
          <w:szCs w:val="20"/>
        </w:rPr>
        <w:t xml:space="preserve">“… </w:t>
      </w:r>
      <w:r>
        <w:rPr>
          <w:rFonts w:ascii="Arial" w:eastAsia="Times New Roman" w:hAnsi="Arial" w:cs="Arial"/>
          <w:b/>
          <w:i/>
          <w:sz w:val="20"/>
          <w:szCs w:val="20"/>
        </w:rPr>
        <w:t>ARTICULO 3°.</w:t>
      </w:r>
      <w:r>
        <w:rPr>
          <w:rFonts w:ascii="Arial" w:eastAsia="Times New Roman" w:hAnsi="Arial" w:cs="Arial"/>
          <w:i/>
          <w:sz w:val="20"/>
          <w:szCs w:val="20"/>
        </w:rPr>
        <w:t xml:space="preserve"> </w:t>
      </w:r>
      <w:r>
        <w:rPr>
          <w:rFonts w:ascii="Arial" w:eastAsia="Times New Roman" w:hAnsi="Arial" w:cs="Arial"/>
          <w:b/>
          <w:i/>
          <w:sz w:val="20"/>
          <w:szCs w:val="20"/>
        </w:rPr>
        <w:t xml:space="preserve">La función de seguridad pública se realizará en los diversos ámbitos de competencia por conducto de las instituciones policiales, de la </w:t>
      </w:r>
      <w:r>
        <w:rPr>
          <w:rFonts w:ascii="Arial" w:eastAsia="Times New Roman" w:hAnsi="Arial" w:cs="Arial"/>
          <w:b/>
          <w:i/>
          <w:sz w:val="20"/>
          <w:szCs w:val="20"/>
          <w:u w:val="single"/>
        </w:rPr>
        <w:t>Fiscalía General del Estado</w:t>
      </w:r>
      <w:r>
        <w:rPr>
          <w:rFonts w:ascii="Arial" w:eastAsia="Times New Roman" w:hAnsi="Arial" w:cs="Arial"/>
          <w:i/>
          <w:sz w:val="20"/>
          <w:szCs w:val="20"/>
        </w:rPr>
        <w:t>, de las instancias encargadas de aplicar las infracciones administrativas, de la supervisión de medidas cautelares, de suspensión condicional del procedimiento, de los responsables de la prisión preventiva y ejecución de penas, de las autoridades competentes en materia de justicia para adolescentes, así como por las demás autoridades que, en razón de sus atribuciones, deban contribuir directa o indirectamente al objeto de esta Ley…(sic)”.</w:t>
      </w:r>
    </w:p>
    <w:p w:rsidR="002C14E2" w:rsidRDefault="002C14E2">
      <w:pPr>
        <w:ind w:left="426" w:right="2054" w:firstLine="708"/>
        <w:jc w:val="both"/>
        <w:rPr>
          <w:rFonts w:ascii="Arial" w:hAnsi="Arial" w:cs="Arial"/>
          <w:b/>
          <w:sz w:val="20"/>
          <w:szCs w:val="20"/>
        </w:rPr>
      </w:pPr>
    </w:p>
    <w:p w:rsidR="002C14E2" w:rsidRDefault="00EA5651">
      <w:pPr>
        <w:ind w:left="426" w:right="2054" w:firstLine="708"/>
        <w:jc w:val="both"/>
        <w:rPr>
          <w:rFonts w:ascii="Arial" w:hAnsi="Arial" w:cs="Arial"/>
          <w:b/>
          <w:sz w:val="20"/>
          <w:szCs w:val="20"/>
        </w:rPr>
      </w:pPr>
      <w:r>
        <w:rPr>
          <w:rFonts w:ascii="Arial" w:hAnsi="Arial" w:cs="Arial"/>
          <w:sz w:val="20"/>
          <w:szCs w:val="20"/>
        </w:rPr>
        <w:t>“…</w:t>
      </w:r>
      <w:r>
        <w:rPr>
          <w:rFonts w:ascii="Arial" w:hAnsi="Arial" w:cs="Arial"/>
          <w:b/>
          <w:sz w:val="20"/>
          <w:szCs w:val="20"/>
        </w:rPr>
        <w:t>ARTICULO 5°. Para los efectos de esta Ley se entiende por:</w:t>
      </w:r>
    </w:p>
    <w:p w:rsidR="002C14E2" w:rsidRDefault="002C14E2">
      <w:pPr>
        <w:ind w:left="426" w:right="2054" w:firstLine="708"/>
        <w:jc w:val="both"/>
        <w:rPr>
          <w:rFonts w:ascii="Arial" w:hAnsi="Arial" w:cs="Arial"/>
          <w:b/>
          <w:sz w:val="20"/>
          <w:szCs w:val="20"/>
        </w:rPr>
      </w:pPr>
    </w:p>
    <w:p w:rsidR="002C14E2" w:rsidRDefault="00EA5651">
      <w:pPr>
        <w:ind w:left="1134" w:right="2054"/>
        <w:jc w:val="both"/>
        <w:rPr>
          <w:rFonts w:ascii="Arial" w:hAnsi="Arial" w:cs="Arial"/>
          <w:i/>
          <w:sz w:val="20"/>
          <w:szCs w:val="20"/>
        </w:rPr>
      </w:pPr>
      <w:r>
        <w:rPr>
          <w:rFonts w:ascii="Arial" w:hAnsi="Arial" w:cs="Arial"/>
          <w:b/>
          <w:i/>
          <w:sz w:val="20"/>
          <w:szCs w:val="20"/>
        </w:rPr>
        <w:t xml:space="preserve">III. Bases de datos criminalísticas y de personal: </w:t>
      </w:r>
      <w:r>
        <w:rPr>
          <w:rFonts w:ascii="Arial" w:hAnsi="Arial" w:cs="Arial"/>
          <w:i/>
          <w:sz w:val="20"/>
          <w:szCs w:val="20"/>
        </w:rPr>
        <w:t xml:space="preserve">la información estatal, impresa o electrónica contenida en ellas en materia de, detenciones, información criminal, </w:t>
      </w:r>
      <w:r>
        <w:rPr>
          <w:rFonts w:ascii="Arial" w:hAnsi="Arial" w:cs="Arial"/>
          <w:b/>
          <w:i/>
          <w:sz w:val="20"/>
          <w:szCs w:val="20"/>
        </w:rPr>
        <w:t xml:space="preserve">personal de seguridad pública, </w:t>
      </w:r>
      <w:r>
        <w:rPr>
          <w:rFonts w:ascii="Arial" w:hAnsi="Arial" w:cs="Arial"/>
          <w:i/>
          <w:sz w:val="20"/>
          <w:szCs w:val="20"/>
        </w:rPr>
        <w:t xml:space="preserve">servicios de seguridad privada, armamento y equipo, vehículos, huellas dactilares, registro público vehicular, sentenciados, barandillas, </w:t>
      </w:r>
      <w:r>
        <w:rPr>
          <w:rFonts w:ascii="Arial" w:hAnsi="Arial" w:cs="Arial"/>
          <w:b/>
          <w:i/>
          <w:sz w:val="20"/>
          <w:szCs w:val="20"/>
        </w:rPr>
        <w:t>y las demás necesarias para la operación del Sistema</w:t>
      </w:r>
      <w:r>
        <w:rPr>
          <w:rFonts w:ascii="Arial" w:hAnsi="Arial" w:cs="Arial"/>
          <w:i/>
          <w:sz w:val="20"/>
          <w:szCs w:val="20"/>
        </w:rPr>
        <w:t>…(sic)”.</w:t>
      </w:r>
    </w:p>
    <w:p w:rsidR="002C14E2" w:rsidRDefault="002C14E2">
      <w:pPr>
        <w:ind w:left="1134" w:right="2054"/>
        <w:jc w:val="both"/>
        <w:rPr>
          <w:rFonts w:ascii="Arial" w:hAnsi="Arial" w:cs="Arial"/>
          <w:b/>
          <w:sz w:val="20"/>
          <w:szCs w:val="20"/>
        </w:rPr>
      </w:pPr>
    </w:p>
    <w:p w:rsidR="002C14E2" w:rsidRDefault="00EA5651">
      <w:pPr>
        <w:ind w:left="1134" w:right="2034"/>
        <w:jc w:val="both"/>
        <w:rPr>
          <w:rFonts w:ascii="Arial" w:eastAsia="Times New Roman" w:hAnsi="Arial" w:cs="Arial"/>
          <w:i/>
          <w:sz w:val="20"/>
          <w:szCs w:val="20"/>
        </w:rPr>
      </w:pPr>
      <w:r>
        <w:rPr>
          <w:rFonts w:ascii="Arial" w:eastAsia="Times New Roman" w:hAnsi="Arial" w:cs="Arial"/>
          <w:b/>
          <w:i/>
          <w:sz w:val="20"/>
          <w:szCs w:val="20"/>
        </w:rPr>
        <w:t xml:space="preserve">ARTICULO 56. </w:t>
      </w:r>
      <w:r>
        <w:rPr>
          <w:rFonts w:ascii="Arial" w:eastAsia="Times New Roman" w:hAnsi="Arial" w:cs="Arial"/>
          <w:i/>
          <w:sz w:val="20"/>
          <w:szCs w:val="20"/>
        </w:rPr>
        <w:t>Son obligaciones de los integrantes de los cuerpos de seguridad pública:</w:t>
      </w:r>
      <w:r>
        <w:rPr>
          <w:rFonts w:ascii="Arial" w:eastAsia="Times New Roman" w:hAnsi="Arial" w:cs="Arial"/>
          <w:i/>
          <w:sz w:val="20"/>
          <w:szCs w:val="20"/>
        </w:rPr>
        <w:cr/>
      </w:r>
    </w:p>
    <w:p w:rsidR="002C14E2" w:rsidRDefault="00EA5651">
      <w:pPr>
        <w:ind w:left="1134" w:right="2034" w:firstLine="288"/>
        <w:jc w:val="both"/>
        <w:rPr>
          <w:rFonts w:ascii="Arial" w:eastAsia="Times New Roman" w:hAnsi="Arial" w:cs="Arial"/>
          <w:i/>
          <w:sz w:val="20"/>
          <w:szCs w:val="20"/>
        </w:rPr>
      </w:pPr>
      <w:r>
        <w:rPr>
          <w:rFonts w:ascii="Arial" w:eastAsia="Times New Roman" w:hAnsi="Arial" w:cs="Arial"/>
          <w:b/>
          <w:i/>
          <w:sz w:val="20"/>
          <w:szCs w:val="20"/>
        </w:rPr>
        <w:t>XXVI.</w:t>
      </w:r>
      <w:r>
        <w:rPr>
          <w:rFonts w:ascii="Arial" w:eastAsia="Times New Roman" w:hAnsi="Arial" w:cs="Arial"/>
          <w:i/>
          <w:sz w:val="20"/>
          <w:szCs w:val="20"/>
        </w:rPr>
        <w:t xml:space="preserve"> Abstenerse, conforme a las disposiciones aplicables, de dar a conocer por cualquier medio a quien no tenga derecho, documentos, registros, imágenes, constancias, estadísticas, reportes o cualquier otra información reservada o confidencial de la que tenga conocimiento en ejercicio y con motivo de su empleo, cargo o comisión;</w:t>
      </w:r>
    </w:p>
    <w:p w:rsidR="002C14E2" w:rsidRDefault="002C14E2">
      <w:pPr>
        <w:ind w:left="1134" w:right="2034"/>
        <w:jc w:val="both"/>
        <w:rPr>
          <w:rFonts w:ascii="Arial" w:eastAsia="Times New Roman" w:hAnsi="Arial" w:cs="Arial"/>
          <w:b/>
          <w:i/>
          <w:sz w:val="20"/>
          <w:szCs w:val="20"/>
        </w:rPr>
      </w:pPr>
    </w:p>
    <w:p w:rsidR="002C14E2" w:rsidRDefault="00EA5651">
      <w:pPr>
        <w:ind w:left="1134" w:right="2034"/>
        <w:jc w:val="both"/>
        <w:rPr>
          <w:rFonts w:ascii="Arial" w:eastAsia="Times New Roman" w:hAnsi="Arial" w:cs="Arial"/>
          <w:i/>
          <w:sz w:val="20"/>
          <w:szCs w:val="20"/>
        </w:rPr>
      </w:pPr>
      <w:r>
        <w:rPr>
          <w:rFonts w:ascii="Arial" w:eastAsia="Times New Roman" w:hAnsi="Arial" w:cs="Arial"/>
          <w:b/>
          <w:i/>
          <w:sz w:val="20"/>
          <w:szCs w:val="20"/>
        </w:rPr>
        <w:t>ARTICULO 93.</w:t>
      </w:r>
      <w:r>
        <w:rPr>
          <w:rFonts w:ascii="Arial" w:eastAsia="Times New Roman" w:hAnsi="Arial" w:cs="Arial"/>
          <w:i/>
          <w:sz w:val="20"/>
          <w:szCs w:val="20"/>
        </w:rPr>
        <w:t xml:space="preserve"> El sistema de información sobre seguridad pública se integrará entre otros, con los siguientes registros: de personal de seguridad pública; de </w:t>
      </w:r>
      <w:r>
        <w:rPr>
          <w:rFonts w:ascii="Arial" w:eastAsia="Times New Roman" w:hAnsi="Arial" w:cs="Arial"/>
          <w:b/>
          <w:i/>
          <w:sz w:val="20"/>
          <w:szCs w:val="20"/>
          <w:u w:val="single"/>
        </w:rPr>
        <w:t>armamento</w:t>
      </w:r>
      <w:r>
        <w:rPr>
          <w:rFonts w:ascii="Arial" w:eastAsia="Times New Roman" w:hAnsi="Arial" w:cs="Arial"/>
          <w:i/>
          <w:sz w:val="20"/>
          <w:szCs w:val="20"/>
        </w:rPr>
        <w:t xml:space="preserve"> y equipo; de informe policial homologado; estadísticas sobre seguridad; administrativo de detenciones; y de las empresas de seguridad privada.</w:t>
      </w:r>
    </w:p>
    <w:p w:rsidR="002C14E2" w:rsidRDefault="002C14E2">
      <w:pPr>
        <w:ind w:left="1134" w:right="2034"/>
        <w:jc w:val="both"/>
        <w:rPr>
          <w:rFonts w:ascii="Arial" w:eastAsia="Times New Roman" w:hAnsi="Arial" w:cs="Arial"/>
          <w:i/>
          <w:sz w:val="20"/>
          <w:szCs w:val="20"/>
        </w:rPr>
      </w:pPr>
    </w:p>
    <w:p w:rsidR="002C14E2" w:rsidRDefault="00EA5651">
      <w:pPr>
        <w:ind w:left="1134" w:right="2034"/>
        <w:jc w:val="both"/>
        <w:rPr>
          <w:rFonts w:ascii="Arial" w:eastAsia="Times New Roman" w:hAnsi="Arial" w:cs="Arial"/>
          <w:i/>
          <w:sz w:val="20"/>
          <w:szCs w:val="20"/>
        </w:rPr>
      </w:pPr>
      <w:r>
        <w:rPr>
          <w:rFonts w:ascii="Arial" w:eastAsia="Times New Roman" w:hAnsi="Arial" w:cs="Arial"/>
          <w:b/>
          <w:i/>
          <w:sz w:val="20"/>
          <w:szCs w:val="20"/>
        </w:rPr>
        <w:t>ARTÍCULO 93 Bis.</w:t>
      </w:r>
      <w:r>
        <w:rPr>
          <w:rFonts w:ascii="Arial" w:eastAsia="Times New Roman" w:hAnsi="Arial" w:cs="Arial"/>
          <w:i/>
          <w:sz w:val="20"/>
          <w:szCs w:val="20"/>
          <w:u w:val="single"/>
        </w:rPr>
        <w:t xml:space="preserve"> Se clasifica como reservada la información contenida en todas y cada una de las bases de datos del sistema,</w:t>
      </w:r>
      <w:r>
        <w:rPr>
          <w:rFonts w:ascii="Arial" w:eastAsia="Times New Roman" w:hAnsi="Arial" w:cs="Arial"/>
          <w:i/>
          <w:sz w:val="20"/>
          <w:szCs w:val="20"/>
        </w:rPr>
        <w:t xml:space="preserve"> </w:t>
      </w:r>
      <w:r>
        <w:rPr>
          <w:rFonts w:ascii="Arial" w:eastAsia="Times New Roman" w:hAnsi="Arial" w:cs="Arial"/>
          <w:i/>
          <w:sz w:val="20"/>
          <w:szCs w:val="20"/>
          <w:u w:val="single"/>
        </w:rPr>
        <w:t>y la información contenida en ellos</w:t>
      </w:r>
      <w:r>
        <w:rPr>
          <w:rFonts w:ascii="Arial" w:eastAsia="Times New Roman" w:hAnsi="Arial" w:cs="Arial"/>
          <w:i/>
          <w:sz w:val="20"/>
          <w:szCs w:val="20"/>
        </w:rPr>
        <w:t xml:space="preserve">, en materia de detenciones, información criminal, </w:t>
      </w:r>
      <w:r>
        <w:rPr>
          <w:rFonts w:ascii="Arial" w:eastAsia="Times New Roman" w:hAnsi="Arial" w:cs="Arial"/>
          <w:i/>
          <w:sz w:val="20"/>
          <w:szCs w:val="20"/>
          <w:u w:val="single"/>
        </w:rPr>
        <w:t>personal de seguridad pública</w:t>
      </w:r>
      <w:r>
        <w:rPr>
          <w:rFonts w:ascii="Arial" w:eastAsia="Times New Roman" w:hAnsi="Arial" w:cs="Arial"/>
          <w:i/>
          <w:sz w:val="20"/>
          <w:szCs w:val="20"/>
        </w:rPr>
        <w:t xml:space="preserve">, personal y equipo de los servicios de seguridad privada, </w:t>
      </w:r>
      <w:r>
        <w:rPr>
          <w:rFonts w:ascii="Arial" w:eastAsia="Times New Roman" w:hAnsi="Arial" w:cs="Arial"/>
          <w:b/>
          <w:i/>
          <w:sz w:val="20"/>
          <w:szCs w:val="20"/>
        </w:rPr>
        <w:t>armamento</w:t>
      </w:r>
      <w:r>
        <w:rPr>
          <w:rFonts w:ascii="Arial" w:eastAsia="Times New Roman" w:hAnsi="Arial" w:cs="Arial"/>
          <w:i/>
          <w:sz w:val="20"/>
          <w:szCs w:val="20"/>
        </w:rPr>
        <w:t xml:space="preserve"> y equipo, vehículos, huellas dactilares, teléfonos celulares, </w:t>
      </w:r>
      <w:r>
        <w:rPr>
          <w:rFonts w:ascii="Arial" w:eastAsia="Times New Roman" w:hAnsi="Arial" w:cs="Arial"/>
          <w:i/>
          <w:sz w:val="20"/>
          <w:szCs w:val="20"/>
        </w:rPr>
        <w:lastRenderedPageBreak/>
        <w:t xml:space="preserve">medidas cautelares, soluciones alternas y formas de terminación anticipada, sentenciados, </w:t>
      </w:r>
      <w:r>
        <w:rPr>
          <w:rFonts w:ascii="Arial" w:eastAsia="Times New Roman" w:hAnsi="Arial" w:cs="Arial"/>
          <w:i/>
          <w:sz w:val="20"/>
          <w:szCs w:val="20"/>
          <w:u w:val="single"/>
        </w:rPr>
        <w:t>y las demás necesarias para la operación del Sistema.</w:t>
      </w:r>
    </w:p>
    <w:p w:rsidR="002C14E2" w:rsidRDefault="002C14E2">
      <w:pPr>
        <w:ind w:left="1134" w:right="2034"/>
        <w:jc w:val="both"/>
        <w:rPr>
          <w:rFonts w:ascii="Arial" w:eastAsia="Times New Roman" w:hAnsi="Arial" w:cs="Arial"/>
          <w:i/>
          <w:sz w:val="20"/>
          <w:szCs w:val="20"/>
        </w:rPr>
      </w:pPr>
    </w:p>
    <w:p w:rsidR="00FC282D" w:rsidRDefault="00FC282D">
      <w:pPr>
        <w:ind w:left="1134" w:right="2034"/>
        <w:jc w:val="both"/>
        <w:rPr>
          <w:rFonts w:ascii="Arial" w:eastAsia="Times New Roman" w:hAnsi="Arial" w:cs="Arial"/>
          <w:i/>
          <w:sz w:val="20"/>
          <w:szCs w:val="20"/>
        </w:rPr>
      </w:pPr>
    </w:p>
    <w:p w:rsidR="002C14E2" w:rsidRDefault="00EA5651">
      <w:pPr>
        <w:ind w:left="1134" w:right="2034"/>
        <w:jc w:val="both"/>
        <w:rPr>
          <w:rFonts w:ascii="Arial" w:eastAsia="Times New Roman" w:hAnsi="Arial" w:cs="Arial"/>
          <w:i/>
          <w:sz w:val="20"/>
          <w:szCs w:val="20"/>
        </w:rPr>
      </w:pPr>
      <w:r>
        <w:rPr>
          <w:rFonts w:ascii="Arial" w:eastAsia="Times New Roman" w:hAnsi="Arial" w:cs="Arial"/>
          <w:b/>
          <w:i/>
          <w:sz w:val="20"/>
          <w:szCs w:val="20"/>
        </w:rPr>
        <w:t>ARTICULO 126</w:t>
      </w:r>
      <w:r>
        <w:rPr>
          <w:rFonts w:ascii="Arial" w:eastAsia="Times New Roman" w:hAnsi="Arial" w:cs="Arial"/>
          <w:i/>
          <w:sz w:val="20"/>
          <w:szCs w:val="20"/>
        </w:rPr>
        <w:t>, En cualquier supuesto que amerite sanción, se deberá respetar en todo momento las garantías de, audiencia, debido proceso, y principio de presunción de inocencia.</w:t>
      </w:r>
      <w:r>
        <w:rPr>
          <w:rFonts w:ascii="Arial" w:eastAsia="Times New Roman" w:hAnsi="Arial" w:cs="Arial"/>
          <w:i/>
          <w:sz w:val="20"/>
          <w:szCs w:val="20"/>
        </w:rPr>
        <w:cr/>
        <w:t>…</w:t>
      </w:r>
    </w:p>
    <w:p w:rsidR="002C14E2" w:rsidRDefault="00EA5651">
      <w:pPr>
        <w:ind w:left="1134" w:right="2034"/>
        <w:jc w:val="both"/>
        <w:rPr>
          <w:rFonts w:ascii="Arial" w:eastAsia="Times New Roman" w:hAnsi="Arial" w:cs="Arial"/>
          <w:i/>
          <w:sz w:val="20"/>
          <w:szCs w:val="20"/>
        </w:rPr>
      </w:pPr>
      <w:r>
        <w:rPr>
          <w:rFonts w:ascii="Arial" w:eastAsia="Times New Roman" w:hAnsi="Arial" w:cs="Arial"/>
          <w:i/>
          <w:sz w:val="20"/>
          <w:szCs w:val="20"/>
        </w:rPr>
        <w:t xml:space="preserve"> Fracción 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La resolución que clasifique la información como confidencial deberá estar debidamente fundada; y tal carácter no podrá ser impedimento para que dicha información sea puesta a disposición de las autoridades jurisdiccionales competentes.</w:t>
      </w:r>
    </w:p>
    <w:p w:rsidR="002C14E2" w:rsidRDefault="002C14E2">
      <w:pPr>
        <w:jc w:val="both"/>
        <w:rPr>
          <w:rFonts w:ascii="Arial" w:eastAsia="Times New Roman" w:hAnsi="Arial" w:cs="Arial"/>
        </w:rPr>
      </w:pPr>
    </w:p>
    <w:p w:rsidR="002C14E2" w:rsidRDefault="00EA5651" w:rsidP="00AC6A4B">
      <w:pPr>
        <w:spacing w:line="276" w:lineRule="auto"/>
        <w:jc w:val="both"/>
        <w:rPr>
          <w:rFonts w:ascii="Arial" w:eastAsia="Arial" w:hAnsi="Arial" w:cs="Arial"/>
        </w:rPr>
      </w:pPr>
      <w:r>
        <w:rPr>
          <w:rFonts w:ascii="Arial" w:eastAsia="Arial" w:hAnsi="Arial" w:cs="Arial"/>
        </w:rPr>
        <w:t>Se actualiza un particular daño presente, probable y específico dada la situación de seguridad que actualmente vive el país respecto de la lucha contra la delincuencia organizada, la gravedad del tipo de delito que comenten y la permanencia que ha tenido en los últimos años. Los grupos delincuenciales podrían extorsionar o amenazar a la Institución para la obtención de datos técnicos o sensibles que les permita evadir las acciones implementadas por la Fiscalía General del Estado en su contra.</w:t>
      </w:r>
    </w:p>
    <w:p w:rsidR="002C14E2" w:rsidRDefault="002C14E2" w:rsidP="00AC6A4B">
      <w:pPr>
        <w:spacing w:line="276" w:lineRule="auto"/>
        <w:jc w:val="both"/>
        <w:rPr>
          <w:rFonts w:ascii="Arial" w:eastAsia="Arial" w:hAnsi="Arial" w:cs="Arial"/>
        </w:rPr>
      </w:pPr>
    </w:p>
    <w:p w:rsidR="002C14E2" w:rsidRDefault="00EA5651" w:rsidP="00AC6A4B">
      <w:pPr>
        <w:shd w:val="clear" w:color="auto" w:fill="FFFFFF" w:themeFill="background1"/>
        <w:autoSpaceDE w:val="0"/>
        <w:autoSpaceDN w:val="0"/>
        <w:adjustRightInd w:val="0"/>
        <w:spacing w:line="276" w:lineRule="auto"/>
        <w:jc w:val="both"/>
        <w:rPr>
          <w:rFonts w:ascii="Arial" w:hAnsi="Arial" w:cs="Arial"/>
          <w:b/>
          <w:i/>
        </w:rPr>
      </w:pPr>
      <w:r>
        <w:rPr>
          <w:rFonts w:ascii="Arial" w:hAnsi="Arial" w:cs="Arial"/>
          <w:b/>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2C14E2" w:rsidRDefault="002C14E2" w:rsidP="00AC6A4B">
      <w:pPr>
        <w:shd w:val="clear" w:color="auto" w:fill="FFFFFF" w:themeFill="background1"/>
        <w:autoSpaceDE w:val="0"/>
        <w:autoSpaceDN w:val="0"/>
        <w:adjustRightInd w:val="0"/>
        <w:spacing w:line="276" w:lineRule="auto"/>
        <w:jc w:val="both"/>
        <w:rPr>
          <w:rFonts w:ascii="Arial" w:hAnsi="Arial" w:cs="Arial"/>
          <w:b/>
          <w:i/>
          <w:highlight w:val="yellow"/>
        </w:rPr>
      </w:pPr>
    </w:p>
    <w:p w:rsidR="002C14E2" w:rsidRDefault="00EA5651" w:rsidP="00FC282D">
      <w:pPr>
        <w:autoSpaceDE w:val="0"/>
        <w:autoSpaceDN w:val="0"/>
        <w:adjustRightInd w:val="0"/>
        <w:spacing w:line="276" w:lineRule="auto"/>
        <w:jc w:val="both"/>
        <w:rPr>
          <w:rFonts w:ascii="Arial" w:hAnsi="Arial" w:cs="Arial"/>
          <w:bCs/>
          <w:color w:val="231F20"/>
        </w:rPr>
      </w:pPr>
      <w:r>
        <w:rPr>
          <w:rFonts w:ascii="Arial" w:hAnsi="Arial" w:cs="Arial"/>
          <w:bCs/>
          <w:color w:val="231F20"/>
        </w:rPr>
        <w:t xml:space="preserve">A razón de que el Derecho de Acceso a la Información Pública, como se establece en las convenciones y leyes nacionales, representa un derecho fundamental para todos los ciudadanos que deseen buscar y recibir información y datos en manos del Estado. Asimismo, es importante porque permite participar en los asuntos políticos y monitorear las acciones del Estado transparentando la gestión pública. </w:t>
      </w:r>
      <w:r>
        <w:rPr>
          <w:rFonts w:ascii="Arial" w:hAnsi="Arial" w:cs="Arial"/>
          <w:bCs/>
          <w:color w:val="231F20"/>
        </w:rPr>
        <w:cr/>
      </w:r>
    </w:p>
    <w:p w:rsidR="002C14E2" w:rsidRDefault="00EA5651" w:rsidP="00FC282D">
      <w:pPr>
        <w:autoSpaceDE w:val="0"/>
        <w:autoSpaceDN w:val="0"/>
        <w:adjustRightInd w:val="0"/>
        <w:spacing w:line="276" w:lineRule="auto"/>
        <w:jc w:val="both"/>
        <w:rPr>
          <w:rFonts w:ascii="Arial" w:hAnsi="Arial" w:cs="Arial"/>
          <w:bCs/>
          <w:color w:val="231F20"/>
        </w:rPr>
      </w:pPr>
      <w:r>
        <w:rPr>
          <w:rFonts w:ascii="Arial" w:hAnsi="Arial" w:cs="Arial"/>
          <w:bCs/>
          <w:color w:val="231F20"/>
        </w:rPr>
        <w:t xml:space="preserve">El ejercicio del derecho de acceso a la información pública fortalece la participación ciudadana, las políticas públicas, la gestión pública y por ende la gobernabilidad democrática. Al mismo </w:t>
      </w:r>
      <w:r>
        <w:rPr>
          <w:rFonts w:ascii="Arial" w:hAnsi="Arial" w:cs="Arial"/>
          <w:bCs/>
          <w:color w:val="231F20"/>
        </w:rPr>
        <w:lastRenderedPageBreak/>
        <w:t>tiempo, permite reforzar la legitimidad del sistema democrático incorporando al ciudadano en los procesos de deliberación, gestión y evaluación de las políticas públicas, sumando un componente de sustentabilidad a las políticas públicas.</w:t>
      </w:r>
    </w:p>
    <w:p w:rsidR="002C14E2" w:rsidRDefault="002C14E2" w:rsidP="00AC6A4B">
      <w:pPr>
        <w:autoSpaceDE w:val="0"/>
        <w:autoSpaceDN w:val="0"/>
        <w:adjustRightInd w:val="0"/>
        <w:spacing w:line="276" w:lineRule="auto"/>
        <w:ind w:firstLine="708"/>
        <w:jc w:val="both"/>
        <w:rPr>
          <w:rFonts w:ascii="Arial" w:hAnsi="Arial" w:cs="Arial"/>
          <w:bCs/>
          <w:color w:val="231F20"/>
        </w:rPr>
      </w:pPr>
    </w:p>
    <w:p w:rsidR="002C14E2" w:rsidRDefault="00EA5651" w:rsidP="00FC282D">
      <w:pPr>
        <w:autoSpaceDE w:val="0"/>
        <w:autoSpaceDN w:val="0"/>
        <w:adjustRightInd w:val="0"/>
        <w:spacing w:line="276" w:lineRule="auto"/>
        <w:jc w:val="both"/>
        <w:rPr>
          <w:rFonts w:ascii="Arial" w:hAnsi="Arial" w:cs="Arial"/>
          <w:bCs/>
          <w:color w:val="231F20"/>
        </w:rPr>
      </w:pPr>
      <w:r>
        <w:rPr>
          <w:rFonts w:ascii="Arial" w:hAnsi="Arial" w:cs="Arial"/>
          <w:bCs/>
          <w:color w:val="231F20"/>
        </w:rPr>
        <w:t>Derivado de ello, cualquier institución, organismo, autoridad o entidad que ejerza recursos públicos son responsables de llevar a cabo el proceso de rendición de cuentas y presentar los resultados a la sociedad en su papel de crítico y juzgador. Desde el ámbito ciudadano se puede pedir a los funcionarios públicos que informen sobre sus decisiones o que expliquen sus actos, así como la forma para acceder a trámites y servicios, entre otros.</w:t>
      </w:r>
    </w:p>
    <w:p w:rsidR="002C14E2" w:rsidRDefault="002C14E2" w:rsidP="00AC6A4B">
      <w:pPr>
        <w:spacing w:line="276" w:lineRule="auto"/>
        <w:jc w:val="both"/>
        <w:rPr>
          <w:rFonts w:ascii="Arial" w:eastAsia="Arial" w:hAnsi="Arial" w:cs="Arial"/>
        </w:rPr>
      </w:pPr>
    </w:p>
    <w:p w:rsidR="002C14E2" w:rsidRDefault="00EA5651" w:rsidP="00FC282D">
      <w:pPr>
        <w:spacing w:line="276" w:lineRule="auto"/>
        <w:jc w:val="both"/>
        <w:rPr>
          <w:rFonts w:ascii="Arial" w:eastAsia="Arial" w:hAnsi="Arial" w:cs="Arial"/>
        </w:rPr>
      </w:pPr>
      <w:r>
        <w:rPr>
          <w:rFonts w:ascii="Arial" w:eastAsia="Arial" w:hAnsi="Arial" w:cs="Arial"/>
        </w:rPr>
        <w:t>La seguridad pública se ha convertido en una preocupación fundamental de la sociedad mexicana y, por tanto, en una de las cuestiones a resolver por parte de los servidores públicos responsables de garantizarla; nuestro país ha experimentado diversas transformaciones en sus sistemas político, jurídico y social, que si bien demuestran una evolución en las instituciones de la República, éstas no han sido suficientes para garantizar un mejor nivel de seguridad pública, ni tampoco para frenar la creciente ola de delincuencia que los mexicanos enfrentamos diariamente, no obstante que la seguridad es una condición necesaria para el fortalecimiento de la sociedad y uno de los principales elementos para asegurar la calidad de vida de todo ser humano.</w:t>
      </w:r>
    </w:p>
    <w:p w:rsidR="002C14E2" w:rsidRDefault="002C14E2" w:rsidP="00AC6A4B">
      <w:pPr>
        <w:spacing w:line="276" w:lineRule="auto"/>
        <w:jc w:val="both"/>
        <w:rPr>
          <w:rFonts w:ascii="Arial" w:eastAsia="Arial" w:hAnsi="Arial" w:cs="Arial"/>
        </w:rPr>
      </w:pPr>
    </w:p>
    <w:p w:rsidR="002C14E2" w:rsidRDefault="00EA5651" w:rsidP="000D48ED">
      <w:pPr>
        <w:spacing w:line="276" w:lineRule="auto"/>
        <w:jc w:val="both"/>
        <w:rPr>
          <w:rFonts w:ascii="Arial" w:eastAsia="Arial" w:hAnsi="Arial" w:cs="Arial"/>
        </w:rPr>
      </w:pPr>
      <w:r>
        <w:rPr>
          <w:rFonts w:ascii="Arial" w:eastAsia="Arial" w:hAnsi="Arial" w:cs="Arial"/>
        </w:rPr>
        <w:t>Por lo cual al Estado mexicano le corresponde actuar con eficiencia, eficacia y firme determinación para lograr una sociedad en la que impere el Estado de derecho. En consecuencia, el respeto a la ley constituye la base fundamental para una convivencia social armónica y el pleno desarrollo nacional; para que éste prevalezca y se garantice la seguridad de las personas y sus bienes, se requiere que los individuos y las autoridades se conduzcan conforme a las leyes, y cuando éstas son violentadas es necesaria, entonces, la actuación decidida del Estado en el combate a la inseguridad.</w:t>
      </w:r>
    </w:p>
    <w:p w:rsidR="002C14E2" w:rsidRDefault="002C14E2" w:rsidP="00AC6A4B">
      <w:pPr>
        <w:spacing w:line="276" w:lineRule="auto"/>
        <w:ind w:firstLine="708"/>
        <w:jc w:val="both"/>
        <w:rPr>
          <w:rFonts w:ascii="Arial" w:eastAsia="Arial" w:hAnsi="Arial" w:cs="Arial"/>
        </w:rPr>
      </w:pPr>
    </w:p>
    <w:p w:rsidR="002C14E2" w:rsidRDefault="00EA5651" w:rsidP="000D48ED">
      <w:pPr>
        <w:spacing w:line="276" w:lineRule="auto"/>
        <w:jc w:val="both"/>
        <w:rPr>
          <w:rFonts w:ascii="Arial" w:eastAsia="Arial" w:hAnsi="Arial" w:cs="Arial"/>
        </w:rPr>
      </w:pPr>
      <w:r>
        <w:rPr>
          <w:rFonts w:ascii="Arial" w:eastAsia="Arial" w:hAnsi="Arial" w:cs="Arial"/>
        </w:rPr>
        <w:t xml:space="preserve">Respecto de las herramientas relacionadas a la seguridad, calidad, usabilidad, accesibilidad e interoperabilidad, con ellas se resguardan datos relacionados a la investigación y persecución del delito, así como el seguimiento de procedimientos judiciales e información que de darse a conocer hace vulnerable a la procuración de justicia, por ello es necesario asegurar la reserva de la información contenida en: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 xml:space="preserve">que se encuentren adscrito a los Órganos Tácticos Operativos de la Fiscalía </w:t>
      </w:r>
      <w:r w:rsidR="00F75FB9" w:rsidRPr="00F75FB9">
        <w:rPr>
          <w:rFonts w:ascii="Arial" w:hAnsi="Arial" w:cs="Arial"/>
          <w:b/>
          <w:i/>
          <w:szCs w:val="22"/>
          <w:u w:val="single"/>
        </w:rPr>
        <w:lastRenderedPageBreak/>
        <w:t>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F75FB9" w:rsidRPr="00F75FB9">
        <w:rPr>
          <w:rFonts w:ascii="Arial" w:hAnsi="Arial" w:cs="Arial"/>
          <w:b/>
          <w:i/>
          <w:szCs w:val="22"/>
          <w:u w:val="single"/>
        </w:rPr>
        <w:t xml:space="preserve"> de noviembre del año 2</w:t>
      </w:r>
      <w:r w:rsidR="007913E3">
        <w:rPr>
          <w:rFonts w:ascii="Arial" w:hAnsi="Arial" w:cs="Arial"/>
          <w:b/>
          <w:i/>
          <w:szCs w:val="22"/>
          <w:u w:val="single"/>
        </w:rPr>
        <w:t>020 al 31</w:t>
      </w:r>
      <w:r w:rsidR="00F75FB9" w:rsidRPr="00F75FB9">
        <w:rPr>
          <w:rFonts w:ascii="Arial" w:hAnsi="Arial" w:cs="Arial"/>
          <w:b/>
          <w:i/>
          <w:szCs w:val="22"/>
          <w:u w:val="single"/>
        </w:rPr>
        <w:t xml:space="preserve"> de </w:t>
      </w:r>
      <w:r w:rsidR="007913E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sidR="00FC282D">
        <w:rPr>
          <w:rFonts w:ascii="Arial" w:eastAsia="Arial" w:hAnsi="Arial" w:cs="Arial"/>
        </w:rPr>
        <w:t xml:space="preserve"> por</w:t>
      </w:r>
      <w:r>
        <w:rPr>
          <w:rFonts w:ascii="Arial" w:eastAsia="Arial" w:hAnsi="Arial" w:cs="Arial"/>
        </w:rPr>
        <w:t xml:space="preserve"> lo que de entregar la información especificada pone en riesgo el cumplimiento de las principales obligación constitucional, la investigación y persecución, ante todos los tribunales, de los delitos del orden estatal, lo cual afecta la seguridad pública prevista en el artículo 122 BIS y TER de la Constitución Estatal.</w:t>
      </w:r>
    </w:p>
    <w:p w:rsidR="002C14E2" w:rsidRDefault="002C14E2" w:rsidP="00AC6A4B">
      <w:pPr>
        <w:spacing w:line="276" w:lineRule="auto"/>
        <w:jc w:val="both"/>
        <w:rPr>
          <w:rFonts w:ascii="Arial" w:eastAsia="Arial" w:hAnsi="Arial" w:cs="Arial"/>
          <w:lang w:val="es-ES"/>
        </w:rPr>
      </w:pPr>
    </w:p>
    <w:p w:rsidR="002C14E2" w:rsidRDefault="00EA5651" w:rsidP="00AC6A4B">
      <w:pPr>
        <w:spacing w:line="276" w:lineRule="auto"/>
        <w:jc w:val="both"/>
        <w:rPr>
          <w:rFonts w:ascii="Arial" w:eastAsia="Arial" w:hAnsi="Arial" w:cs="Arial"/>
          <w:lang w:val="es-ES"/>
        </w:rPr>
      </w:pPr>
      <w:r>
        <w:rPr>
          <w:rFonts w:ascii="Arial" w:eastAsia="Arial" w:hAnsi="Arial" w:cs="Arial"/>
          <w:lang w:val="es-ES"/>
        </w:rPr>
        <w:t xml:space="preserve">Por su parte el derecho de acceso a la información relacionada con información referente a: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F75FB9" w:rsidRPr="00F75FB9">
        <w:rPr>
          <w:rFonts w:ascii="Arial" w:hAnsi="Arial" w:cs="Arial"/>
          <w:b/>
          <w:i/>
          <w:szCs w:val="22"/>
          <w:u w:val="single"/>
        </w:rPr>
        <w:t xml:space="preserve"> de noviembre del año</w:t>
      </w:r>
      <w:r w:rsidR="007913E3">
        <w:rPr>
          <w:rFonts w:ascii="Arial" w:hAnsi="Arial" w:cs="Arial"/>
          <w:b/>
          <w:i/>
          <w:szCs w:val="22"/>
          <w:u w:val="single"/>
        </w:rPr>
        <w:t xml:space="preserve"> 2020 al 31</w:t>
      </w:r>
      <w:r w:rsidR="00F75FB9" w:rsidRPr="00F75FB9">
        <w:rPr>
          <w:rFonts w:ascii="Arial" w:hAnsi="Arial" w:cs="Arial"/>
          <w:b/>
          <w:i/>
          <w:szCs w:val="22"/>
          <w:u w:val="single"/>
        </w:rPr>
        <w:t xml:space="preserve"> de </w:t>
      </w:r>
      <w:r w:rsidR="007913E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Pr>
          <w:rFonts w:ascii="Arial" w:eastAsia="Arial" w:hAnsi="Arial" w:cs="Arial"/>
          <w:lang w:val="es-ES"/>
        </w:rPr>
        <w:t>se estaría privilegiando el derecho de acceder a información pública, la cual encuentra sus excepciones en la clasificación de información confidencial y reservada, por lo que este derecho no es absoluto.</w:t>
      </w:r>
    </w:p>
    <w:p w:rsidR="002C14E2" w:rsidRDefault="002C14E2" w:rsidP="00AC6A4B">
      <w:pPr>
        <w:spacing w:line="276" w:lineRule="auto"/>
        <w:jc w:val="both"/>
        <w:rPr>
          <w:rFonts w:ascii="Arial" w:eastAsia="Arial" w:hAnsi="Arial" w:cs="Arial"/>
          <w:lang w:val="es-ES"/>
        </w:rPr>
      </w:pPr>
    </w:p>
    <w:p w:rsidR="002C14E2" w:rsidRDefault="00EA5651" w:rsidP="00AC6A4B">
      <w:pPr>
        <w:spacing w:line="276" w:lineRule="auto"/>
        <w:jc w:val="both"/>
        <w:rPr>
          <w:rFonts w:ascii="Arial" w:eastAsia="Arial" w:hAnsi="Arial" w:cs="Arial"/>
          <w:lang w:val="es-ES"/>
        </w:rPr>
      </w:pPr>
      <w:r>
        <w:rPr>
          <w:rFonts w:ascii="Arial" w:eastAsia="Arial" w:hAnsi="Arial" w:cs="Arial"/>
          <w:lang w:val="es-ES"/>
        </w:rPr>
        <w:t>Pues en la especie, se actualizan los supuestos previstos en los fundamentos jurídicos señalados, ya que la información de referencia de la Fiscalía General de Justicia, está relacionada con la seguridad pública del Estado y permitir su acceso podría vulnerar la seguridad de la entidad federativa, poniendo en peligro el orden público y en riesgo la vida, seguridad o salud de los elementos encargados de velar por ella, incluso de los habitantes del territorio.</w:t>
      </w:r>
    </w:p>
    <w:p w:rsidR="002C14E2" w:rsidRDefault="002C14E2" w:rsidP="00AC6A4B">
      <w:pPr>
        <w:spacing w:line="276" w:lineRule="auto"/>
        <w:jc w:val="both"/>
        <w:rPr>
          <w:rFonts w:ascii="Arial" w:eastAsia="Arial" w:hAnsi="Arial" w:cs="Arial"/>
          <w:lang w:val="es-ES"/>
        </w:rPr>
      </w:pPr>
    </w:p>
    <w:p w:rsidR="002C14E2" w:rsidRDefault="00EA5651" w:rsidP="00AC6A4B">
      <w:pPr>
        <w:spacing w:line="276" w:lineRule="auto"/>
        <w:jc w:val="both"/>
        <w:rPr>
          <w:rFonts w:ascii="Arial" w:eastAsia="Arial" w:hAnsi="Arial" w:cs="Arial"/>
          <w:lang w:val="es-ES"/>
        </w:rPr>
      </w:pPr>
      <w:r>
        <w:rPr>
          <w:rFonts w:ascii="Arial" w:eastAsia="Arial" w:hAnsi="Arial" w:cs="Arial"/>
          <w:lang w:val="es-ES"/>
        </w:rPr>
        <w:t xml:space="preserve">Ello es así, dado que el hecho de hacer pública la información que integra los recursos humanos de la Institución y su remuneración, potencializa al crimen organizado, pues revelar la información en análisis podría eliminar, corromper o anticipar las labores de los integrantes que apoyan en la procuración de justicia, específicamente, incidiría en el combate a la delincuencia y las conductas antisociales, la prevención y control del delito y de las infracciones administrativas. </w:t>
      </w:r>
    </w:p>
    <w:p w:rsidR="002C14E2" w:rsidRDefault="002C14E2" w:rsidP="00AC6A4B">
      <w:pPr>
        <w:spacing w:line="276" w:lineRule="auto"/>
        <w:ind w:firstLine="708"/>
        <w:jc w:val="both"/>
        <w:rPr>
          <w:rFonts w:ascii="Arial" w:eastAsia="Arial" w:hAnsi="Arial" w:cs="Arial"/>
          <w:lang w:val="es-ES"/>
        </w:rPr>
      </w:pPr>
    </w:p>
    <w:p w:rsidR="002C14E2" w:rsidRDefault="00EA5651" w:rsidP="00AC6A4B">
      <w:pPr>
        <w:spacing w:line="276" w:lineRule="auto"/>
        <w:jc w:val="both"/>
        <w:rPr>
          <w:rFonts w:ascii="Arial" w:eastAsia="Arial" w:hAnsi="Arial" w:cs="Arial"/>
          <w:lang w:val="es-ES"/>
        </w:rPr>
      </w:pPr>
      <w:r>
        <w:rPr>
          <w:rFonts w:ascii="Arial" w:eastAsia="Arial" w:hAnsi="Arial" w:cs="Arial"/>
          <w:lang w:val="es-ES"/>
        </w:rPr>
        <w:lastRenderedPageBreak/>
        <w:t xml:space="preserve">Además, que, el personal operativo y administrativo, quedaría expuesto severamente podría eliminar, corromper o anticipar las labores de los integrantes que apoyan en la procuración de justicia, específicamente, incidiría en el combate a la delincuencia y las conductas antisociales, la prevención y control del delito y de las infracciones administrativas. </w:t>
      </w:r>
    </w:p>
    <w:p w:rsidR="002C14E2" w:rsidRDefault="002C14E2" w:rsidP="00AC6A4B">
      <w:pPr>
        <w:spacing w:line="276" w:lineRule="auto"/>
        <w:ind w:firstLine="708"/>
        <w:jc w:val="both"/>
        <w:rPr>
          <w:rFonts w:ascii="Arial" w:eastAsia="Arial" w:hAnsi="Arial" w:cs="Arial"/>
          <w:lang w:val="es-ES"/>
        </w:rPr>
      </w:pPr>
    </w:p>
    <w:p w:rsidR="002C14E2" w:rsidRDefault="00EA5651" w:rsidP="00AC6A4B">
      <w:pPr>
        <w:spacing w:line="276" w:lineRule="auto"/>
        <w:jc w:val="both"/>
        <w:rPr>
          <w:rFonts w:ascii="Arial" w:eastAsia="Arial" w:hAnsi="Arial" w:cs="Arial"/>
          <w:lang w:val="es-ES"/>
        </w:rPr>
      </w:pPr>
      <w:r>
        <w:rPr>
          <w:rFonts w:ascii="Arial" w:eastAsia="Arial" w:hAnsi="Arial" w:cs="Arial"/>
          <w:lang w:val="es-ES"/>
        </w:rPr>
        <w:t>Pondría de manifiesto el Estado de Fuerza de la Institución, lo que se traería como consecuencia una disminución o incluso una carencia de seguridad pública en la entidad federativa, pues el hecho de hacer público la cantidad de agentes operativos, así como la identificación de los administrativos, comprometería gravemente la posible revelación de las capacidades operativas, logísticas y de reacción del cuerpo de procuración de justicia del Estado.</w:t>
      </w:r>
    </w:p>
    <w:p w:rsidR="002C14E2" w:rsidRDefault="002C14E2" w:rsidP="00AC6A4B">
      <w:pPr>
        <w:spacing w:line="276" w:lineRule="auto"/>
        <w:jc w:val="both"/>
        <w:rPr>
          <w:rFonts w:ascii="Arial" w:eastAsia="Arial" w:hAnsi="Arial" w:cs="Arial"/>
          <w:lang w:val="es-ES"/>
        </w:rPr>
      </w:pPr>
    </w:p>
    <w:p w:rsidR="002C14E2" w:rsidRDefault="00EA5651" w:rsidP="00AC6A4B">
      <w:pPr>
        <w:spacing w:line="276" w:lineRule="auto"/>
        <w:jc w:val="both"/>
        <w:rPr>
          <w:rFonts w:ascii="Arial" w:eastAsia="Arial" w:hAnsi="Arial" w:cs="Arial"/>
          <w:lang w:val="es-ES"/>
        </w:rPr>
      </w:pPr>
      <w:r>
        <w:rPr>
          <w:rFonts w:ascii="Arial" w:eastAsia="Arial" w:hAnsi="Arial" w:cs="Arial"/>
          <w:lang w:val="es-ES"/>
        </w:rPr>
        <w:t>Puesto que al obsequiarse esta información, fácilmente se puede dar a conocer el número del personal sustantivo, en cualquiera de sus categorías, con los que se cuenta, pondría de manifiesto el Estado de Fuerza de la Institución, lo que se traería como consecuencia una disminución o incluso una carencia de seguridad pública en la entidad federativa, pues el hecho de hacer público la cantidad de agentes operativos, así como la identificación de los administrativos, comprometería gravemente la posible revelación de las capacidades operativas, logísticas y de reacción del cuerpo de procuración de justicia del Estado.</w:t>
      </w:r>
    </w:p>
    <w:p w:rsidR="002C14E2" w:rsidRDefault="002C14E2" w:rsidP="00AC6A4B">
      <w:pPr>
        <w:spacing w:line="276" w:lineRule="auto"/>
        <w:ind w:firstLine="708"/>
        <w:jc w:val="both"/>
        <w:rPr>
          <w:rFonts w:ascii="Arial" w:eastAsia="Arial" w:hAnsi="Arial" w:cs="Arial"/>
          <w:lang w:val="es-ES"/>
        </w:rPr>
      </w:pPr>
    </w:p>
    <w:p w:rsidR="002C14E2" w:rsidRDefault="00EA5651" w:rsidP="00AC6A4B">
      <w:pPr>
        <w:spacing w:line="276" w:lineRule="auto"/>
        <w:jc w:val="both"/>
        <w:rPr>
          <w:rFonts w:ascii="Arial" w:eastAsia="Arial" w:hAnsi="Arial" w:cs="Arial"/>
          <w:lang w:val="es-ES"/>
        </w:rPr>
      </w:pPr>
      <w:r>
        <w:rPr>
          <w:rFonts w:ascii="Arial" w:eastAsia="Arial" w:hAnsi="Arial" w:cs="Arial"/>
          <w:lang w:val="es-ES"/>
        </w:rPr>
        <w:t>La publicidad de la información interés de la Fiscalía General de Justicia del Estado, podría servir como un dato estratégico para que las personas que despliegan conductas antisociales o los grupos delictivos conozcan los medios y elementos, y por consecuencia la estrategia, que pudiera desplegarse para el cumplimiento de los objetivos legítimos del Estado de San Luis Potosí, en lo concerniente a la persecución y la investigación de los delitos, ya que tendrían la posibilidad de anticiparse, eludir, obstaculizar o bloquear las operaciones que se ejercen en materia de procuración de justicia, alterándose así, el orden público.</w:t>
      </w:r>
    </w:p>
    <w:p w:rsidR="002C14E2" w:rsidRDefault="002C14E2" w:rsidP="00AC6A4B">
      <w:pPr>
        <w:spacing w:line="276" w:lineRule="auto"/>
        <w:ind w:firstLine="360"/>
        <w:jc w:val="both"/>
        <w:rPr>
          <w:rFonts w:ascii="Arial" w:eastAsia="Arial" w:hAnsi="Arial" w:cs="Arial"/>
          <w:lang w:val="es-ES"/>
        </w:rPr>
      </w:pPr>
    </w:p>
    <w:p w:rsidR="002C14E2" w:rsidRPr="004562A8" w:rsidRDefault="00EA5651" w:rsidP="00AC6A4B">
      <w:pPr>
        <w:spacing w:line="276" w:lineRule="auto"/>
        <w:jc w:val="both"/>
        <w:rPr>
          <w:rFonts w:ascii="Arial" w:eastAsia="Arial" w:hAnsi="Arial" w:cs="Arial"/>
          <w:u w:val="single"/>
        </w:rPr>
      </w:pPr>
      <w:r>
        <w:rPr>
          <w:rFonts w:ascii="Arial" w:eastAsia="Arial" w:hAnsi="Arial" w:cs="Arial"/>
        </w:rPr>
        <w:t xml:space="preserve">Razón por la que </w:t>
      </w:r>
      <w:r w:rsidRPr="004562A8">
        <w:rPr>
          <w:rFonts w:ascii="Arial" w:eastAsia="Arial" w:hAnsi="Arial" w:cs="Arial"/>
          <w:u w:val="single"/>
        </w:rPr>
        <w:t>prevalece el derecho a la Seguridad Social, Estatal</w:t>
      </w:r>
      <w:r>
        <w:rPr>
          <w:rFonts w:ascii="Arial" w:eastAsia="Arial" w:hAnsi="Arial" w:cs="Arial"/>
        </w:rPr>
        <w:t xml:space="preserve">, la paz, la prevención, investigación y persecución de los delitos, sobre el </w:t>
      </w:r>
      <w:r w:rsidRPr="004562A8">
        <w:rPr>
          <w:rFonts w:ascii="Arial" w:eastAsia="Arial" w:hAnsi="Arial" w:cs="Arial"/>
          <w:u w:val="single"/>
        </w:rPr>
        <w:t>derecho de acceso a la información el cual no es absoluto.</w:t>
      </w:r>
    </w:p>
    <w:p w:rsidR="002C14E2" w:rsidRDefault="002C14E2" w:rsidP="00AC6A4B">
      <w:pPr>
        <w:autoSpaceDE w:val="0"/>
        <w:autoSpaceDN w:val="0"/>
        <w:adjustRightInd w:val="0"/>
        <w:spacing w:line="276" w:lineRule="auto"/>
        <w:ind w:firstLine="360"/>
        <w:jc w:val="both"/>
        <w:rPr>
          <w:rFonts w:ascii="Arial" w:eastAsiaTheme="minorHAnsi" w:hAnsi="Arial" w:cs="Arial"/>
          <w:color w:val="000000"/>
          <w:lang w:eastAsia="en-US"/>
        </w:rPr>
      </w:pPr>
    </w:p>
    <w:p w:rsidR="002C14E2" w:rsidRDefault="00EA5651" w:rsidP="00AC6A4B">
      <w:pPr>
        <w:autoSpaceDE w:val="0"/>
        <w:autoSpaceDN w:val="0"/>
        <w:adjustRightInd w:val="0"/>
        <w:spacing w:line="276" w:lineRule="auto"/>
        <w:jc w:val="both"/>
        <w:rPr>
          <w:rFonts w:ascii="Arial" w:hAnsi="Arial" w:cs="Arial"/>
        </w:rPr>
      </w:pPr>
      <w:r>
        <w:rPr>
          <w:rFonts w:ascii="Arial" w:hAnsi="Arial" w:cs="Arial"/>
        </w:rPr>
        <w:t xml:space="preserve">Circunstancia que precisa la existencia de un riesgo o perjuicio que supera el interés público general, que en el caso lo es, la difusión de información que permita la identificación, información contenida </w:t>
      </w:r>
      <w:r w:rsidR="00F75FB9">
        <w:rPr>
          <w:rFonts w:ascii="Arial" w:hAnsi="Arial" w:cs="Arial"/>
        </w:rPr>
        <w:t>en</w:t>
      </w:r>
      <w:r w:rsidR="00F75FB9" w:rsidRPr="00F75FB9">
        <w:rPr>
          <w:rFonts w:ascii="Arial" w:hAnsi="Arial" w:cs="Arial"/>
          <w:b/>
          <w:i/>
          <w:u w:val="single"/>
        </w:rPr>
        <w:t xml:space="preserve"> “Los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w:t>
      </w:r>
      <w:r w:rsidR="00F75FB9" w:rsidRPr="00F75FB9">
        <w:rPr>
          <w:rFonts w:ascii="Arial" w:hAnsi="Arial" w:cs="Arial"/>
          <w:b/>
          <w:i/>
          <w:color w:val="231F20"/>
          <w:szCs w:val="22"/>
          <w:u w:val="single"/>
        </w:rPr>
        <w:lastRenderedPageBreak/>
        <w:t xml:space="preserve">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F75FB9" w:rsidRPr="00F75FB9">
        <w:rPr>
          <w:rFonts w:ascii="Arial" w:hAnsi="Arial" w:cs="Arial"/>
          <w:b/>
          <w:i/>
          <w:szCs w:val="22"/>
          <w:u w:val="single"/>
        </w:rPr>
        <w:t xml:space="preserve"> de noviembr</w:t>
      </w:r>
      <w:r w:rsidR="007913E3">
        <w:rPr>
          <w:rFonts w:ascii="Arial" w:hAnsi="Arial" w:cs="Arial"/>
          <w:b/>
          <w:i/>
          <w:szCs w:val="22"/>
          <w:u w:val="single"/>
        </w:rPr>
        <w:t>e del año 2020 al 31</w:t>
      </w:r>
      <w:r w:rsidR="00F75FB9" w:rsidRPr="00F75FB9">
        <w:rPr>
          <w:rFonts w:ascii="Arial" w:hAnsi="Arial" w:cs="Arial"/>
          <w:b/>
          <w:i/>
          <w:szCs w:val="22"/>
          <w:u w:val="single"/>
        </w:rPr>
        <w:t xml:space="preserve"> de </w:t>
      </w:r>
      <w:r w:rsidR="007913E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Pr>
          <w:rFonts w:ascii="Arial" w:hAnsi="Arial" w:cs="Arial"/>
        </w:rPr>
        <w:t xml:space="preserve"> pues el dar a conocer esta información afectaría las labores de procuración de justicia y puede menoscabar o dificultar las estrategias para combatir la comisión de los delitos y las estrategias de atención; y con ello contravenir lo dispuesto al lineamiento Trigésimo  Segundo de los Lineamientos Generales para la clasificación y desclasificación de la información así como la elaboración de versión Pública.  </w:t>
      </w:r>
    </w:p>
    <w:p w:rsidR="002C14E2" w:rsidRDefault="002C14E2">
      <w:pPr>
        <w:autoSpaceDE w:val="0"/>
        <w:autoSpaceDN w:val="0"/>
        <w:adjustRightInd w:val="0"/>
        <w:jc w:val="both"/>
        <w:rPr>
          <w:rFonts w:ascii="Arial" w:hAnsi="Arial" w:cs="Arial"/>
        </w:rPr>
      </w:pPr>
    </w:p>
    <w:p w:rsidR="002C14E2" w:rsidRDefault="00FC282D" w:rsidP="004562A8">
      <w:pPr>
        <w:autoSpaceDE w:val="0"/>
        <w:autoSpaceDN w:val="0"/>
        <w:adjustRightInd w:val="0"/>
        <w:spacing w:line="276" w:lineRule="auto"/>
        <w:jc w:val="both"/>
        <w:rPr>
          <w:rFonts w:ascii="Arial" w:hAnsi="Arial" w:cs="Arial"/>
        </w:rPr>
      </w:pPr>
      <w:r w:rsidRPr="004562A8">
        <w:rPr>
          <w:rFonts w:ascii="Arial" w:hAnsi="Arial" w:cs="Arial"/>
        </w:rPr>
        <w:t xml:space="preserve">Correlacionado a que la Ley del Sistema de Seguridad Pública estatal que rige al personal cuya información se busca reservar, la clasifica como reservada en su Artículo 93 Bis, en tanto que sus artículos 97 y 98 enfatiza que </w:t>
      </w:r>
      <w:r w:rsidRPr="004562A8">
        <w:rPr>
          <w:rFonts w:ascii="Arial" w:hAnsi="Arial" w:cs="Arial"/>
          <w:i/>
          <w:u w:val="single"/>
        </w:rPr>
        <w:t>“bajo ninguna circunstancia deberá proporcionarse a terceros información contenida en los sistemas</w:t>
      </w:r>
      <w:r w:rsidRPr="004562A8">
        <w:rPr>
          <w:rFonts w:ascii="Arial" w:hAnsi="Arial" w:cs="Arial"/>
        </w:rPr>
        <w:t>”, contemplando además procedimientos de responsabilidad o penal, según corresponda, y sanciones de acuerdo con las disposiciones previstas en la legislación penal aplicable, al servidor público que quebrante la reserva del Registro, o proporcione información sobre el mismo. De forma análoga, el concepto 126 fracción III de dicho ordenamiento, prevé los parámetros en que la información se reviste de tener la calidad de información reservada o confidencial</w:t>
      </w:r>
      <w:r w:rsidR="00EA5651">
        <w:rPr>
          <w:rFonts w:ascii="Arial" w:hAnsi="Arial" w:cs="Arial"/>
        </w:rPr>
        <w:t xml:space="preserve"> </w:t>
      </w:r>
    </w:p>
    <w:p w:rsidR="002C14E2" w:rsidRDefault="002C14E2">
      <w:pPr>
        <w:autoSpaceDE w:val="0"/>
        <w:autoSpaceDN w:val="0"/>
        <w:adjustRightInd w:val="0"/>
        <w:ind w:firstLine="360"/>
        <w:jc w:val="both"/>
        <w:rPr>
          <w:rFonts w:ascii="Arial" w:hAnsi="Arial" w:cs="Arial"/>
          <w:highlight w:val="yellow"/>
          <w14:textFill>
            <w14:gradFill>
              <w14:gsLst>
                <w14:gs w14:pos="0">
                  <w14:srgbClr w14:val="E30000"/>
                </w14:gs>
                <w14:gs w14:pos="100000">
                  <w14:srgbClr w14:val="760303"/>
                </w14:gs>
              </w14:gsLst>
              <w14:lin w14:ang="0" w14:scaled="0"/>
            </w14:gradFill>
          </w14:textFill>
        </w:rPr>
      </w:pPr>
    </w:p>
    <w:p w:rsidR="00FC282D" w:rsidRPr="00155AB2" w:rsidRDefault="00EA5651" w:rsidP="004562A8">
      <w:pPr>
        <w:spacing w:line="276" w:lineRule="auto"/>
        <w:jc w:val="both"/>
        <w:rPr>
          <w:rFonts w:ascii="Arial" w:eastAsia="Times New Roman" w:hAnsi="Arial" w:cs="Arial"/>
          <w:lang w:val="es-ES"/>
        </w:rPr>
      </w:pPr>
      <w:r w:rsidRPr="004562A8">
        <w:rPr>
          <w:rFonts w:ascii="Arial" w:hAnsi="Arial" w:cs="Arial"/>
        </w:rPr>
        <w:t xml:space="preserve">En ese orden de ideas, correctamente el </w:t>
      </w:r>
      <w:r w:rsidRPr="004562A8">
        <w:rPr>
          <w:rFonts w:ascii="Arial" w:hAnsi="Arial" w:cs="Arial"/>
          <w:b/>
        </w:rPr>
        <w:t>Contador Público César Isidro Cruz Director General de Administración</w:t>
      </w:r>
      <w:r w:rsidRPr="004562A8">
        <w:rPr>
          <w:rFonts w:ascii="Arial" w:hAnsi="Arial" w:cs="Arial"/>
        </w:rPr>
        <w:t xml:space="preserve">,  </w:t>
      </w:r>
      <w:r w:rsidRPr="004562A8">
        <w:rPr>
          <w:rFonts w:ascii="Arial" w:hAnsi="Arial" w:cs="Arial"/>
          <w:b/>
          <w:i/>
        </w:rPr>
        <w:t xml:space="preserve">elige y justifica la opción de excepción al derecho de acceso a la información que menos lo restrinja, la que sea adecuada y proporcional para evitar el perjuicio al interés público, evitando siempre que sea posible la reserva absoluta de documentos o expedientes; </w:t>
      </w:r>
      <w:r w:rsidRPr="004562A8">
        <w:rPr>
          <w:rFonts w:ascii="Arial" w:eastAsia="Times New Roman" w:hAnsi="Arial" w:cs="Arial"/>
          <w:sz w:val="22"/>
          <w:szCs w:val="22"/>
          <w:lang w:val="es-ES"/>
        </w:rPr>
        <w:t xml:space="preserve">Se prevé razonablemente que la revelación de: </w:t>
      </w:r>
      <w:r w:rsidR="00F75FB9" w:rsidRPr="004562A8">
        <w:rPr>
          <w:rFonts w:ascii="Arial" w:hAnsi="Arial" w:cs="Arial"/>
          <w:b/>
          <w:i/>
          <w:u w:val="single"/>
        </w:rPr>
        <w:t xml:space="preserve">“Los recibos de nómina </w:t>
      </w:r>
      <w:r w:rsidR="00F75FB9" w:rsidRPr="004562A8">
        <w:rPr>
          <w:rFonts w:ascii="Arial" w:hAnsi="Arial" w:cs="Arial"/>
          <w:b/>
          <w:i/>
          <w:color w:val="231F20"/>
          <w:szCs w:val="22"/>
          <w:u w:val="single"/>
        </w:rPr>
        <w:t>por lo que corresponde a</w:t>
      </w:r>
      <w:r w:rsidR="00F75FB9" w:rsidRPr="004562A8">
        <w:rPr>
          <w:rFonts w:ascii="Arial" w:hAnsi="Arial" w:cs="Arial"/>
          <w:b/>
          <w:i/>
          <w:szCs w:val="22"/>
          <w:u w:val="single"/>
        </w:rPr>
        <w:t xml:space="preserve">l personal </w:t>
      </w:r>
      <w:r w:rsidR="00F75FB9" w:rsidRPr="004562A8">
        <w:rPr>
          <w:rFonts w:ascii="Arial" w:hAnsi="Arial" w:cs="Arial"/>
          <w:b/>
          <w:i/>
          <w:color w:val="231F20"/>
          <w:szCs w:val="22"/>
          <w:u w:val="single"/>
        </w:rPr>
        <w:t xml:space="preserve">con nivel tabular 02 al 11 (Seguridad y Custodia), que no realicen funciones directivas y </w:t>
      </w:r>
      <w:r w:rsidR="00F75FB9" w:rsidRPr="004562A8">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7913E3">
        <w:rPr>
          <w:rFonts w:ascii="Arial" w:hAnsi="Arial" w:cs="Arial"/>
          <w:b/>
          <w:i/>
          <w:szCs w:val="22"/>
          <w:u w:val="single"/>
        </w:rPr>
        <w:t xml:space="preserve"> de noviembre del año 2020 al 31</w:t>
      </w:r>
      <w:r w:rsidR="00F75FB9" w:rsidRPr="004562A8">
        <w:rPr>
          <w:rFonts w:ascii="Arial" w:hAnsi="Arial" w:cs="Arial"/>
          <w:b/>
          <w:i/>
          <w:szCs w:val="22"/>
          <w:u w:val="single"/>
        </w:rPr>
        <w:t xml:space="preserve"> de </w:t>
      </w:r>
      <w:r w:rsidR="007913E3">
        <w:rPr>
          <w:rFonts w:ascii="Arial" w:hAnsi="Arial" w:cs="Arial"/>
          <w:b/>
          <w:i/>
          <w:szCs w:val="22"/>
          <w:u w:val="single"/>
        </w:rPr>
        <w:t>julio</w:t>
      </w:r>
      <w:r w:rsidR="00F75FB9" w:rsidRPr="004562A8">
        <w:rPr>
          <w:rFonts w:ascii="Arial" w:hAnsi="Arial" w:cs="Arial"/>
          <w:b/>
          <w:i/>
          <w:szCs w:val="22"/>
          <w:u w:val="single"/>
        </w:rPr>
        <w:t xml:space="preserve"> del año 2024”</w:t>
      </w:r>
      <w:r w:rsidR="00F75FB9" w:rsidRPr="004562A8">
        <w:rPr>
          <w:rFonts w:ascii="Arial" w:hAnsi="Arial" w:cs="Arial"/>
        </w:rPr>
        <w:t>,</w:t>
      </w:r>
      <w:r w:rsidRPr="004562A8">
        <w:rPr>
          <w:rFonts w:ascii="Arial" w:eastAsia="Times New Roman" w:hAnsi="Arial" w:cs="Arial"/>
          <w:lang w:val="es-ES"/>
        </w:rPr>
        <w:t>correspondiente a e</w:t>
      </w:r>
      <w:r w:rsidR="004562A8">
        <w:rPr>
          <w:rFonts w:ascii="Arial" w:eastAsia="Times New Roman" w:hAnsi="Arial" w:cs="Arial"/>
          <w:lang w:val="es-ES"/>
        </w:rPr>
        <w:t>sta Fiscalía General del Estado,</w:t>
      </w:r>
      <w:r w:rsidRPr="004562A8">
        <w:rPr>
          <w:rFonts w:ascii="Arial" w:eastAsiaTheme="minorHAnsi" w:hAnsi="Arial" w:cs="Arial"/>
          <w:color w:val="000000"/>
          <w:lang w:eastAsia="en-US"/>
        </w:rPr>
        <w:t xml:space="preserve"> </w:t>
      </w:r>
      <w:r w:rsidR="00FC282D" w:rsidRPr="004562A8">
        <w:rPr>
          <w:rFonts w:ascii="Arial" w:hAnsi="Arial" w:cs="Arial"/>
        </w:rPr>
        <w:t xml:space="preserve">expondría de forma veraz al </w:t>
      </w:r>
      <w:r w:rsidR="00FC282D" w:rsidRPr="004562A8">
        <w:rPr>
          <w:rFonts w:ascii="Arial" w:hAnsi="Arial" w:cs="Arial"/>
        </w:rPr>
        <w:lastRenderedPageBreak/>
        <w:t>cumplimiento de los ejes rectores de esta Institución, dando los alcances de la capacidad de reacción institucional.</w:t>
      </w:r>
      <w:r w:rsidR="00FC282D" w:rsidRPr="00155AB2">
        <w:rPr>
          <w:rFonts w:ascii="Arial" w:hAnsi="Arial" w:cs="Arial"/>
        </w:rPr>
        <w:t xml:space="preserve"> </w:t>
      </w:r>
    </w:p>
    <w:p w:rsidR="002C14E2" w:rsidRDefault="002C14E2">
      <w:pPr>
        <w:jc w:val="both"/>
        <w:rPr>
          <w:rFonts w:ascii="Arial" w:hAnsi="Arial" w:cs="Arial"/>
        </w:rPr>
      </w:pPr>
    </w:p>
    <w:p w:rsidR="002C14E2" w:rsidRDefault="00EA5651" w:rsidP="000D48ED">
      <w:pPr>
        <w:spacing w:line="276" w:lineRule="auto"/>
        <w:jc w:val="both"/>
        <w:rPr>
          <w:rFonts w:ascii="Arial" w:hAnsi="Arial" w:cs="Arial"/>
        </w:rPr>
      </w:pPr>
      <w:r>
        <w:rPr>
          <w:rFonts w:ascii="Arial" w:hAnsi="Arial" w:cs="Arial"/>
        </w:rPr>
        <w:t>Respecto a los órganos de la procuración de la justicia, que son el segundo nivel dentro del marco de la seguridad pública en nuestro país, resulta oportuno precisar que, de acuerdo al principio de legalidad, los servidores públicos encargados de realizar dicha función deben apegar su labor al marco jurídico, toda vez que en materia penal no hay espacio para la discrecionalidad o el condicionamiento de la aplicación de la ley, ya que ésta se debe aplicar sin excepciones, en las formas y los términos especificados por la propia legislación.</w:t>
      </w:r>
    </w:p>
    <w:p w:rsidR="002C14E2" w:rsidRDefault="002C14E2" w:rsidP="000D48ED">
      <w:pPr>
        <w:spacing w:line="276" w:lineRule="auto"/>
        <w:ind w:firstLine="708"/>
        <w:jc w:val="both"/>
        <w:rPr>
          <w:rFonts w:ascii="Arial" w:hAnsi="Arial" w:cs="Arial"/>
        </w:rPr>
      </w:pPr>
    </w:p>
    <w:p w:rsidR="002C14E2" w:rsidRDefault="00EA5651" w:rsidP="000D48ED">
      <w:pPr>
        <w:spacing w:line="276" w:lineRule="auto"/>
        <w:jc w:val="both"/>
        <w:rPr>
          <w:rFonts w:ascii="Arial" w:hAnsi="Arial" w:cs="Arial"/>
        </w:rPr>
      </w:pPr>
      <w:r>
        <w:rPr>
          <w:rFonts w:ascii="Arial" w:hAnsi="Arial" w:cs="Arial"/>
        </w:rPr>
        <w:t>De acuerdo con el principio de legalidad, se busca evitar que las autoridades se aparten de sus mandatos legales, así como impedir que los delitos queden impunes, pues la ley obliga a la institución del Ministerio Público a investigar y determinar si existe o no delito que perseguir, porque él ejerce el monopolio de la acción penal, así como a proteger los derechos de las víctimas y ofendidos por el delito.</w:t>
      </w:r>
    </w:p>
    <w:p w:rsidR="002C14E2" w:rsidRDefault="002C14E2" w:rsidP="000D48ED">
      <w:pPr>
        <w:spacing w:line="276" w:lineRule="auto"/>
        <w:ind w:firstLine="708"/>
        <w:jc w:val="both"/>
        <w:rPr>
          <w:rFonts w:ascii="Arial" w:hAnsi="Arial" w:cs="Arial"/>
        </w:rPr>
      </w:pPr>
    </w:p>
    <w:p w:rsidR="002C14E2" w:rsidRDefault="00EA5651" w:rsidP="000D48ED">
      <w:pPr>
        <w:spacing w:line="276" w:lineRule="auto"/>
        <w:jc w:val="both"/>
        <w:rPr>
          <w:rFonts w:ascii="Arial" w:hAnsi="Arial" w:cs="Arial"/>
        </w:rPr>
      </w:pPr>
      <w:r>
        <w:rPr>
          <w:rFonts w:ascii="Arial" w:hAnsi="Arial" w:cs="Arial"/>
        </w:rPr>
        <w:t xml:space="preserve">Puesto como lo establece la </w:t>
      </w:r>
      <w:r>
        <w:rPr>
          <w:rFonts w:ascii="Arial" w:hAnsi="Arial" w:cs="Arial"/>
          <w:b/>
        </w:rPr>
        <w:t>Encuesta Nacional de Victimización y Percepción sobre Seguridad Pública (ENVIPE) 2023</w:t>
      </w:r>
      <w:r>
        <w:rPr>
          <w:rStyle w:val="Refdenotaalpie"/>
          <w:rFonts w:ascii="Arial" w:hAnsi="Arial" w:cs="Arial"/>
        </w:rPr>
        <w:footnoteReference w:id="3"/>
      </w:r>
      <w:r>
        <w:rPr>
          <w:rFonts w:ascii="Arial" w:hAnsi="Arial" w:cs="Arial"/>
        </w:rPr>
        <w:t xml:space="preserve">, realizada de acuerdo a la serie estadística generada por el </w:t>
      </w:r>
      <w:r>
        <w:rPr>
          <w:rFonts w:ascii="Arial" w:hAnsi="Arial" w:cs="Arial"/>
          <w:b/>
        </w:rPr>
        <w:t>Subsistema Nacional de Información de Gobierno, Seguridad Pública e Impartición de Justicia (SNIGSPIJ)</w:t>
      </w:r>
      <w:r>
        <w:rPr>
          <w:rFonts w:ascii="Arial" w:hAnsi="Arial" w:cs="Arial"/>
        </w:rPr>
        <w:t xml:space="preserve">, coordinada por el </w:t>
      </w:r>
      <w:r>
        <w:rPr>
          <w:rFonts w:ascii="Arial" w:hAnsi="Arial" w:cs="Arial"/>
          <w:b/>
        </w:rPr>
        <w:t>Instituto Nacional de Estadística y Geografía (INEGI)</w:t>
      </w:r>
      <w:r>
        <w:rPr>
          <w:rFonts w:ascii="Arial" w:hAnsi="Arial" w:cs="Arial"/>
        </w:rPr>
        <w:t>, puntualiza que en 2022, se denunció el 10.9% de los delitos. De ellos, el Ministerio Público o Fiscalía estatal inició una carpeta de investigación en 69.3% de los casos. Durante 2022, se denunció e inició una carpeta de investigación en 7.6% del total de delitos. En 92.4% de delitos no hubo denuncia o no se inició una carpeta de investigación.</w:t>
      </w:r>
    </w:p>
    <w:p w:rsidR="002C14E2" w:rsidRDefault="002C14E2" w:rsidP="000D48ED">
      <w:pPr>
        <w:spacing w:line="276" w:lineRule="auto"/>
        <w:ind w:firstLine="708"/>
        <w:jc w:val="both"/>
        <w:rPr>
          <w:rFonts w:ascii="Arial" w:hAnsi="Arial" w:cs="Arial"/>
        </w:rPr>
      </w:pPr>
    </w:p>
    <w:p w:rsidR="002C14E2" w:rsidRDefault="00EA5651" w:rsidP="000D48ED">
      <w:pPr>
        <w:spacing w:line="276" w:lineRule="auto"/>
        <w:jc w:val="both"/>
        <w:rPr>
          <w:rFonts w:ascii="Arial" w:hAnsi="Arial" w:cs="Arial"/>
        </w:rPr>
      </w:pPr>
      <w:r>
        <w:rPr>
          <w:rFonts w:ascii="Arial" w:hAnsi="Arial" w:cs="Arial"/>
        </w:rPr>
        <w:t>En este orden de ideas, podemos afirmar que el orden jurídico y la seguridad pública son parte fundamental de toda organización social y política, por ser un capítulo esencial del Estado de derecho; la procuración de justicia, como elemento inherente del orden jurídico, constituye así una de las funciones más trascendentes para el Poder Ejecutivo Federal y los correspondientes a los estados de la República.</w:t>
      </w:r>
    </w:p>
    <w:p w:rsidR="002C14E2" w:rsidRDefault="002C14E2" w:rsidP="00AC6A4B">
      <w:pPr>
        <w:spacing w:line="276" w:lineRule="auto"/>
        <w:ind w:firstLine="708"/>
        <w:jc w:val="both"/>
        <w:rPr>
          <w:rFonts w:ascii="Arial" w:hAnsi="Arial" w:cs="Arial"/>
        </w:rPr>
      </w:pPr>
    </w:p>
    <w:p w:rsidR="002C14E2" w:rsidRDefault="00EA5651" w:rsidP="00AC6A4B">
      <w:pPr>
        <w:spacing w:line="276" w:lineRule="auto"/>
        <w:jc w:val="both"/>
        <w:rPr>
          <w:rFonts w:ascii="Arial" w:hAnsi="Arial" w:cs="Arial"/>
        </w:rPr>
      </w:pPr>
      <w:r>
        <w:rPr>
          <w:rFonts w:ascii="Arial" w:hAnsi="Arial" w:cs="Arial"/>
        </w:rPr>
        <w:t xml:space="preserve">Reiterando que ningún derecho fundamental es absoluto, ya que estos se sujetan a un régimen de excepciones que permite prevenir los peligros de colisión entre ellos. En este sentido, el </w:t>
      </w:r>
      <w:r>
        <w:rPr>
          <w:rFonts w:ascii="Arial" w:hAnsi="Arial" w:cs="Arial"/>
        </w:rPr>
        <w:lastRenderedPageBreak/>
        <w:t xml:space="preserve">acceso a la información pública se ve limitado, puesto que para el caso de la seguridad pública y correlacionado a la situación actual de nuestro país evidencia la necesidad de analizar minuciosamente bajo una ponderación de derechos personales o colectivos, dentro en el ejercicio de la democracia. </w:t>
      </w:r>
    </w:p>
    <w:p w:rsidR="002C14E2" w:rsidRDefault="002C14E2" w:rsidP="00AC6A4B">
      <w:pPr>
        <w:spacing w:line="276" w:lineRule="auto"/>
        <w:ind w:firstLine="708"/>
        <w:jc w:val="both"/>
        <w:rPr>
          <w:rFonts w:ascii="Arial" w:hAnsi="Arial" w:cs="Arial"/>
        </w:rPr>
      </w:pPr>
    </w:p>
    <w:p w:rsidR="002C14E2" w:rsidRDefault="00EA5651" w:rsidP="00AC6A4B">
      <w:pPr>
        <w:spacing w:line="276" w:lineRule="auto"/>
        <w:jc w:val="both"/>
        <w:rPr>
          <w:rFonts w:ascii="Arial" w:hAnsi="Arial" w:cs="Arial"/>
        </w:rPr>
      </w:pPr>
      <w:r>
        <w:rPr>
          <w:rFonts w:ascii="Arial" w:hAnsi="Arial" w:cs="Arial"/>
        </w:rPr>
        <w:t>Por lo cual, atendiendo el principio de proporcionalidad pueda ocasionar daño o comprometer la información con la que cuenta este Sujeto Obligado, y con ello la seguridad de los servidores públicos operativos, la investigación de algún hecho probablemente delictivo, la asignación de pruebas científicas comprobatorias de hechos delictivos, bajo este criterio se considera el medio menos restrictivo disponible para evitar un perjuicio mayor por lo que es viable no proporcionar el número total de la capacidad de reacción y operativa de la Fiscalía, sin pasar por alto que el riesgo o amenaza es especulativa partiendo que esto significa que no se requiere la demostración actual o inminente de daño.</w:t>
      </w:r>
    </w:p>
    <w:p w:rsidR="002C14E2" w:rsidRDefault="002C14E2" w:rsidP="00AC6A4B">
      <w:pPr>
        <w:autoSpaceDE w:val="0"/>
        <w:autoSpaceDN w:val="0"/>
        <w:adjustRightInd w:val="0"/>
        <w:spacing w:line="276" w:lineRule="auto"/>
        <w:jc w:val="both"/>
        <w:rPr>
          <w:rFonts w:ascii="Arial" w:hAnsi="Arial" w:cs="Arial"/>
          <w:bCs/>
        </w:rPr>
      </w:pPr>
    </w:p>
    <w:p w:rsidR="002C14E2" w:rsidRDefault="00EA5651" w:rsidP="000D48ED">
      <w:pPr>
        <w:autoSpaceDE w:val="0"/>
        <w:autoSpaceDN w:val="0"/>
        <w:adjustRightInd w:val="0"/>
        <w:spacing w:line="276" w:lineRule="auto"/>
        <w:jc w:val="both"/>
        <w:rPr>
          <w:rFonts w:ascii="Arial" w:eastAsia="Times New Roman" w:hAnsi="Arial" w:cs="Arial"/>
        </w:rPr>
      </w:pPr>
      <w:r>
        <w:rPr>
          <w:rFonts w:ascii="Arial" w:eastAsia="Times New Roman" w:hAnsi="Arial" w:cs="Arial"/>
        </w:rPr>
        <w:t>El generar la reserva total de la información y limitar la cantidad de documentos revisables evita en la mayor medida posible la filtración o revelación inadvertida de información sensitiva, que pudiera afectar el procedimiento penal y poner en riesgo la integridad física del personal cuyas funciones están íntimamente relacionadas con la investigación y persecución de actos delictivos.</w:t>
      </w:r>
    </w:p>
    <w:p w:rsidR="00AB7C42" w:rsidRDefault="00AB7C42" w:rsidP="00AC6A4B">
      <w:pPr>
        <w:spacing w:line="276" w:lineRule="auto"/>
        <w:jc w:val="both"/>
        <w:rPr>
          <w:rFonts w:ascii="Arial" w:hAnsi="Arial" w:cs="Arial"/>
        </w:rPr>
      </w:pPr>
    </w:p>
    <w:p w:rsidR="002C14E2" w:rsidRDefault="00EA5651" w:rsidP="00AC6A4B">
      <w:pPr>
        <w:spacing w:line="276" w:lineRule="auto"/>
        <w:jc w:val="both"/>
        <w:rPr>
          <w:rFonts w:ascii="Arial" w:hAnsi="Arial" w:cs="Arial"/>
          <w:b/>
          <w:bCs/>
          <w:color w:val="231F20"/>
          <w:u w:val="single"/>
        </w:rPr>
      </w:pPr>
      <w:r>
        <w:rPr>
          <w:rFonts w:ascii="Arial" w:hAnsi="Arial" w:cs="Arial"/>
        </w:rPr>
        <w:t>Para finalizar e</w:t>
      </w:r>
      <w:r>
        <w:rPr>
          <w:rFonts w:ascii="Arial" w:hAnsi="Arial" w:cs="Arial"/>
          <w:b/>
        </w:rPr>
        <w:t>l Contador Público César Isidro Cruz Director General de Administración</w:t>
      </w:r>
      <w:r>
        <w:rPr>
          <w:rFonts w:ascii="Arial" w:hAnsi="Arial" w:cs="Arial"/>
        </w:rPr>
        <w:t>, hace mención que e</w:t>
      </w:r>
      <w:r>
        <w:rPr>
          <w:rFonts w:ascii="Arial" w:hAnsi="Arial" w:cs="Arial"/>
          <w:b/>
          <w:i/>
        </w:rPr>
        <w:t xml:space="preserv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 </w:t>
      </w:r>
      <w:r>
        <w:rPr>
          <w:rFonts w:ascii="Arial" w:eastAsia="Times New Roman" w:hAnsi="Arial" w:cs="Arial"/>
        </w:rPr>
        <w:t xml:space="preserve">La información que es materia de controversia en la solicitud registrada con número: </w:t>
      </w:r>
      <w:r>
        <w:rPr>
          <w:rFonts w:ascii="Arial" w:eastAsia="Times New Roman" w:hAnsi="Arial" w:cs="Arial"/>
          <w:b/>
        </w:rPr>
        <w:t xml:space="preserve">UT-SI-P-346-240469824000346-2024 </w:t>
      </w:r>
      <w:r>
        <w:rPr>
          <w:rFonts w:ascii="Arial" w:eastAsia="Times New Roman" w:hAnsi="Arial" w:cs="Arial"/>
        </w:rPr>
        <w:t xml:space="preserve">consistente en: </w:t>
      </w:r>
      <w:r>
        <w:rPr>
          <w:rFonts w:ascii="Arial" w:eastAsia="Times New Roman" w:hAnsi="Arial" w:cs="Arial"/>
          <w:b/>
          <w:i/>
          <w:lang w:val="es-ES"/>
        </w:rPr>
        <w:t>“Requiero los recibos e nómina</w:t>
      </w:r>
      <w:r w:rsidR="00FC282D">
        <w:rPr>
          <w:rFonts w:ascii="Arial" w:eastAsia="Times New Roman" w:hAnsi="Arial" w:cs="Arial"/>
          <w:b/>
          <w:i/>
          <w:lang w:val="es-ES"/>
        </w:rPr>
        <w:t xml:space="preserve"> de todos los colaboradores de </w:t>
      </w:r>
      <w:r>
        <w:rPr>
          <w:rFonts w:ascii="Arial" w:eastAsia="Times New Roman" w:hAnsi="Arial" w:cs="Arial"/>
          <w:b/>
          <w:i/>
          <w:lang w:val="es-ES"/>
        </w:rPr>
        <w:t xml:space="preserve"> cada área desde el 2018 a la fecha…(sic)”, </w:t>
      </w:r>
      <w:r>
        <w:rPr>
          <w:rFonts w:ascii="Arial" w:eastAsia="Times New Roman" w:hAnsi="Arial" w:cs="Arial"/>
          <w:lang w:val="es-ES"/>
        </w:rPr>
        <w:t xml:space="preserve">correspondiente a esta Fiscalía General del Estado es la identificación consistente en: </w:t>
      </w:r>
      <w:r w:rsidR="00F75FB9" w:rsidRPr="00F75FB9">
        <w:rPr>
          <w:rFonts w:ascii="Arial" w:hAnsi="Arial" w:cs="Arial"/>
          <w:b/>
          <w:i/>
          <w:u w:val="single"/>
        </w:rPr>
        <w:t xml:space="preserve">“Los recibos de nómina </w:t>
      </w:r>
      <w:r w:rsidR="00F75FB9" w:rsidRPr="00F75FB9">
        <w:rPr>
          <w:rFonts w:ascii="Arial" w:hAnsi="Arial" w:cs="Arial"/>
          <w:b/>
          <w:i/>
          <w:color w:val="231F20"/>
          <w:szCs w:val="22"/>
          <w:u w:val="single"/>
        </w:rPr>
        <w:t>por lo que corresponde a</w:t>
      </w:r>
      <w:r w:rsidR="00F75FB9" w:rsidRPr="00F75FB9">
        <w:rPr>
          <w:rFonts w:ascii="Arial" w:hAnsi="Arial" w:cs="Arial"/>
          <w:b/>
          <w:i/>
          <w:szCs w:val="22"/>
          <w:u w:val="single"/>
        </w:rPr>
        <w:t xml:space="preserve">l personal </w:t>
      </w:r>
      <w:r w:rsidR="00F75FB9" w:rsidRPr="00F75FB9">
        <w:rPr>
          <w:rFonts w:ascii="Arial" w:hAnsi="Arial" w:cs="Arial"/>
          <w:b/>
          <w:i/>
          <w:color w:val="231F20"/>
          <w:szCs w:val="22"/>
          <w:u w:val="single"/>
        </w:rPr>
        <w:t xml:space="preserve">con nivel tabular 02 al 11 (Seguridad y Custodia), que no realicen funciones directivas y </w:t>
      </w:r>
      <w:r w:rsidR="00F75FB9" w:rsidRPr="00F75FB9">
        <w:rPr>
          <w:rFonts w:ascii="Arial" w:hAnsi="Arial" w:cs="Arial"/>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rFonts w:ascii="Arial" w:hAnsi="Arial" w:cs="Arial"/>
          <w:b/>
          <w:i/>
          <w:szCs w:val="22"/>
          <w:u w:val="single"/>
        </w:rPr>
        <w:t>lisis Criminal del periodo del 15</w:t>
      </w:r>
      <w:r w:rsidR="00F75FB9" w:rsidRPr="00F75FB9">
        <w:rPr>
          <w:rFonts w:ascii="Arial" w:hAnsi="Arial" w:cs="Arial"/>
          <w:b/>
          <w:i/>
          <w:szCs w:val="22"/>
          <w:u w:val="single"/>
        </w:rPr>
        <w:t xml:space="preserve"> de noviembre del año 2020 al </w:t>
      </w:r>
      <w:r w:rsidR="00F75FB9" w:rsidRPr="00F75FB9">
        <w:rPr>
          <w:rFonts w:ascii="Arial" w:hAnsi="Arial" w:cs="Arial"/>
          <w:b/>
          <w:i/>
          <w:szCs w:val="22"/>
          <w:u w:val="single"/>
        </w:rPr>
        <w:lastRenderedPageBreak/>
        <w:t>3</w:t>
      </w:r>
      <w:r w:rsidR="007913E3">
        <w:rPr>
          <w:rFonts w:ascii="Arial" w:hAnsi="Arial" w:cs="Arial"/>
          <w:b/>
          <w:i/>
          <w:szCs w:val="22"/>
          <w:u w:val="single"/>
        </w:rPr>
        <w:t>1</w:t>
      </w:r>
      <w:r w:rsidR="00F75FB9" w:rsidRPr="00F75FB9">
        <w:rPr>
          <w:rFonts w:ascii="Arial" w:hAnsi="Arial" w:cs="Arial"/>
          <w:b/>
          <w:i/>
          <w:szCs w:val="22"/>
          <w:u w:val="single"/>
        </w:rPr>
        <w:t xml:space="preserve"> de </w:t>
      </w:r>
      <w:r w:rsidR="007913E3">
        <w:rPr>
          <w:rFonts w:ascii="Arial" w:hAnsi="Arial" w:cs="Arial"/>
          <w:b/>
          <w:i/>
          <w:szCs w:val="22"/>
          <w:u w:val="single"/>
        </w:rPr>
        <w:t>julio</w:t>
      </w:r>
      <w:r w:rsidR="00F75FB9" w:rsidRPr="00F75FB9">
        <w:rPr>
          <w:rFonts w:ascii="Arial" w:hAnsi="Arial" w:cs="Arial"/>
          <w:b/>
          <w:i/>
          <w:szCs w:val="22"/>
          <w:u w:val="single"/>
        </w:rPr>
        <w:t xml:space="preserve"> del año 2024”</w:t>
      </w:r>
      <w:r w:rsidR="00F75FB9" w:rsidRPr="00F75FB9">
        <w:rPr>
          <w:rFonts w:ascii="Arial" w:hAnsi="Arial" w:cs="Arial"/>
        </w:rPr>
        <w:t>,</w:t>
      </w:r>
      <w:r w:rsidR="00F75FB9" w:rsidRPr="0036068C">
        <w:t xml:space="preserve"> </w:t>
      </w:r>
      <w:r>
        <w:rPr>
          <w:rFonts w:ascii="Arial" w:hAnsi="Arial" w:cs="Arial"/>
        </w:rPr>
        <w:t xml:space="preserve"> </w:t>
      </w:r>
      <w:r>
        <w:rPr>
          <w:rFonts w:ascii="Arial" w:eastAsia="Times New Roman" w:hAnsi="Arial" w:cs="Arial"/>
          <w:lang w:val="es-ES"/>
        </w:rPr>
        <w:t>correspondiente a esta Fiscalía General del Estado</w:t>
      </w:r>
      <w:r>
        <w:rPr>
          <w:rFonts w:ascii="Arial" w:eastAsia="Times New Roman" w:hAnsi="Arial" w:cs="Arial"/>
          <w:b/>
          <w:i/>
          <w:lang w:val="es-ES"/>
        </w:rPr>
        <w:t xml:space="preserve">  </w:t>
      </w:r>
      <w:r>
        <w:rPr>
          <w:rFonts w:ascii="Arial" w:eastAsia="Times New Roman" w:hAnsi="Arial" w:cs="Arial"/>
          <w:lang w:val="es-ES"/>
        </w:rPr>
        <w:t xml:space="preserve">permite la capacidad de reacción, dar indicios del estado de fuerza y organización del personal vinculado directa e indirectamente en los procesos de investigación, persecución y prevención de actos delictivos, permiten conocer las capacidades con las que cuenta la institución para la creación de productos de inteligencia, estrategias operativas, coordinación institucional, capacidad de análisis criminal, útiles para la captura de objetivos criminales, que al ser de conocimiento público bien puede ser utilizado por los grupos de delincuencia organizada para impedir, obstaculizar y vulnerar esas acciones poniendo en riesgo el debido proceso, la seguridad del estado, además de alterar el orden público generando, como ya se ha demostrado y quedado registrado, agresiones a la institución, servidores públicos, sus familias, causando, incluso, daños colaterales afectado la vida de la sociedad civil. Situaciones previstas en los lineamientos Décimo Segundo, y Décimo Octavo, de Los lineamientos Generales en Materia de Clasificación y Desclasificación de Información, así como para la Elaboración de Versiones Públicas. </w:t>
      </w:r>
    </w:p>
    <w:p w:rsidR="002C14E2" w:rsidRDefault="002C14E2">
      <w:pPr>
        <w:spacing w:line="276" w:lineRule="auto"/>
        <w:ind w:right="616"/>
        <w:jc w:val="both"/>
        <w:rPr>
          <w:rFonts w:ascii="Arial" w:hAnsi="Arial" w:cs="Arial"/>
          <w:i/>
        </w:rPr>
      </w:pPr>
    </w:p>
    <w:p w:rsidR="002C14E2" w:rsidRDefault="00EA5651">
      <w:pPr>
        <w:pStyle w:val="Prrafodelista"/>
        <w:numPr>
          <w:ilvl w:val="0"/>
          <w:numId w:val="3"/>
        </w:numPr>
        <w:spacing w:line="276" w:lineRule="auto"/>
        <w:jc w:val="both"/>
        <w:rPr>
          <w:rFonts w:ascii="Arial" w:hAnsi="Arial" w:cs="Arial"/>
          <w:b/>
        </w:rPr>
      </w:pPr>
      <w:r>
        <w:rPr>
          <w:rFonts w:ascii="Arial" w:hAnsi="Arial" w:cs="Arial"/>
          <w:b/>
        </w:rPr>
        <w:t>Descripción de las partes o secciones reservadas, en caso de clasificación parcial;</w:t>
      </w:r>
    </w:p>
    <w:p w:rsidR="002C14E2" w:rsidRDefault="002C14E2">
      <w:pPr>
        <w:pStyle w:val="Encabezado"/>
        <w:tabs>
          <w:tab w:val="left" w:pos="708"/>
        </w:tabs>
        <w:spacing w:line="276" w:lineRule="auto"/>
        <w:ind w:left="1080"/>
        <w:jc w:val="both"/>
        <w:rPr>
          <w:rFonts w:ascii="Arial" w:hAnsi="Arial" w:cs="Arial"/>
        </w:rPr>
      </w:pPr>
    </w:p>
    <w:p w:rsidR="002C14E2" w:rsidRDefault="00EA5651">
      <w:pPr>
        <w:spacing w:line="276" w:lineRule="auto"/>
        <w:rPr>
          <w:rFonts w:ascii="Arial" w:hAnsi="Arial" w:cs="Arial"/>
          <w:color w:val="FF0000"/>
        </w:rPr>
      </w:pPr>
      <w:r>
        <w:rPr>
          <w:rFonts w:ascii="Arial" w:hAnsi="Arial" w:cs="Arial"/>
        </w:rPr>
        <w:t xml:space="preserve">La clasificación de información reservada que se realiza es de manera </w:t>
      </w:r>
      <w:r>
        <w:rPr>
          <w:rFonts w:ascii="Arial" w:hAnsi="Arial" w:cs="Arial"/>
          <w:b/>
        </w:rPr>
        <w:t>total</w:t>
      </w:r>
      <w:r>
        <w:rPr>
          <w:rFonts w:ascii="Arial" w:hAnsi="Arial" w:cs="Arial"/>
        </w:rPr>
        <w:t xml:space="preserve">, respecto </w:t>
      </w:r>
      <w:r>
        <w:rPr>
          <w:rFonts w:ascii="Arial" w:hAnsi="Arial" w:cs="Arial"/>
          <w:i/>
        </w:rPr>
        <w:t>a:</w:t>
      </w:r>
    </w:p>
    <w:p w:rsidR="002C14E2" w:rsidRDefault="002C14E2" w:rsidP="00CB25DB">
      <w:pPr>
        <w:pStyle w:val="Default"/>
      </w:pPr>
    </w:p>
    <w:p w:rsidR="002C14E2" w:rsidRDefault="00F75FB9" w:rsidP="004562A8">
      <w:pPr>
        <w:pStyle w:val="Default"/>
      </w:pPr>
      <w:r w:rsidRPr="00F75FB9">
        <w:t xml:space="preserve"> </w:t>
      </w:r>
      <w:r w:rsidR="004562A8" w:rsidRPr="00F75FB9">
        <w:rPr>
          <w:b/>
          <w:i/>
          <w:u w:val="single"/>
        </w:rPr>
        <w:t xml:space="preserve">“Los recibos de nómina </w:t>
      </w:r>
      <w:r w:rsidR="004562A8" w:rsidRPr="00F75FB9">
        <w:rPr>
          <w:b/>
          <w:i/>
          <w:color w:val="231F20"/>
          <w:szCs w:val="22"/>
          <w:u w:val="single"/>
        </w:rPr>
        <w:t>por lo que corresponde a</w:t>
      </w:r>
      <w:r w:rsidR="004562A8" w:rsidRPr="00F75FB9">
        <w:rPr>
          <w:b/>
          <w:i/>
          <w:szCs w:val="22"/>
          <w:u w:val="single"/>
        </w:rPr>
        <w:t xml:space="preserve">l personal </w:t>
      </w:r>
      <w:r w:rsidR="004562A8" w:rsidRPr="00F75FB9">
        <w:rPr>
          <w:b/>
          <w:i/>
          <w:color w:val="231F20"/>
          <w:szCs w:val="22"/>
          <w:u w:val="single"/>
        </w:rPr>
        <w:t xml:space="preserve">con nivel tabular 02 al 11 (Seguridad y Custodia), que no realicen funciones directivas y </w:t>
      </w:r>
      <w:r w:rsidR="004562A8" w:rsidRPr="00F75FB9">
        <w:rPr>
          <w:b/>
          <w:i/>
          <w:szCs w:val="22"/>
          <w:u w:val="single"/>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w:t>
      </w:r>
      <w:r w:rsidR="00B8775F">
        <w:rPr>
          <w:b/>
          <w:i/>
          <w:szCs w:val="22"/>
          <w:u w:val="single"/>
        </w:rPr>
        <w:t>lisis Criminal del periodo del 15</w:t>
      </w:r>
      <w:r w:rsidR="007913E3">
        <w:rPr>
          <w:b/>
          <w:i/>
          <w:szCs w:val="22"/>
          <w:u w:val="single"/>
        </w:rPr>
        <w:t xml:space="preserve"> de noviembre del año 2020 al 31</w:t>
      </w:r>
      <w:r w:rsidR="004562A8" w:rsidRPr="00F75FB9">
        <w:rPr>
          <w:b/>
          <w:i/>
          <w:szCs w:val="22"/>
          <w:u w:val="single"/>
        </w:rPr>
        <w:t xml:space="preserve"> de </w:t>
      </w:r>
      <w:r w:rsidR="007913E3">
        <w:rPr>
          <w:b/>
          <w:i/>
          <w:szCs w:val="22"/>
          <w:u w:val="single"/>
        </w:rPr>
        <w:t>julio</w:t>
      </w:r>
      <w:r w:rsidR="004562A8" w:rsidRPr="00F75FB9">
        <w:rPr>
          <w:b/>
          <w:i/>
          <w:szCs w:val="22"/>
          <w:u w:val="single"/>
        </w:rPr>
        <w:t xml:space="preserve"> del año 2024”</w:t>
      </w:r>
      <w:r w:rsidR="004562A8">
        <w:t>.</w:t>
      </w:r>
    </w:p>
    <w:p w:rsidR="00F75FB9" w:rsidRDefault="00F75FB9" w:rsidP="00CB25DB">
      <w:pPr>
        <w:pStyle w:val="Default"/>
      </w:pPr>
    </w:p>
    <w:p w:rsidR="002C14E2" w:rsidRDefault="00EA5651">
      <w:pPr>
        <w:pStyle w:val="Prrafodelista"/>
        <w:numPr>
          <w:ilvl w:val="0"/>
          <w:numId w:val="3"/>
        </w:numPr>
        <w:spacing w:line="276" w:lineRule="auto"/>
        <w:jc w:val="both"/>
        <w:rPr>
          <w:rFonts w:ascii="Arial" w:hAnsi="Arial" w:cs="Arial"/>
          <w:b/>
        </w:rPr>
      </w:pPr>
      <w:r>
        <w:rPr>
          <w:rFonts w:ascii="Arial" w:hAnsi="Arial" w:cs="Arial"/>
          <w:b/>
        </w:rPr>
        <w:t>El período por el que mantendrá su clasificación y fecha de expedición;</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rPr>
        <w:t>Período. 5 años.</w:t>
      </w:r>
    </w:p>
    <w:p w:rsidR="002C14E2" w:rsidRDefault="002C14E2">
      <w:pPr>
        <w:spacing w:line="276" w:lineRule="auto"/>
        <w:jc w:val="both"/>
        <w:rPr>
          <w:rFonts w:ascii="Arial" w:eastAsia="Times New Roman" w:hAnsi="Arial" w:cs="Arial"/>
        </w:rPr>
      </w:pPr>
    </w:p>
    <w:p w:rsidR="002C14E2" w:rsidRDefault="00EA5651">
      <w:pPr>
        <w:spacing w:line="276" w:lineRule="auto"/>
        <w:jc w:val="both"/>
        <w:rPr>
          <w:rFonts w:ascii="Arial" w:eastAsia="Times New Roman" w:hAnsi="Arial" w:cs="Arial"/>
        </w:rPr>
      </w:pPr>
      <w:r>
        <w:rPr>
          <w:rFonts w:ascii="Arial" w:eastAsia="Times New Roman" w:hAnsi="Arial" w:cs="Arial"/>
        </w:rPr>
        <w:t xml:space="preserve">Fecha de expiración: 06 de agosto 2029. Que cumple con lo establecido por el lineamiento Trigésimo cuarto de los LGCDIEVP. Señalando las razones por las cuales se estableció el </w:t>
      </w:r>
      <w:r>
        <w:rPr>
          <w:rFonts w:ascii="Arial" w:eastAsia="Times New Roman" w:hAnsi="Arial" w:cs="Arial"/>
        </w:rPr>
        <w:lastRenderedPageBreak/>
        <w:t>plazo de reserva determinado, mismas que están relacionadas y sustentadas con la prueba de daño.</w:t>
      </w:r>
    </w:p>
    <w:p w:rsidR="004562A8" w:rsidRDefault="004562A8">
      <w:pPr>
        <w:spacing w:line="276" w:lineRule="auto"/>
        <w:jc w:val="both"/>
        <w:rPr>
          <w:rFonts w:ascii="Arial" w:eastAsia="Times New Roman" w:hAnsi="Arial" w:cs="Arial"/>
        </w:rPr>
      </w:pPr>
    </w:p>
    <w:p w:rsidR="002C14E2" w:rsidRDefault="00EA5651">
      <w:pPr>
        <w:pStyle w:val="Prrafodelista"/>
        <w:numPr>
          <w:ilvl w:val="0"/>
          <w:numId w:val="3"/>
        </w:numPr>
        <w:spacing w:line="276" w:lineRule="auto"/>
        <w:jc w:val="both"/>
        <w:rPr>
          <w:rFonts w:ascii="Arial" w:hAnsi="Arial" w:cs="Arial"/>
          <w:b/>
        </w:rPr>
      </w:pPr>
      <w:r>
        <w:rPr>
          <w:rFonts w:ascii="Arial" w:hAnsi="Arial" w:cs="Arial"/>
          <w:b/>
        </w:rPr>
        <w:t>El nombre del titular y área encargada de realizar la versión pública del documento.</w:t>
      </w:r>
    </w:p>
    <w:p w:rsidR="002C14E2" w:rsidRDefault="002C14E2">
      <w:pPr>
        <w:pStyle w:val="Prrafodelista"/>
        <w:spacing w:line="276" w:lineRule="auto"/>
        <w:jc w:val="both"/>
        <w:rPr>
          <w:rFonts w:ascii="Arial" w:hAnsi="Arial" w:cs="Arial"/>
          <w:b/>
        </w:rPr>
      </w:pPr>
    </w:p>
    <w:p w:rsidR="002C14E2" w:rsidRDefault="00EA5651">
      <w:pPr>
        <w:spacing w:line="276" w:lineRule="auto"/>
        <w:jc w:val="both"/>
        <w:rPr>
          <w:rFonts w:ascii="Arial" w:hAnsi="Arial" w:cs="Arial"/>
        </w:rPr>
      </w:pPr>
      <w:r>
        <w:rPr>
          <w:rFonts w:ascii="Arial" w:hAnsi="Arial" w:cs="Arial"/>
        </w:rPr>
        <w:t>Es preciso señalar que no se realiza en este acto una versión pública.</w:t>
      </w:r>
    </w:p>
    <w:p w:rsidR="004562A8" w:rsidRDefault="004562A8">
      <w:pPr>
        <w:spacing w:line="276" w:lineRule="auto"/>
        <w:jc w:val="both"/>
        <w:rPr>
          <w:rFonts w:ascii="Arial" w:eastAsia="Times New Roman" w:hAnsi="Arial" w:cs="Arial"/>
        </w:rPr>
      </w:pPr>
    </w:p>
    <w:p w:rsidR="002C14E2" w:rsidRDefault="00EA5651">
      <w:pPr>
        <w:pStyle w:val="Prrafodelista"/>
        <w:numPr>
          <w:ilvl w:val="0"/>
          <w:numId w:val="3"/>
        </w:numPr>
        <w:spacing w:line="276" w:lineRule="auto"/>
        <w:ind w:left="720" w:hanging="294"/>
        <w:jc w:val="both"/>
        <w:rPr>
          <w:rFonts w:ascii="Arial" w:hAnsi="Arial" w:cs="Arial"/>
        </w:rPr>
      </w:pPr>
      <w:r>
        <w:rPr>
          <w:rFonts w:ascii="Arial" w:hAnsi="Arial" w:cs="Arial"/>
          <w:b/>
        </w:rPr>
        <w:t xml:space="preserve"> Efectos de la resolución.</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rPr>
        <w:t xml:space="preserve">El Comité de Transparencia en Pleno determinó </w:t>
      </w:r>
      <w:r>
        <w:rPr>
          <w:rFonts w:ascii="Arial" w:hAnsi="Arial" w:cs="Arial"/>
          <w:b/>
        </w:rPr>
        <w:t>procedente confirmar el Acuerdo de Reserva Total número AR/29/2024</w:t>
      </w:r>
      <w:r>
        <w:rPr>
          <w:rFonts w:ascii="Arial" w:hAnsi="Arial" w:cs="Arial"/>
        </w:rPr>
        <w:t>, emitido por e</w:t>
      </w:r>
      <w:r>
        <w:rPr>
          <w:rFonts w:ascii="Arial" w:hAnsi="Arial" w:cs="Arial"/>
          <w:b/>
        </w:rPr>
        <w:t>l Contador Público César Isidro Cruz Director General de Administración</w:t>
      </w:r>
      <w:r>
        <w:rPr>
          <w:rFonts w:ascii="Arial" w:hAnsi="Arial" w:cs="Arial"/>
        </w:rPr>
        <w:t>, mismo que hace llegar mediante</w:t>
      </w:r>
      <w:r>
        <w:rPr>
          <w:rFonts w:ascii="Arial" w:eastAsia="Times New Roman" w:hAnsi="Arial" w:cs="Arial"/>
        </w:rPr>
        <w:t xml:space="preserve"> consecutivo </w:t>
      </w:r>
      <w:r w:rsidR="00FC282D" w:rsidRPr="00AB7C42">
        <w:rPr>
          <w:rFonts w:ascii="Arial" w:eastAsia="Times New Roman" w:hAnsi="Arial" w:cs="Arial"/>
          <w:b/>
          <w:bCs/>
        </w:rPr>
        <w:t>DPF/0149</w:t>
      </w:r>
      <w:r w:rsidRPr="00AB7C42">
        <w:rPr>
          <w:rFonts w:ascii="Arial" w:hAnsi="Arial" w:cs="Arial"/>
          <w:b/>
          <w:bCs/>
        </w:rPr>
        <w:t>/</w:t>
      </w:r>
      <w:r w:rsidRPr="00AB7C42">
        <w:rPr>
          <w:rFonts w:ascii="Arial" w:hAnsi="Arial" w:cs="Arial"/>
          <w:b/>
        </w:rPr>
        <w:t>2024</w:t>
      </w:r>
      <w:r>
        <w:rPr>
          <w:rFonts w:ascii="Arial" w:eastAsia="Times New Roman" w:hAnsi="Arial" w:cs="Arial"/>
        </w:rPr>
        <w:t xml:space="preserve"> fechado el </w:t>
      </w:r>
      <w:r w:rsidR="00AC6A4B">
        <w:rPr>
          <w:rFonts w:ascii="Arial" w:eastAsia="Times New Roman" w:hAnsi="Arial" w:cs="Arial"/>
        </w:rPr>
        <w:t>01 y</w:t>
      </w:r>
      <w:r>
        <w:rPr>
          <w:rFonts w:ascii="Arial" w:eastAsia="Times New Roman" w:hAnsi="Arial" w:cs="Arial"/>
        </w:rPr>
        <w:t xml:space="preserve"> recibido el 05 de agosto, por el Comité de Transparencia,</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rPr>
        <w:t>Este Comité de Transparencia recomienda al</w:t>
      </w:r>
      <w:r>
        <w:rPr>
          <w:rFonts w:ascii="Arial" w:hAnsi="Arial" w:cs="Arial"/>
          <w:b/>
        </w:rPr>
        <w:t xml:space="preserve"> Contador Público César Isidro Cruz Director General de Administración</w:t>
      </w:r>
      <w:r>
        <w:rPr>
          <w:rFonts w:ascii="Arial" w:hAnsi="Arial" w:cs="Arial"/>
        </w:rPr>
        <w:t>, que notifique a los Titulares de las diversas áreas de la Institución que deberán de conocer esta resolución.</w:t>
      </w:r>
    </w:p>
    <w:p w:rsidR="002C14E2" w:rsidRDefault="002C14E2">
      <w:pPr>
        <w:spacing w:line="276" w:lineRule="auto"/>
        <w:jc w:val="both"/>
        <w:rPr>
          <w:rFonts w:ascii="Arial" w:hAnsi="Arial" w:cs="Arial"/>
          <w:b/>
        </w:rPr>
      </w:pPr>
    </w:p>
    <w:p w:rsidR="002C14E2" w:rsidRDefault="00EA5651">
      <w:pPr>
        <w:spacing w:line="276" w:lineRule="auto"/>
        <w:jc w:val="both"/>
        <w:rPr>
          <w:rFonts w:ascii="Arial" w:eastAsia="Times New Roman" w:hAnsi="Arial" w:cs="Arial"/>
          <w:lang w:val="es-ES"/>
        </w:rPr>
      </w:pPr>
      <w:r>
        <w:rPr>
          <w:rFonts w:ascii="Arial" w:hAnsi="Arial" w:cs="Arial"/>
        </w:rPr>
        <w:t>E</w:t>
      </w:r>
      <w:r>
        <w:rPr>
          <w:rFonts w:ascii="Arial" w:hAnsi="Arial" w:cs="Arial"/>
          <w:b/>
        </w:rPr>
        <w:t>l Contador Público César Isidro Cruz Director General de Administración</w:t>
      </w:r>
      <w:r>
        <w:rPr>
          <w:rFonts w:ascii="Arial" w:hAnsi="Arial" w:cs="Arial"/>
        </w:rPr>
        <w:t xml:space="preserve">, deberá dar respuesta a la solicitud de información registrada con </w:t>
      </w:r>
      <w:r w:rsidR="00FC282D">
        <w:rPr>
          <w:rFonts w:ascii="Arial" w:hAnsi="Arial" w:cs="Arial"/>
        </w:rPr>
        <w:t>número:</w:t>
      </w:r>
      <w:r w:rsidR="00FC282D">
        <w:rPr>
          <w:rFonts w:ascii="Arial" w:hAnsi="Arial" w:cs="Arial"/>
          <w:b/>
        </w:rPr>
        <w:t xml:space="preserve"> UT</w:t>
      </w:r>
      <w:r>
        <w:rPr>
          <w:rFonts w:ascii="Arial" w:hAnsi="Arial" w:cs="Arial"/>
          <w:b/>
        </w:rPr>
        <w:t>-SI-P-346-240469824000346-2024</w:t>
      </w:r>
      <w:r>
        <w:rPr>
          <w:rFonts w:ascii="Arial" w:hAnsi="Arial" w:cs="Arial"/>
        </w:rPr>
        <w:t xml:space="preserve">, en la que el Ciudadano quien </w:t>
      </w:r>
      <w:r>
        <w:rPr>
          <w:rFonts w:ascii="Arial" w:hAnsi="Arial" w:cs="Arial"/>
          <w:b/>
          <w:bCs/>
        </w:rPr>
        <w:t>NO PROPORCIONO NOMBRE,</w:t>
      </w:r>
      <w:r>
        <w:rPr>
          <w:rFonts w:ascii="Arial" w:hAnsi="Arial" w:cs="Arial"/>
          <w:b/>
        </w:rPr>
        <w:t xml:space="preserve"> </w:t>
      </w:r>
      <w:r>
        <w:rPr>
          <w:rFonts w:ascii="Arial" w:hAnsi="Arial" w:cs="Arial"/>
        </w:rPr>
        <w:t>en términos de la LTAIPSLP, y de los LGCDIEVP analizando los rubros aquí reservados</w:t>
      </w:r>
      <w:r>
        <w:rPr>
          <w:rFonts w:ascii="Arial" w:eastAsia="Times New Roman" w:hAnsi="Arial" w:cs="Arial"/>
          <w:lang w:val="es-ES"/>
        </w:rPr>
        <w:t xml:space="preserve">. </w:t>
      </w:r>
    </w:p>
    <w:p w:rsidR="002C14E2" w:rsidRDefault="002C14E2">
      <w:pPr>
        <w:pStyle w:val="Sinespaciado"/>
        <w:spacing w:line="276" w:lineRule="auto"/>
        <w:jc w:val="both"/>
        <w:rPr>
          <w:rFonts w:ascii="Arial" w:hAnsi="Arial" w:cs="Arial"/>
        </w:rPr>
      </w:pPr>
    </w:p>
    <w:p w:rsidR="002C14E2" w:rsidRDefault="00EA5651">
      <w:pPr>
        <w:pStyle w:val="Sinespaciado"/>
        <w:spacing w:line="276" w:lineRule="auto"/>
        <w:jc w:val="both"/>
        <w:rPr>
          <w:rFonts w:ascii="Arial" w:hAnsi="Arial" w:cs="Arial"/>
          <w:sz w:val="24"/>
          <w:szCs w:val="24"/>
        </w:rPr>
      </w:pPr>
      <w:r>
        <w:rPr>
          <w:rFonts w:ascii="Arial" w:hAnsi="Arial" w:cs="Arial"/>
          <w:sz w:val="24"/>
          <w:szCs w:val="24"/>
        </w:rPr>
        <w:t>Se instruye al</w:t>
      </w:r>
      <w:r>
        <w:rPr>
          <w:rFonts w:ascii="Arial" w:hAnsi="Arial" w:cs="Arial"/>
          <w:b/>
          <w:sz w:val="24"/>
          <w:szCs w:val="24"/>
        </w:rPr>
        <w:t xml:space="preserve"> Contador Público César Isidro Cruz Director General de Administración</w:t>
      </w:r>
      <w:r>
        <w:rPr>
          <w:rFonts w:ascii="Arial" w:hAnsi="Arial" w:cs="Arial"/>
          <w:sz w:val="24"/>
          <w:szCs w:val="24"/>
        </w:rPr>
        <w:t xml:space="preserve">, para que realice las anotaciones correspondientes en los documentos clasificados como </w:t>
      </w:r>
      <w:r>
        <w:rPr>
          <w:rFonts w:ascii="Arial" w:hAnsi="Arial" w:cs="Arial"/>
          <w:b/>
          <w:sz w:val="24"/>
          <w:szCs w:val="24"/>
        </w:rPr>
        <w:t>reservados</w:t>
      </w:r>
      <w:r>
        <w:rPr>
          <w:rFonts w:ascii="Arial" w:hAnsi="Arial" w:cs="Arial"/>
          <w:sz w:val="24"/>
          <w:szCs w:val="24"/>
        </w:rPr>
        <w:t xml:space="preserve">, de conformidad con el artículo 121 de la LTAIPSLP, concatenado con el lineamiento Quincuagésimo Primero de los Lineamientos Generales en Materia de Clasificación y Desclasificación de la información, así como para la Elaboración de Versiones Públicas. </w:t>
      </w:r>
    </w:p>
    <w:p w:rsidR="002C14E2" w:rsidRDefault="002C14E2">
      <w:pPr>
        <w:pStyle w:val="Sinespaciado"/>
        <w:spacing w:line="276" w:lineRule="auto"/>
        <w:jc w:val="both"/>
        <w:rPr>
          <w:rFonts w:ascii="Arial" w:hAnsi="Arial" w:cs="Arial"/>
          <w:sz w:val="24"/>
          <w:szCs w:val="24"/>
        </w:rPr>
      </w:pPr>
    </w:p>
    <w:p w:rsidR="002C14E2" w:rsidRDefault="00EA5651">
      <w:pPr>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w:t>
      </w:r>
      <w:r>
        <w:rPr>
          <w:rFonts w:ascii="Arial" w:hAnsi="Arial" w:cs="Arial"/>
        </w:rPr>
        <w:lastRenderedPageBreak/>
        <w:t>de la Fiscalía General del Estado de San Luis Potosí, así como los lineamientos para su funcionamiento”, se:</w:t>
      </w:r>
    </w:p>
    <w:p w:rsidR="002C14E2" w:rsidRDefault="002C14E2">
      <w:pPr>
        <w:spacing w:line="276" w:lineRule="auto"/>
        <w:jc w:val="both"/>
        <w:rPr>
          <w:rFonts w:ascii="Arial" w:hAnsi="Arial" w:cs="Arial"/>
        </w:rPr>
      </w:pPr>
    </w:p>
    <w:p w:rsidR="002C14E2" w:rsidRDefault="002C14E2">
      <w:pPr>
        <w:spacing w:line="276" w:lineRule="auto"/>
        <w:jc w:val="center"/>
        <w:rPr>
          <w:rFonts w:ascii="Arial" w:hAnsi="Arial" w:cs="Arial"/>
          <w:b/>
        </w:rPr>
      </w:pPr>
    </w:p>
    <w:p w:rsidR="002C14E2" w:rsidRDefault="00EA5651">
      <w:pPr>
        <w:spacing w:line="276" w:lineRule="auto"/>
        <w:jc w:val="center"/>
        <w:rPr>
          <w:rFonts w:ascii="Arial" w:hAnsi="Arial" w:cs="Arial"/>
          <w:b/>
        </w:rPr>
      </w:pPr>
      <w:r>
        <w:rPr>
          <w:rFonts w:ascii="Arial" w:hAnsi="Arial" w:cs="Arial"/>
          <w:b/>
        </w:rPr>
        <w:t>RESUELVE POR UNANIMIDAD:</w:t>
      </w:r>
    </w:p>
    <w:p w:rsidR="002C14E2" w:rsidRDefault="002C14E2">
      <w:pPr>
        <w:spacing w:line="276" w:lineRule="auto"/>
        <w:jc w:val="both"/>
        <w:rPr>
          <w:rFonts w:ascii="Arial" w:hAnsi="Arial" w:cs="Arial"/>
          <w:b/>
        </w:rPr>
      </w:pPr>
    </w:p>
    <w:p w:rsidR="002C14E2" w:rsidRDefault="00EA5651">
      <w:pPr>
        <w:spacing w:line="276" w:lineRule="auto"/>
        <w:jc w:val="both"/>
        <w:rPr>
          <w:rFonts w:ascii="Arial" w:hAnsi="Arial" w:cs="Arial"/>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y adopta el </w:t>
      </w:r>
      <w:r>
        <w:rPr>
          <w:rFonts w:ascii="Arial" w:hAnsi="Arial" w:cs="Arial"/>
          <w:b/>
        </w:rPr>
        <w:t xml:space="preserve">Acuerdo de Reserva Total </w:t>
      </w:r>
      <w:r>
        <w:rPr>
          <w:rFonts w:ascii="Arial" w:hAnsi="Arial" w:cs="Arial"/>
        </w:rPr>
        <w:t xml:space="preserve">número </w:t>
      </w:r>
      <w:r>
        <w:rPr>
          <w:rFonts w:ascii="Arial" w:eastAsia="Times New Roman" w:hAnsi="Arial" w:cs="Arial"/>
          <w:b/>
        </w:rPr>
        <w:t xml:space="preserve">AR/29/2024, </w:t>
      </w:r>
      <w:r>
        <w:rPr>
          <w:rFonts w:ascii="Arial" w:hAnsi="Arial" w:cs="Arial"/>
        </w:rPr>
        <w:t>realizado por e</w:t>
      </w:r>
      <w:r>
        <w:rPr>
          <w:rFonts w:ascii="Arial" w:hAnsi="Arial" w:cs="Arial"/>
          <w:b/>
        </w:rPr>
        <w:t>l Contador Público César Isidro Cruz Director General de Administración</w:t>
      </w:r>
      <w:r>
        <w:rPr>
          <w:rFonts w:ascii="Arial" w:hAnsi="Arial" w:cs="Arial"/>
        </w:rPr>
        <w:t xml:space="preserve">, por las razones y fundamentos expuestos en el considerando </w:t>
      </w:r>
      <w:r>
        <w:rPr>
          <w:rFonts w:ascii="Arial" w:hAnsi="Arial" w:cs="Arial"/>
          <w:b/>
        </w:rPr>
        <w:t>TERCERO</w:t>
      </w:r>
      <w:r>
        <w:rPr>
          <w:rFonts w:ascii="Arial" w:hAnsi="Arial" w:cs="Arial"/>
        </w:rPr>
        <w:t xml:space="preserve"> de la presente resolución. </w:t>
      </w:r>
    </w:p>
    <w:p w:rsidR="00AB7C42" w:rsidRDefault="00AB7C4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b/>
        </w:rPr>
        <w:t xml:space="preserve">SEGUNDO.  </w:t>
      </w:r>
      <w:r>
        <w:rPr>
          <w:rFonts w:ascii="Arial" w:hAnsi="Arial" w:cs="Arial"/>
        </w:rPr>
        <w:t>E</w:t>
      </w:r>
      <w:r>
        <w:rPr>
          <w:rFonts w:ascii="Arial" w:hAnsi="Arial" w:cs="Arial"/>
          <w:b/>
        </w:rPr>
        <w:t>l Contador Público César Isidro Cruz Director General de Administración</w:t>
      </w:r>
      <w:r>
        <w:rPr>
          <w:rFonts w:ascii="Arial" w:hAnsi="Arial" w:cs="Arial"/>
        </w:rPr>
        <w:t xml:space="preserve">, </w:t>
      </w:r>
      <w:r>
        <w:rPr>
          <w:rFonts w:ascii="Arial" w:hAnsi="Arial" w:cs="Arial"/>
          <w:b/>
        </w:rPr>
        <w:t>deberá</w:t>
      </w:r>
      <w:r>
        <w:rPr>
          <w:rFonts w:ascii="Arial" w:hAnsi="Arial" w:cs="Arial"/>
        </w:rPr>
        <w:t xml:space="preserve"> dar respuesta a la solicitud de información registrada con número: </w:t>
      </w:r>
      <w:r>
        <w:rPr>
          <w:rFonts w:ascii="Arial" w:hAnsi="Arial" w:cs="Arial"/>
          <w:b/>
        </w:rPr>
        <w:t>UT-SI-P-346-240469824000346-2024</w:t>
      </w:r>
      <w:r>
        <w:rPr>
          <w:rFonts w:ascii="Arial" w:hAnsi="Arial" w:cs="Arial"/>
        </w:rPr>
        <w:t xml:space="preserve">, en la que el Ciudadano quien </w:t>
      </w:r>
      <w:r>
        <w:rPr>
          <w:rFonts w:ascii="Arial" w:hAnsi="Arial" w:cs="Arial"/>
          <w:b/>
          <w:bCs/>
        </w:rPr>
        <w:t>NO PROPORCIONO NOMBRE</w:t>
      </w:r>
      <w:r>
        <w:rPr>
          <w:rFonts w:ascii="Arial" w:hAnsi="Arial" w:cs="Arial"/>
        </w:rPr>
        <w:t xml:space="preserve">, atendiendo las razones y fundamentos expuestos en el considerando </w:t>
      </w:r>
      <w:r>
        <w:rPr>
          <w:rFonts w:ascii="Arial" w:hAnsi="Arial" w:cs="Arial"/>
          <w:b/>
        </w:rPr>
        <w:t>TERCERO</w:t>
      </w:r>
      <w:r>
        <w:rPr>
          <w:rFonts w:ascii="Arial" w:hAnsi="Arial" w:cs="Arial"/>
        </w:rPr>
        <w:t xml:space="preserve"> de la presente resolución.</w:t>
      </w:r>
    </w:p>
    <w:p w:rsidR="00AB7C42" w:rsidRDefault="00AB7C42">
      <w:pPr>
        <w:pStyle w:val="Texto"/>
        <w:rPr>
          <w:b/>
        </w:rPr>
      </w:pPr>
    </w:p>
    <w:p w:rsidR="002C14E2" w:rsidRDefault="00EA5651">
      <w:pPr>
        <w:spacing w:line="276" w:lineRule="auto"/>
        <w:jc w:val="both"/>
        <w:rPr>
          <w:rFonts w:ascii="Arial" w:hAnsi="Arial" w:cs="Arial"/>
        </w:rPr>
      </w:pPr>
      <w:r>
        <w:rPr>
          <w:rFonts w:ascii="Arial" w:hAnsi="Arial" w:cs="Arial"/>
          <w:b/>
        </w:rPr>
        <w:t xml:space="preserve">TERCERO. </w:t>
      </w:r>
      <w:r>
        <w:rPr>
          <w:rFonts w:ascii="Arial" w:hAnsi="Arial" w:cs="Arial"/>
        </w:rPr>
        <w:t>Se instruye al</w:t>
      </w:r>
      <w:r>
        <w:rPr>
          <w:rFonts w:ascii="Arial" w:hAnsi="Arial" w:cs="Arial"/>
          <w:b/>
        </w:rPr>
        <w:t xml:space="preserve"> Contador Público César Isidro Cruz Director General de Administración</w:t>
      </w:r>
      <w:r>
        <w:rPr>
          <w:rFonts w:ascii="Arial" w:hAnsi="Arial" w:cs="Arial"/>
        </w:rPr>
        <w:t>, para que notifique al área responsable de su resguardo en términos del artículo 132 de la LTAIPSLP.</w:t>
      </w:r>
    </w:p>
    <w:p w:rsidR="00AB7C42" w:rsidRDefault="00AB7C42">
      <w:pPr>
        <w:spacing w:line="276" w:lineRule="auto"/>
        <w:jc w:val="both"/>
        <w:rPr>
          <w:rFonts w:ascii="Arial" w:hAnsi="Arial" w:cs="Arial"/>
          <w:b/>
        </w:rPr>
      </w:pPr>
    </w:p>
    <w:p w:rsidR="002C14E2" w:rsidRDefault="00EA5651">
      <w:pPr>
        <w:spacing w:line="276" w:lineRule="auto"/>
        <w:jc w:val="both"/>
        <w:rPr>
          <w:rFonts w:ascii="Arial" w:hAnsi="Arial" w:cs="Arial"/>
        </w:rPr>
      </w:pPr>
      <w:r>
        <w:rPr>
          <w:rFonts w:ascii="Arial" w:hAnsi="Arial" w:cs="Arial"/>
          <w:b/>
        </w:rPr>
        <w:t>CUARTO. El Contador Público César Isidro Cruz Director General de Administración</w:t>
      </w:r>
      <w:r>
        <w:rPr>
          <w:rFonts w:ascii="Arial" w:hAnsi="Arial" w:cs="Arial"/>
        </w:rPr>
        <w:t>, debe desclasificar la información una vez transcurrido el período establecido en el Considerando Tercero, III, de la presente resolución.</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b/>
        </w:rPr>
        <w:t>QUINTO. El Contador Público César Isidro Cruz Director General de Administración</w:t>
      </w:r>
      <w:r>
        <w:rPr>
          <w:rFonts w:ascii="Arial" w:hAnsi="Arial" w:cs="Arial"/>
        </w:rPr>
        <w:t>, deberá notificar a las Instituciones y áreas internas de la FGE que deban tener conocimiento de la presente resolución para los efectos legales y administrativos a que haya lugar.</w:t>
      </w:r>
    </w:p>
    <w:p w:rsidR="00AB7C42" w:rsidRDefault="00AB7C42">
      <w:pPr>
        <w:spacing w:line="276" w:lineRule="auto"/>
        <w:jc w:val="both"/>
        <w:rPr>
          <w:rFonts w:ascii="Arial" w:hAnsi="Arial" w:cs="Arial"/>
        </w:rPr>
      </w:pPr>
    </w:p>
    <w:p w:rsidR="002C14E2" w:rsidRDefault="00EA5651" w:rsidP="00FC282D">
      <w:pPr>
        <w:spacing w:line="276" w:lineRule="auto"/>
        <w:jc w:val="both"/>
        <w:rPr>
          <w:rFonts w:ascii="Arial" w:hAnsi="Arial" w:cs="Arial"/>
        </w:rPr>
      </w:pPr>
      <w:r>
        <w:rPr>
          <w:rFonts w:ascii="Arial" w:hAnsi="Arial" w:cs="Arial"/>
          <w:b/>
        </w:rPr>
        <w:t>SEXTO.</w:t>
      </w:r>
      <w:r>
        <w:rPr>
          <w:rFonts w:ascii="Arial" w:hAnsi="Arial" w:cs="Arial"/>
        </w:rPr>
        <w:t xml:space="preserve"> </w:t>
      </w:r>
      <w:r>
        <w:rPr>
          <w:rFonts w:ascii="Arial" w:hAnsi="Arial" w:cs="Arial"/>
          <w:b/>
        </w:rPr>
        <w:t>El Contador Público César Isidro Cruz Director General de Administración</w:t>
      </w:r>
      <w:r>
        <w:rPr>
          <w:rFonts w:ascii="Arial" w:hAnsi="Arial" w:cs="Arial"/>
        </w:rPr>
        <w:t>, deberá de realizar 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w:t>
      </w:r>
      <w:r w:rsidR="006A35E1">
        <w:rPr>
          <w:rFonts w:ascii="Arial" w:hAnsi="Arial" w:cs="Arial"/>
        </w:rPr>
        <w:t>.</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Pr>
          <w:rFonts w:ascii="Arial" w:hAnsi="Arial" w:cs="Arial"/>
          <w:b/>
        </w:rPr>
        <w:t>FGE-CT-AR-76-2024.</w:t>
      </w:r>
    </w:p>
    <w:p w:rsidR="002C14E2" w:rsidRDefault="002C14E2">
      <w:pPr>
        <w:spacing w:line="276" w:lineRule="auto"/>
        <w:jc w:val="both"/>
        <w:rPr>
          <w:rFonts w:ascii="Arial" w:hAnsi="Arial" w:cs="Arial"/>
        </w:rPr>
      </w:pPr>
    </w:p>
    <w:p w:rsidR="002C14E2" w:rsidRDefault="00EA5651">
      <w:pPr>
        <w:spacing w:line="276" w:lineRule="auto"/>
        <w:jc w:val="both"/>
        <w:rPr>
          <w:rFonts w:ascii="Arial" w:hAnsi="Arial" w:cs="Arial"/>
        </w:rPr>
      </w:pPr>
      <w:r>
        <w:rPr>
          <w:rFonts w:ascii="Arial" w:hAnsi="Arial" w:cs="Arial"/>
        </w:rPr>
        <w:t>En cumplimiento a lo establecido por el artículo 128 fracción IX, de la LTAIPSLP, se procede a rubricar la presente resolución,</w:t>
      </w:r>
      <w:r>
        <w:t xml:space="preserve"> </w:t>
      </w:r>
      <w:r>
        <w:rPr>
          <w:rFonts w:ascii="Arial" w:hAnsi="Arial" w:cs="Arial"/>
        </w:rPr>
        <w:t>lineamiento Quincuagésimo primero fracción V de los LGPCDIEVP, se procede a rubricar la presente resolución.</w:t>
      </w:r>
    </w:p>
    <w:p w:rsidR="002C14E2" w:rsidRDefault="002C14E2">
      <w:pPr>
        <w:rPr>
          <w:rFonts w:ascii="Arial" w:hAnsi="Arial" w:cs="Arial"/>
        </w:rPr>
      </w:pPr>
    </w:p>
    <w:p w:rsidR="002C14E2" w:rsidRDefault="002C14E2">
      <w:pPr>
        <w:spacing w:line="276" w:lineRule="auto"/>
        <w:jc w:val="both"/>
        <w:rPr>
          <w:rFonts w:ascii="Arial" w:hAnsi="Arial" w:cs="Arial"/>
        </w:rPr>
      </w:pPr>
    </w:p>
    <w:p w:rsidR="002C14E2" w:rsidRDefault="002C14E2">
      <w:pPr>
        <w:spacing w:line="276" w:lineRule="auto"/>
        <w:jc w:val="both"/>
        <w:rPr>
          <w:rFonts w:ascii="Arial" w:hAnsi="Arial" w:cs="Arial"/>
        </w:rPr>
      </w:pPr>
    </w:p>
    <w:p w:rsidR="000D48ED" w:rsidRDefault="000D48ED">
      <w:pPr>
        <w:spacing w:line="276" w:lineRule="auto"/>
        <w:jc w:val="both"/>
        <w:rPr>
          <w:rFonts w:ascii="Arial" w:hAnsi="Arial" w:cs="Arial"/>
        </w:rPr>
      </w:pPr>
    </w:p>
    <w:p w:rsidR="00AD7B33" w:rsidRDefault="00AD7B33">
      <w:pPr>
        <w:spacing w:line="276" w:lineRule="auto"/>
        <w:jc w:val="both"/>
        <w:rPr>
          <w:rFonts w:ascii="Arial" w:hAnsi="Arial" w:cs="Arial"/>
        </w:rPr>
      </w:pPr>
    </w:p>
    <w:p w:rsidR="00F64E67" w:rsidRDefault="00F64E67">
      <w:pPr>
        <w:spacing w:line="276" w:lineRule="auto"/>
        <w:jc w:val="both"/>
        <w:rPr>
          <w:rFonts w:ascii="Arial" w:hAnsi="Arial" w:cs="Arial"/>
        </w:rPr>
      </w:pPr>
    </w:p>
    <w:p w:rsidR="002C14E2" w:rsidRDefault="00EA5651">
      <w:pPr>
        <w:spacing w:line="276" w:lineRule="auto"/>
        <w:rPr>
          <w:rFonts w:ascii="Arial" w:hAnsi="Arial" w:cs="Arial"/>
        </w:rPr>
      </w:pPr>
      <w:r>
        <w:rPr>
          <w:rFonts w:ascii="Arial" w:hAnsi="Arial" w:cs="Arial"/>
        </w:rPr>
        <w:t>____________________________________</w:t>
      </w:r>
    </w:p>
    <w:p w:rsidR="002C14E2" w:rsidRDefault="00EA5651">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2C14E2" w:rsidRDefault="00EA5651">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rsidR="002C14E2" w:rsidRDefault="00EA5651">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2C14E2" w:rsidRDefault="00EA5651">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2C14E2" w:rsidRDefault="002C14E2">
      <w:pPr>
        <w:tabs>
          <w:tab w:val="left" w:pos="8998"/>
          <w:tab w:val="left" w:pos="9932"/>
        </w:tabs>
        <w:spacing w:before="20" w:line="276" w:lineRule="auto"/>
        <w:rPr>
          <w:rFonts w:ascii="Arial" w:eastAsia="Arial" w:hAnsi="Arial" w:cs="Arial"/>
          <w:b/>
        </w:rPr>
      </w:pPr>
    </w:p>
    <w:p w:rsidR="002C14E2" w:rsidRDefault="002C14E2">
      <w:pPr>
        <w:tabs>
          <w:tab w:val="left" w:pos="8998"/>
          <w:tab w:val="left" w:pos="9932"/>
        </w:tabs>
        <w:spacing w:before="20" w:line="276" w:lineRule="auto"/>
        <w:rPr>
          <w:rFonts w:ascii="Arial" w:eastAsia="Arial" w:hAnsi="Arial" w:cs="Arial"/>
          <w:b/>
        </w:rPr>
      </w:pPr>
    </w:p>
    <w:p w:rsidR="002C14E2" w:rsidRDefault="002C14E2">
      <w:pPr>
        <w:tabs>
          <w:tab w:val="left" w:pos="8998"/>
          <w:tab w:val="left" w:pos="9932"/>
        </w:tabs>
        <w:spacing w:before="20" w:line="276" w:lineRule="auto"/>
        <w:rPr>
          <w:rFonts w:ascii="Arial" w:eastAsia="Arial" w:hAnsi="Arial" w:cs="Arial"/>
          <w:b/>
        </w:rPr>
      </w:pPr>
    </w:p>
    <w:p w:rsidR="00AD7B33" w:rsidRDefault="00AD7B33">
      <w:pPr>
        <w:tabs>
          <w:tab w:val="left" w:pos="8998"/>
          <w:tab w:val="left" w:pos="9932"/>
        </w:tabs>
        <w:spacing w:before="20" w:line="276" w:lineRule="auto"/>
        <w:rPr>
          <w:rFonts w:ascii="Arial" w:eastAsia="Arial" w:hAnsi="Arial" w:cs="Arial"/>
          <w:b/>
        </w:rPr>
      </w:pPr>
    </w:p>
    <w:p w:rsidR="002C14E2" w:rsidRDefault="00EA5651">
      <w:pPr>
        <w:spacing w:line="276" w:lineRule="auto"/>
        <w:jc w:val="both"/>
        <w:rPr>
          <w:rFonts w:ascii="Arial" w:hAnsi="Arial" w:cs="Arial"/>
        </w:rPr>
      </w:pPr>
      <w:r>
        <w:rPr>
          <w:rFonts w:ascii="Arial" w:hAnsi="Arial" w:cs="Arial"/>
        </w:rPr>
        <w:t>_____________________________________</w:t>
      </w:r>
    </w:p>
    <w:p w:rsidR="002C14E2" w:rsidRDefault="00EA5651">
      <w:pPr>
        <w:spacing w:line="276" w:lineRule="auto"/>
        <w:rPr>
          <w:rFonts w:ascii="Arial" w:hAnsi="Arial" w:cs="Arial"/>
          <w:b/>
        </w:rPr>
      </w:pPr>
      <w:r>
        <w:rPr>
          <w:rFonts w:ascii="Arial" w:hAnsi="Arial" w:cs="Arial"/>
          <w:b/>
          <w:bCs/>
        </w:rPr>
        <w:t>LICENCIADO JOSÉ PEDRO GÓMEZ ÁVILA</w:t>
      </w:r>
    </w:p>
    <w:p w:rsidR="002C14E2" w:rsidRDefault="00EA5651">
      <w:pPr>
        <w:spacing w:line="276" w:lineRule="auto"/>
        <w:rPr>
          <w:rFonts w:ascii="Arial" w:hAnsi="Arial" w:cs="Arial"/>
          <w:b/>
        </w:rPr>
      </w:pPr>
      <w:r>
        <w:rPr>
          <w:rFonts w:ascii="Arial" w:hAnsi="Arial" w:cs="Arial"/>
          <w:b/>
        </w:rPr>
        <w:t>VICEFISCAL E INTEGRANTE DEL COMITÉ DE TRANSPARENCIA.</w:t>
      </w:r>
    </w:p>
    <w:p w:rsidR="002C14E2" w:rsidRDefault="002C14E2">
      <w:pPr>
        <w:spacing w:line="276" w:lineRule="auto"/>
        <w:jc w:val="both"/>
        <w:rPr>
          <w:rFonts w:ascii="Arial" w:hAnsi="Arial" w:cs="Arial"/>
          <w:b/>
        </w:rPr>
      </w:pPr>
    </w:p>
    <w:p w:rsidR="002C14E2" w:rsidRDefault="002C14E2">
      <w:pPr>
        <w:spacing w:line="276" w:lineRule="auto"/>
        <w:jc w:val="both"/>
        <w:rPr>
          <w:rFonts w:ascii="Arial" w:hAnsi="Arial" w:cs="Arial"/>
          <w:b/>
        </w:rPr>
      </w:pPr>
    </w:p>
    <w:p w:rsidR="002C14E2" w:rsidRDefault="002C14E2">
      <w:pPr>
        <w:spacing w:line="276" w:lineRule="auto"/>
        <w:jc w:val="both"/>
        <w:rPr>
          <w:rFonts w:ascii="Arial" w:hAnsi="Arial" w:cs="Arial"/>
          <w:b/>
        </w:rPr>
      </w:pPr>
    </w:p>
    <w:p w:rsidR="00AD7B33" w:rsidRDefault="00AD7B33">
      <w:pPr>
        <w:spacing w:line="276" w:lineRule="auto"/>
        <w:jc w:val="both"/>
        <w:rPr>
          <w:rFonts w:ascii="Arial" w:hAnsi="Arial" w:cs="Arial"/>
          <w:b/>
        </w:rPr>
      </w:pPr>
    </w:p>
    <w:p w:rsidR="002C14E2" w:rsidRDefault="00EA5651">
      <w:pPr>
        <w:spacing w:line="276" w:lineRule="auto"/>
        <w:jc w:val="both"/>
        <w:rPr>
          <w:rFonts w:ascii="Arial" w:hAnsi="Arial" w:cs="Arial"/>
        </w:rPr>
      </w:pPr>
      <w:r>
        <w:rPr>
          <w:rFonts w:ascii="Arial" w:hAnsi="Arial" w:cs="Arial"/>
        </w:rPr>
        <w:t>_____________________________________</w:t>
      </w:r>
    </w:p>
    <w:p w:rsidR="002C14E2" w:rsidRDefault="00EA5651">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2C14E2" w:rsidRDefault="00EA5651">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p w:rsidR="002C14E2" w:rsidRDefault="002C14E2"/>
    <w:sectPr w:rsidR="002C14E2">
      <w:headerReference w:type="even" r:id="rId9"/>
      <w:headerReference w:type="default" r:id="rId10"/>
      <w:footerReference w:type="even" r:id="rId11"/>
      <w:footerReference w:type="default" r:id="rId12"/>
      <w:headerReference w:type="first" r:id="rId13"/>
      <w:footerReference w:type="first" r:id="rId14"/>
      <w:pgSz w:w="12240" w:h="15840"/>
      <w:pgMar w:top="3119" w:right="1134" w:bottom="1418" w:left="1134" w:header="709" w:footer="77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EC6" w:rsidRDefault="00EA5651">
      <w:r>
        <w:separator/>
      </w:r>
    </w:p>
  </w:endnote>
  <w:endnote w:type="continuationSeparator" w:id="0">
    <w:p w:rsidR="00C67EC6" w:rsidRDefault="00EA5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273D" w:rsidRDefault="00D5273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4E2" w:rsidRDefault="00EA5651">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59264" behindDoc="1" locked="0" layoutInCell="1" allowOverlap="1">
          <wp:simplePos x="0" y="0"/>
          <wp:positionH relativeFrom="column">
            <wp:posOffset>-545465</wp:posOffset>
          </wp:positionH>
          <wp:positionV relativeFrom="paragraph">
            <wp:posOffset>59055</wp:posOffset>
          </wp:positionV>
          <wp:extent cx="7124065" cy="802005"/>
          <wp:effectExtent l="0" t="0" r="63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124065" cy="802005"/>
                  </a:xfrm>
                  <a:prstGeom prst="rect">
                    <a:avLst/>
                  </a:prstGeom>
                </pic:spPr>
              </pic:pic>
            </a:graphicData>
          </a:graphic>
        </wp:anchor>
      </w:drawing>
    </w:r>
    <w:r>
      <w:rPr>
        <w:rFonts w:ascii="Arial" w:hAnsi="Arial" w:cs="Arial"/>
        <w:color w:val="000000" w:themeColor="text1"/>
        <w:sz w:val="13"/>
      </w:rPr>
      <w:t>Fiscalía General del Estado de SLP</w:t>
    </w:r>
  </w:p>
  <w:p w:rsidR="002C14E2" w:rsidRDefault="00EA5651">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2C14E2" w:rsidRDefault="00EA5651">
    <w:pPr>
      <w:pStyle w:val="Piedepgina"/>
      <w:tabs>
        <w:tab w:val="right" w:pos="9972"/>
      </w:tabs>
      <w:jc w:val="right"/>
      <w:rPr>
        <w:rFonts w:ascii="Arial" w:hAnsi="Arial" w:cs="Arial"/>
        <w:color w:val="000000" w:themeColor="text1"/>
        <w:sz w:val="13"/>
      </w:rPr>
    </w:pPr>
    <w:r>
      <w:rPr>
        <w:rFonts w:ascii="Arial" w:hAnsi="Arial" w:cs="Arial"/>
        <w:color w:val="000000" w:themeColor="text1"/>
        <w:sz w:val="13"/>
      </w:rPr>
      <w:tab/>
    </w:r>
    <w:r>
      <w:rPr>
        <w:rFonts w:ascii="Arial" w:hAnsi="Arial" w:cs="Arial"/>
        <w:color w:val="000000" w:themeColor="text1"/>
        <w:sz w:val="13"/>
      </w:rPr>
      <w:tab/>
      <w:t>Eje Vial No. 100, Zona Centro,</w:t>
    </w:r>
  </w:p>
  <w:p w:rsidR="002C14E2" w:rsidRDefault="00EA5651">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2C14E2" w:rsidRDefault="00EA5651">
    <w:pPr>
      <w:pStyle w:val="Piedepgina"/>
      <w:jc w:val="right"/>
      <w:rPr>
        <w:rFonts w:ascii="Arial" w:hAnsi="Arial" w:cs="Arial"/>
        <w:color w:val="000000" w:themeColor="text1"/>
        <w:sz w:val="13"/>
      </w:rPr>
    </w:pPr>
    <w:r>
      <w:rPr>
        <w:rFonts w:ascii="Arial" w:hAnsi="Arial" w:cs="Arial"/>
        <w:color w:val="000000" w:themeColor="text1"/>
        <w:sz w:val="13"/>
      </w:rPr>
      <w:t>Tel. 01 (444) 812 26 24</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273D" w:rsidRDefault="00D5273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14E2" w:rsidRDefault="00EA5651">
      <w:r>
        <w:separator/>
      </w:r>
    </w:p>
  </w:footnote>
  <w:footnote w:type="continuationSeparator" w:id="0">
    <w:p w:rsidR="002C14E2" w:rsidRDefault="00EA5651">
      <w:r>
        <w:continuationSeparator/>
      </w:r>
    </w:p>
  </w:footnote>
  <w:footnote w:id="1">
    <w:p w:rsidR="002C14E2" w:rsidRDefault="00EA5651">
      <w:pPr>
        <w:pStyle w:val="Textonotapie"/>
        <w:jc w:val="both"/>
        <w:rPr>
          <w:lang w:val="en-US"/>
        </w:rPr>
      </w:pPr>
      <w:r>
        <w:rPr>
          <w:rStyle w:val="Refdenotaalpie"/>
        </w:rPr>
        <w:footnoteRef/>
      </w:r>
      <w:r>
        <w:rPr>
          <w:lang w:val="en-US"/>
        </w:rPr>
        <w:t xml:space="preserve"> </w:t>
      </w:r>
      <w:r>
        <w:rPr>
          <w:rFonts w:ascii="Arial" w:hAnsi="Arial" w:cs="Arial"/>
          <w:lang w:val="en-US"/>
        </w:rPr>
        <w:t>Delmer D. Dunn, “Mixing Elected and Nonelected Officials in Democratic Policy Making: Fundamentals of Accountability and Responsibility”, en Bernard Manin, Adam Przeworski y Susan C. Stokes, Democracy, Accountability and Representation, Cambridge University Press, Cambridge, 1999, p. 298.</w:t>
      </w:r>
    </w:p>
  </w:footnote>
  <w:footnote w:id="2">
    <w:p w:rsidR="002C14E2" w:rsidRDefault="00EA5651">
      <w:pPr>
        <w:pStyle w:val="Textonotapie"/>
        <w:rPr>
          <w:lang w:val="en-US"/>
        </w:rPr>
      </w:pPr>
      <w:r>
        <w:rPr>
          <w:rStyle w:val="Refdenotaalpie"/>
        </w:rPr>
        <w:footnoteRef/>
      </w:r>
      <w:r>
        <w:rPr>
          <w:lang w:val="en-US"/>
        </w:rPr>
        <w:t xml:space="preserve"> </w:t>
      </w:r>
      <w:hyperlink r:id="rId1" w:history="1">
        <w:r>
          <w:rPr>
            <w:rStyle w:val="Hipervnculo"/>
            <w:rFonts w:ascii="Arial" w:hAnsi="Arial" w:cs="Arial"/>
            <w:lang w:val="en-US"/>
          </w:rPr>
          <w:t>https://www.inegi.org.mx/contenidos/saladeprensa/boletines/2023/ENVIPE/ENVIPE_23.pdf</w:t>
        </w:r>
      </w:hyperlink>
      <w:r>
        <w:rPr>
          <w:lang w:val="en-US"/>
        </w:rPr>
        <w:t xml:space="preserve"> </w:t>
      </w:r>
    </w:p>
  </w:footnote>
  <w:footnote w:id="3">
    <w:p w:rsidR="002C14E2" w:rsidRDefault="00EA5651">
      <w:pPr>
        <w:pStyle w:val="Textonotapie"/>
        <w:jc w:val="both"/>
      </w:pPr>
      <w:r>
        <w:rPr>
          <w:rStyle w:val="Refdenotaalpie"/>
        </w:rPr>
        <w:footnoteRef/>
      </w:r>
      <w:r>
        <w:t xml:space="preserve"> </w:t>
      </w:r>
      <w:r>
        <w:rPr>
          <w:rFonts w:ascii="Arial" w:hAnsi="Arial" w:cs="Arial"/>
          <w:b/>
        </w:rPr>
        <w:t>Encuesta Nacional de Victimización y Percepción sobre Seguridad Pública (ENVIPE) 2023.</w:t>
      </w:r>
      <w:r>
        <w:rPr>
          <w:rFonts w:ascii="Arial" w:hAnsi="Arial" w:cs="Arial"/>
        </w:rPr>
        <w:t xml:space="preserve"> </w:t>
      </w:r>
      <w:hyperlink r:id="rId2" w:history="1">
        <w:r>
          <w:rPr>
            <w:rStyle w:val="Hipervnculo"/>
            <w:rFonts w:ascii="Arial" w:hAnsi="Arial" w:cs="Arial"/>
          </w:rPr>
          <w:t>https://www.inegi.org.mx/contenidos/programas/envipe/2023/doc/envipe2023_4_denuncia_delito.pdf</w:t>
        </w:r>
      </w:hyperlink>
      <w:r>
        <w:rPr>
          <w:rFonts w:ascii="Arial" w:hAnsi="Arial" w:cs="Arial"/>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273D" w:rsidRDefault="00D5273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550594" o:spid="_x0000_s1026"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4E2" w:rsidRDefault="00D5273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550595" o:spid="_x0000_s1027"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EA5651">
      <w:rPr>
        <w:noProof/>
        <w:lang w:eastAsia="es-MX"/>
      </w:rPr>
      <w:drawing>
        <wp:anchor distT="0" distB="0" distL="114300" distR="114300" simplePos="0" relativeHeight="251663360" behindDoc="1" locked="0" layoutInCell="1" allowOverlap="1">
          <wp:simplePos x="0" y="0"/>
          <wp:positionH relativeFrom="column">
            <wp:posOffset>-521970</wp:posOffset>
          </wp:positionH>
          <wp:positionV relativeFrom="paragraph">
            <wp:posOffset>-442595</wp:posOffset>
          </wp:positionV>
          <wp:extent cx="7772400" cy="10045700"/>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EA5651">
      <w:rPr>
        <w:rFonts w:ascii="Calibri" w:eastAsia="Times New Roman" w:hAnsi="Calibri" w:cs="Times New Roman"/>
        <w:noProof/>
        <w:lang w:eastAsia="es-MX"/>
      </w:rPr>
      <w:drawing>
        <wp:anchor distT="0" distB="0" distL="114300" distR="114300" simplePos="0" relativeHeight="251662336" behindDoc="1" locked="0" layoutInCell="1" allowOverlap="1">
          <wp:simplePos x="0" y="0"/>
          <wp:positionH relativeFrom="column">
            <wp:posOffset>-902970</wp:posOffset>
          </wp:positionH>
          <wp:positionV relativeFrom="paragraph">
            <wp:posOffset>-488315</wp:posOffset>
          </wp:positionV>
          <wp:extent cx="8450580" cy="10922000"/>
          <wp:effectExtent l="0" t="0" r="762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50580" cy="10922237"/>
                  </a:xfrm>
                  <a:prstGeom prst="rect">
                    <a:avLst/>
                  </a:prstGeom>
                </pic:spPr>
              </pic:pic>
            </a:graphicData>
          </a:graphic>
        </wp:anchor>
      </w:drawing>
    </w:r>
    <w:sdt>
      <w:sdtPr>
        <w:rPr>
          <w:lang w:eastAsia="es-MX"/>
        </w:rPr>
        <w:id w:val="-506289503"/>
      </w:sdtPr>
      <w:sdtEndPr/>
      <w:sdtContent>
        <w:r w:rsidR="00EA5651">
          <w:rPr>
            <w:noProof/>
            <w:lang w:eastAsia="es-MX"/>
          </w:rPr>
          <mc:AlternateContent>
            <mc:Choice Requires="wps">
              <w:drawing>
                <wp:anchor distT="0" distB="0" distL="114300" distR="114300" simplePos="0" relativeHeight="251660288"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2C14E2" w:rsidRDefault="00EA5651">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273D" w:rsidRPr="00D5273D">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6028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2C14E2" w:rsidRDefault="00EA5651">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273D" w:rsidRPr="00D5273D">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EA5651">
      <w:rPr>
        <w:lang w:eastAsia="es-MX"/>
      </w:rPr>
      <w:t xml:space="preserve"> </w:t>
    </w:r>
    <w:r w:rsidR="00EA5651">
      <w:tab/>
    </w:r>
    <w:r w:rsidR="00EA5651">
      <w:tab/>
    </w:r>
  </w:p>
  <w:p w:rsidR="002C14E2" w:rsidRDefault="002C14E2">
    <w:pPr>
      <w:pStyle w:val="Encabezado"/>
      <w:tabs>
        <w:tab w:val="clear" w:pos="4419"/>
        <w:tab w:val="clear" w:pos="8838"/>
        <w:tab w:val="left" w:pos="812"/>
      </w:tabs>
    </w:pPr>
  </w:p>
  <w:p w:rsidR="002C14E2" w:rsidRDefault="002C14E2">
    <w:pPr>
      <w:pStyle w:val="Encabezado"/>
      <w:tabs>
        <w:tab w:val="clear" w:pos="4419"/>
        <w:tab w:val="clear" w:pos="8838"/>
        <w:tab w:val="left" w:pos="812"/>
      </w:tabs>
    </w:pPr>
  </w:p>
  <w:p w:rsidR="002C14E2" w:rsidRDefault="002C14E2">
    <w:pPr>
      <w:pStyle w:val="Encabezado"/>
      <w:tabs>
        <w:tab w:val="clear" w:pos="4419"/>
        <w:tab w:val="clear" w:pos="8838"/>
        <w:tab w:val="left" w:pos="812"/>
      </w:tabs>
    </w:pPr>
  </w:p>
  <w:p w:rsidR="002C14E2" w:rsidRDefault="00EA5651">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1312" behindDoc="0" locked="0" layoutInCell="1" allowOverlap="1">
              <wp:simplePos x="0" y="0"/>
              <wp:positionH relativeFrom="column">
                <wp:posOffset>-67945</wp:posOffset>
              </wp:positionH>
              <wp:positionV relativeFrom="paragraph">
                <wp:posOffset>202565</wp:posOffset>
              </wp:positionV>
              <wp:extent cx="6485890" cy="429260"/>
              <wp:effectExtent l="19050" t="19050" r="10160" b="27940"/>
              <wp:wrapNone/>
              <wp:docPr id="2" name="2 Cuadro de texto"/>
              <wp:cNvGraphicFramePr/>
              <a:graphic xmlns:a="http://schemas.openxmlformats.org/drawingml/2006/main">
                <a:graphicData uri="http://schemas.microsoft.com/office/word/2010/wordprocessingShape">
                  <wps:wsp>
                    <wps:cNvSpPr txBox="1"/>
                    <wps:spPr>
                      <a:xfrm>
                        <a:off x="0" y="0"/>
                        <a:ext cx="6485890" cy="42937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2C14E2" w:rsidRDefault="00EA5651">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Octava Sesión Ordinaria del Comité de Transparencia. </w:t>
                          </w:r>
                          <w:r>
                            <w:rPr>
                              <w:rFonts w:ascii="Arial" w:hAnsi="Arial" w:cs="Arial"/>
                              <w:b/>
                              <w:color w:val="FFFFFF" w:themeColor="background1"/>
                              <w:sz w:val="18"/>
                              <w:szCs w:val="18"/>
                              <w:lang w:val="es-ES"/>
                            </w:rPr>
                            <w:t>Acuerdo de reserva total AR/</w:t>
                          </w:r>
                          <w:r w:rsidR="00360A9F">
                            <w:rPr>
                              <w:rFonts w:ascii="Arial" w:hAnsi="Arial" w:cs="Arial"/>
                              <w:b/>
                              <w:color w:val="FFFFFF" w:themeColor="background1"/>
                              <w:sz w:val="18"/>
                              <w:szCs w:val="18"/>
                            </w:rPr>
                            <w:t>29</w:t>
                          </w:r>
                          <w:r>
                            <w:rPr>
                              <w:rFonts w:ascii="Arial" w:hAnsi="Arial" w:cs="Arial"/>
                              <w:b/>
                              <w:color w:val="FFFFFF" w:themeColor="background1"/>
                              <w:sz w:val="18"/>
                              <w:szCs w:val="18"/>
                              <w:lang w:val="es-ES"/>
                            </w:rPr>
                            <w:t xml:space="preserve">/2024 que emite </w:t>
                          </w:r>
                          <w:r>
                            <w:rPr>
                              <w:rFonts w:ascii="Arial" w:hAnsi="Arial" w:cs="Arial"/>
                              <w:b/>
                              <w:color w:val="FFFFFF" w:themeColor="background1"/>
                              <w:sz w:val="18"/>
                              <w:szCs w:val="18"/>
                            </w:rPr>
                            <w:t>el</w:t>
                          </w:r>
                          <w:r>
                            <w:rPr>
                              <w:rFonts w:ascii="Arial" w:hAnsi="Arial" w:cs="Arial"/>
                              <w:b/>
                              <w:color w:val="FFFFFF" w:themeColor="background1"/>
                              <w:sz w:val="18"/>
                              <w:szCs w:val="18"/>
                              <w:lang w:val="es-ES"/>
                            </w:rPr>
                            <w:t xml:space="preserve"> </w:t>
                          </w:r>
                          <w:r>
                            <w:rPr>
                              <w:rFonts w:ascii="Arial" w:hAnsi="Arial" w:cs="Arial"/>
                              <w:b/>
                              <w:color w:val="FFFFFF" w:themeColor="background1"/>
                              <w:sz w:val="18"/>
                              <w:szCs w:val="18"/>
                            </w:rPr>
                            <w:t>Director General de Administración.</w:t>
                          </w:r>
                          <w:r>
                            <w:rPr>
                              <w:rFonts w:ascii="Arial" w:hAnsi="Arial" w:cs="Arial"/>
                              <w:b/>
                              <w:color w:val="FFFFFF" w:themeColor="background1"/>
                              <w:sz w:val="18"/>
                              <w:szCs w:val="18"/>
                              <w:lang w:val="es-ES"/>
                            </w:rPr>
                            <w:t xml:space="preserve"> 06</w:t>
                          </w:r>
                          <w:r>
                            <w:rPr>
                              <w:rFonts w:ascii="Arial" w:hAnsi="Arial" w:cs="Arial"/>
                              <w:b/>
                              <w:color w:val="FFFFFF" w:themeColor="background1"/>
                              <w:sz w:val="18"/>
                              <w:szCs w:val="18"/>
                            </w:rPr>
                            <w:t xml:space="preserve"> de agosto 2024.</w:t>
                          </w:r>
                        </w:p>
                        <w:p w:rsidR="002C14E2" w:rsidRDefault="002C14E2">
                          <w:pPr>
                            <w:rPr>
                              <w:lang w:val="es-E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5.35pt;margin-top:15.95pt;width:510.7pt;height:33.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" fillcolor="#aeaaaa [2414]" strokecolor="#0070c0" strokeweight="2.25pt">
              <v:textbox>
                <w:txbxContent>
                  <w:p w:rsidR="002C14E2" w:rsidRDefault="00EA5651">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Octava Sesión Ordinaria del Comité de Transparencia. </w:t>
                    </w:r>
                    <w:r>
                      <w:rPr>
                        <w:rFonts w:ascii="Arial" w:hAnsi="Arial" w:cs="Arial"/>
                        <w:b/>
                        <w:color w:val="FFFFFF" w:themeColor="background1"/>
                        <w:sz w:val="18"/>
                        <w:szCs w:val="18"/>
                        <w:lang w:val="es-ES"/>
                      </w:rPr>
                      <w:t>Acuerdo de reserva total AR/</w:t>
                    </w:r>
                    <w:r w:rsidR="00360A9F">
                      <w:rPr>
                        <w:rFonts w:ascii="Arial" w:hAnsi="Arial" w:cs="Arial"/>
                        <w:b/>
                        <w:color w:val="FFFFFF" w:themeColor="background1"/>
                        <w:sz w:val="18"/>
                        <w:szCs w:val="18"/>
                      </w:rPr>
                      <w:t>29</w:t>
                    </w:r>
                    <w:r>
                      <w:rPr>
                        <w:rFonts w:ascii="Arial" w:hAnsi="Arial" w:cs="Arial"/>
                        <w:b/>
                        <w:color w:val="FFFFFF" w:themeColor="background1"/>
                        <w:sz w:val="18"/>
                        <w:szCs w:val="18"/>
                        <w:lang w:val="es-ES"/>
                      </w:rPr>
                      <w:t xml:space="preserve">/2024 que emite </w:t>
                    </w:r>
                    <w:r>
                      <w:rPr>
                        <w:rFonts w:ascii="Arial" w:hAnsi="Arial" w:cs="Arial"/>
                        <w:b/>
                        <w:color w:val="FFFFFF" w:themeColor="background1"/>
                        <w:sz w:val="18"/>
                        <w:szCs w:val="18"/>
                      </w:rPr>
                      <w:t>el</w:t>
                    </w:r>
                    <w:r>
                      <w:rPr>
                        <w:rFonts w:ascii="Arial" w:hAnsi="Arial" w:cs="Arial"/>
                        <w:b/>
                        <w:color w:val="FFFFFF" w:themeColor="background1"/>
                        <w:sz w:val="18"/>
                        <w:szCs w:val="18"/>
                        <w:lang w:val="es-ES"/>
                      </w:rPr>
                      <w:t xml:space="preserve"> </w:t>
                    </w:r>
                    <w:r>
                      <w:rPr>
                        <w:rFonts w:ascii="Arial" w:hAnsi="Arial" w:cs="Arial"/>
                        <w:b/>
                        <w:color w:val="FFFFFF" w:themeColor="background1"/>
                        <w:sz w:val="18"/>
                        <w:szCs w:val="18"/>
                      </w:rPr>
                      <w:t>Director General de Administración.</w:t>
                    </w:r>
                    <w:r>
                      <w:rPr>
                        <w:rFonts w:ascii="Arial" w:hAnsi="Arial" w:cs="Arial"/>
                        <w:b/>
                        <w:color w:val="FFFFFF" w:themeColor="background1"/>
                        <w:sz w:val="18"/>
                        <w:szCs w:val="18"/>
                        <w:lang w:val="es-ES"/>
                      </w:rPr>
                      <w:t xml:space="preserve"> 06</w:t>
                    </w:r>
                    <w:r>
                      <w:rPr>
                        <w:rFonts w:ascii="Arial" w:hAnsi="Arial" w:cs="Arial"/>
                        <w:b/>
                        <w:color w:val="FFFFFF" w:themeColor="background1"/>
                        <w:sz w:val="18"/>
                        <w:szCs w:val="18"/>
                      </w:rPr>
                      <w:t xml:space="preserve"> de agosto 2024.</w:t>
                    </w:r>
                  </w:p>
                  <w:p w:rsidR="002C14E2" w:rsidRDefault="002C14E2">
                    <w:pPr>
                      <w:rPr>
                        <w:lang w:val="es-ES"/>
                      </w:rPr>
                    </w:pPr>
                  </w:p>
                </w:txbxContent>
              </v:textbox>
            </v:shape>
          </w:pict>
        </mc:Fallback>
      </mc:AlternateContent>
    </w:r>
  </w:p>
  <w:p w:rsidR="002C14E2" w:rsidRDefault="002C14E2">
    <w:pPr>
      <w:pStyle w:val="Encabezado"/>
      <w:tabs>
        <w:tab w:val="clear" w:pos="4419"/>
        <w:tab w:val="clear" w:pos="8838"/>
        <w:tab w:val="left" w:pos="812"/>
      </w:tabs>
    </w:pPr>
  </w:p>
  <w:p w:rsidR="002C14E2" w:rsidRDefault="002C14E2">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273D" w:rsidRDefault="00D5273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2550593" o:spid="_x0000_s1025"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705B6B7"/>
    <w:multiLevelType w:val="singleLevel"/>
    <w:tmpl w:val="72A6B2C8"/>
    <w:lvl w:ilvl="0">
      <w:start w:val="1"/>
      <w:numFmt w:val="upperRoman"/>
      <w:suff w:val="space"/>
      <w:lvlText w:val="%1."/>
      <w:lvlJc w:val="left"/>
      <w:rPr>
        <w:b/>
      </w:rPr>
    </w:lvl>
  </w:abstractNum>
  <w:abstractNum w:abstractNumId="1" w15:restartNumberingAfterBreak="0">
    <w:nsid w:val="03906C80"/>
    <w:multiLevelType w:val="multilevel"/>
    <w:tmpl w:val="03906C8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431F4EE3"/>
    <w:multiLevelType w:val="multilevel"/>
    <w:tmpl w:val="431F4EE3"/>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804"/>
    <w:rsid w:val="00011603"/>
    <w:rsid w:val="00011757"/>
    <w:rsid w:val="00012344"/>
    <w:rsid w:val="000215E3"/>
    <w:rsid w:val="00022DD3"/>
    <w:rsid w:val="0002446E"/>
    <w:rsid w:val="000257DF"/>
    <w:rsid w:val="000316F8"/>
    <w:rsid w:val="00043EA6"/>
    <w:rsid w:val="0004691F"/>
    <w:rsid w:val="00046B63"/>
    <w:rsid w:val="00047BEE"/>
    <w:rsid w:val="000510C1"/>
    <w:rsid w:val="000516AB"/>
    <w:rsid w:val="00052708"/>
    <w:rsid w:val="00056270"/>
    <w:rsid w:val="0005649C"/>
    <w:rsid w:val="00060363"/>
    <w:rsid w:val="0006789D"/>
    <w:rsid w:val="00073D50"/>
    <w:rsid w:val="00074CBB"/>
    <w:rsid w:val="00075121"/>
    <w:rsid w:val="00076FAE"/>
    <w:rsid w:val="000812B0"/>
    <w:rsid w:val="0008531C"/>
    <w:rsid w:val="000861EA"/>
    <w:rsid w:val="0009152F"/>
    <w:rsid w:val="00092311"/>
    <w:rsid w:val="000937EC"/>
    <w:rsid w:val="00097000"/>
    <w:rsid w:val="00097461"/>
    <w:rsid w:val="000A001A"/>
    <w:rsid w:val="000B4E59"/>
    <w:rsid w:val="000B4E6F"/>
    <w:rsid w:val="000B5998"/>
    <w:rsid w:val="000C09C1"/>
    <w:rsid w:val="000D48ED"/>
    <w:rsid w:val="000E151A"/>
    <w:rsid w:val="000E33F8"/>
    <w:rsid w:val="000E6778"/>
    <w:rsid w:val="000E6D81"/>
    <w:rsid w:val="000F34F2"/>
    <w:rsid w:val="000F4731"/>
    <w:rsid w:val="00101B41"/>
    <w:rsid w:val="00104B37"/>
    <w:rsid w:val="00106EB9"/>
    <w:rsid w:val="0010725A"/>
    <w:rsid w:val="001122B3"/>
    <w:rsid w:val="00117688"/>
    <w:rsid w:val="00121B36"/>
    <w:rsid w:val="00122709"/>
    <w:rsid w:val="001228E0"/>
    <w:rsid w:val="00125B36"/>
    <w:rsid w:val="0013153A"/>
    <w:rsid w:val="001315D3"/>
    <w:rsid w:val="00133220"/>
    <w:rsid w:val="00134A88"/>
    <w:rsid w:val="0013784F"/>
    <w:rsid w:val="00137B6F"/>
    <w:rsid w:val="00140DD7"/>
    <w:rsid w:val="00143C2F"/>
    <w:rsid w:val="00147450"/>
    <w:rsid w:val="00155DB1"/>
    <w:rsid w:val="001569ED"/>
    <w:rsid w:val="00160079"/>
    <w:rsid w:val="0016273D"/>
    <w:rsid w:val="001645C1"/>
    <w:rsid w:val="00166BDA"/>
    <w:rsid w:val="00171A0D"/>
    <w:rsid w:val="001734CB"/>
    <w:rsid w:val="00174F96"/>
    <w:rsid w:val="00175555"/>
    <w:rsid w:val="00175F0E"/>
    <w:rsid w:val="00176FDC"/>
    <w:rsid w:val="001816A1"/>
    <w:rsid w:val="001845E7"/>
    <w:rsid w:val="0018540A"/>
    <w:rsid w:val="00185709"/>
    <w:rsid w:val="00192119"/>
    <w:rsid w:val="00192A50"/>
    <w:rsid w:val="00196E5A"/>
    <w:rsid w:val="001A0FF2"/>
    <w:rsid w:val="001A1BA9"/>
    <w:rsid w:val="001A32B1"/>
    <w:rsid w:val="001A6E5F"/>
    <w:rsid w:val="001B0330"/>
    <w:rsid w:val="001B1E72"/>
    <w:rsid w:val="001B36B2"/>
    <w:rsid w:val="001B3794"/>
    <w:rsid w:val="001B6839"/>
    <w:rsid w:val="001B7394"/>
    <w:rsid w:val="001C1FF5"/>
    <w:rsid w:val="001C3880"/>
    <w:rsid w:val="001C5BA9"/>
    <w:rsid w:val="001C5BFD"/>
    <w:rsid w:val="001C73C0"/>
    <w:rsid w:val="001D08CA"/>
    <w:rsid w:val="001D6EA6"/>
    <w:rsid w:val="001D723E"/>
    <w:rsid w:val="001E526F"/>
    <w:rsid w:val="001E6C44"/>
    <w:rsid w:val="001F22B7"/>
    <w:rsid w:val="001F2667"/>
    <w:rsid w:val="001F60B7"/>
    <w:rsid w:val="001F71C9"/>
    <w:rsid w:val="001F7332"/>
    <w:rsid w:val="001F73CC"/>
    <w:rsid w:val="00201B91"/>
    <w:rsid w:val="00203AD1"/>
    <w:rsid w:val="002054C1"/>
    <w:rsid w:val="00205C20"/>
    <w:rsid w:val="002073D6"/>
    <w:rsid w:val="002075EA"/>
    <w:rsid w:val="00207633"/>
    <w:rsid w:val="002076F0"/>
    <w:rsid w:val="002132D1"/>
    <w:rsid w:val="002221AF"/>
    <w:rsid w:val="002227DB"/>
    <w:rsid w:val="002234A3"/>
    <w:rsid w:val="00234321"/>
    <w:rsid w:val="00241C03"/>
    <w:rsid w:val="00244CB1"/>
    <w:rsid w:val="00244E15"/>
    <w:rsid w:val="00244EE4"/>
    <w:rsid w:val="002513CE"/>
    <w:rsid w:val="0025149A"/>
    <w:rsid w:val="00256AE8"/>
    <w:rsid w:val="00257429"/>
    <w:rsid w:val="002620FF"/>
    <w:rsid w:val="00262F6F"/>
    <w:rsid w:val="002648E0"/>
    <w:rsid w:val="00264FF0"/>
    <w:rsid w:val="002652A7"/>
    <w:rsid w:val="00273340"/>
    <w:rsid w:val="00275CAB"/>
    <w:rsid w:val="002850EC"/>
    <w:rsid w:val="0028518D"/>
    <w:rsid w:val="0029169C"/>
    <w:rsid w:val="00291A4A"/>
    <w:rsid w:val="002935FF"/>
    <w:rsid w:val="002967A6"/>
    <w:rsid w:val="002A6557"/>
    <w:rsid w:val="002B2568"/>
    <w:rsid w:val="002B5CD7"/>
    <w:rsid w:val="002B62D5"/>
    <w:rsid w:val="002B6970"/>
    <w:rsid w:val="002C14E2"/>
    <w:rsid w:val="002C182D"/>
    <w:rsid w:val="002C2154"/>
    <w:rsid w:val="002C25EC"/>
    <w:rsid w:val="002D0260"/>
    <w:rsid w:val="002D1557"/>
    <w:rsid w:val="002D2822"/>
    <w:rsid w:val="002D750A"/>
    <w:rsid w:val="002E11F1"/>
    <w:rsid w:val="002E6666"/>
    <w:rsid w:val="002E7CE8"/>
    <w:rsid w:val="002F210D"/>
    <w:rsid w:val="002F5CAB"/>
    <w:rsid w:val="002F67BF"/>
    <w:rsid w:val="002F6C2C"/>
    <w:rsid w:val="002F7281"/>
    <w:rsid w:val="003003C1"/>
    <w:rsid w:val="00303ECE"/>
    <w:rsid w:val="00311032"/>
    <w:rsid w:val="00314CD0"/>
    <w:rsid w:val="0032003C"/>
    <w:rsid w:val="003218B7"/>
    <w:rsid w:val="00321CBD"/>
    <w:rsid w:val="00322663"/>
    <w:rsid w:val="00323028"/>
    <w:rsid w:val="00325431"/>
    <w:rsid w:val="00326DD7"/>
    <w:rsid w:val="00327586"/>
    <w:rsid w:val="00330F5F"/>
    <w:rsid w:val="003311E5"/>
    <w:rsid w:val="003353C2"/>
    <w:rsid w:val="0033782B"/>
    <w:rsid w:val="00337E40"/>
    <w:rsid w:val="00340F4C"/>
    <w:rsid w:val="00342CCD"/>
    <w:rsid w:val="00350C59"/>
    <w:rsid w:val="00360A9F"/>
    <w:rsid w:val="003667BD"/>
    <w:rsid w:val="00373001"/>
    <w:rsid w:val="00375D9B"/>
    <w:rsid w:val="00376479"/>
    <w:rsid w:val="0037773A"/>
    <w:rsid w:val="003834BC"/>
    <w:rsid w:val="003924E6"/>
    <w:rsid w:val="003930E6"/>
    <w:rsid w:val="00393AC0"/>
    <w:rsid w:val="003A0D63"/>
    <w:rsid w:val="003A1C61"/>
    <w:rsid w:val="003A2C50"/>
    <w:rsid w:val="003B0CF6"/>
    <w:rsid w:val="003B239E"/>
    <w:rsid w:val="003B5A67"/>
    <w:rsid w:val="003C1381"/>
    <w:rsid w:val="003C17BE"/>
    <w:rsid w:val="003C2783"/>
    <w:rsid w:val="003C2D3B"/>
    <w:rsid w:val="003C592D"/>
    <w:rsid w:val="003D099A"/>
    <w:rsid w:val="003D20F9"/>
    <w:rsid w:val="003D29A7"/>
    <w:rsid w:val="003D3322"/>
    <w:rsid w:val="003D379C"/>
    <w:rsid w:val="003D3D4F"/>
    <w:rsid w:val="003D3DE8"/>
    <w:rsid w:val="003D6E37"/>
    <w:rsid w:val="003E03FF"/>
    <w:rsid w:val="003E503E"/>
    <w:rsid w:val="003E61BA"/>
    <w:rsid w:val="003E6A90"/>
    <w:rsid w:val="003E74F2"/>
    <w:rsid w:val="003E7F72"/>
    <w:rsid w:val="003F15BF"/>
    <w:rsid w:val="003F4311"/>
    <w:rsid w:val="003F62EE"/>
    <w:rsid w:val="003F6AAE"/>
    <w:rsid w:val="00402430"/>
    <w:rsid w:val="004047FD"/>
    <w:rsid w:val="00405289"/>
    <w:rsid w:val="00405D5B"/>
    <w:rsid w:val="00410772"/>
    <w:rsid w:val="004135C1"/>
    <w:rsid w:val="0041388D"/>
    <w:rsid w:val="00421E81"/>
    <w:rsid w:val="00421FBA"/>
    <w:rsid w:val="004231C1"/>
    <w:rsid w:val="00427DEB"/>
    <w:rsid w:val="00433942"/>
    <w:rsid w:val="00433D8C"/>
    <w:rsid w:val="0043542B"/>
    <w:rsid w:val="00437D50"/>
    <w:rsid w:val="00440E63"/>
    <w:rsid w:val="0044501D"/>
    <w:rsid w:val="004477C0"/>
    <w:rsid w:val="00454281"/>
    <w:rsid w:val="004562A8"/>
    <w:rsid w:val="004647AD"/>
    <w:rsid w:val="00466892"/>
    <w:rsid w:val="0047225B"/>
    <w:rsid w:val="00473BF0"/>
    <w:rsid w:val="00473FA8"/>
    <w:rsid w:val="00476DC3"/>
    <w:rsid w:val="004832E2"/>
    <w:rsid w:val="00485D65"/>
    <w:rsid w:val="00493C1E"/>
    <w:rsid w:val="00496189"/>
    <w:rsid w:val="00497E2D"/>
    <w:rsid w:val="004A184C"/>
    <w:rsid w:val="004B1662"/>
    <w:rsid w:val="004B2C7C"/>
    <w:rsid w:val="004B475C"/>
    <w:rsid w:val="004B5A97"/>
    <w:rsid w:val="004B6BFE"/>
    <w:rsid w:val="004C1A0C"/>
    <w:rsid w:val="004C1B6F"/>
    <w:rsid w:val="004C5296"/>
    <w:rsid w:val="004D49ED"/>
    <w:rsid w:val="004D7C2D"/>
    <w:rsid w:val="004E497E"/>
    <w:rsid w:val="004E5BF6"/>
    <w:rsid w:val="004F5388"/>
    <w:rsid w:val="004F5B21"/>
    <w:rsid w:val="004F640E"/>
    <w:rsid w:val="004F6DE4"/>
    <w:rsid w:val="004F7019"/>
    <w:rsid w:val="00502579"/>
    <w:rsid w:val="00505032"/>
    <w:rsid w:val="005078F4"/>
    <w:rsid w:val="005106F5"/>
    <w:rsid w:val="005137BF"/>
    <w:rsid w:val="0052013D"/>
    <w:rsid w:val="00525599"/>
    <w:rsid w:val="00533E32"/>
    <w:rsid w:val="00536224"/>
    <w:rsid w:val="00540338"/>
    <w:rsid w:val="0054303C"/>
    <w:rsid w:val="005433FA"/>
    <w:rsid w:val="00544069"/>
    <w:rsid w:val="00545219"/>
    <w:rsid w:val="0054522A"/>
    <w:rsid w:val="005454A4"/>
    <w:rsid w:val="005502C0"/>
    <w:rsid w:val="00551DF0"/>
    <w:rsid w:val="00554106"/>
    <w:rsid w:val="00554315"/>
    <w:rsid w:val="00555330"/>
    <w:rsid w:val="00560F28"/>
    <w:rsid w:val="005618A3"/>
    <w:rsid w:val="00562A91"/>
    <w:rsid w:val="005704A0"/>
    <w:rsid w:val="00570815"/>
    <w:rsid w:val="00572D5B"/>
    <w:rsid w:val="005753B3"/>
    <w:rsid w:val="00581A7F"/>
    <w:rsid w:val="00581FD7"/>
    <w:rsid w:val="00584602"/>
    <w:rsid w:val="00594F93"/>
    <w:rsid w:val="00597895"/>
    <w:rsid w:val="005A0798"/>
    <w:rsid w:val="005A2227"/>
    <w:rsid w:val="005B303E"/>
    <w:rsid w:val="005B7BC0"/>
    <w:rsid w:val="005C069E"/>
    <w:rsid w:val="005C319C"/>
    <w:rsid w:val="005C4C3F"/>
    <w:rsid w:val="005C5BE0"/>
    <w:rsid w:val="005C750C"/>
    <w:rsid w:val="005D099B"/>
    <w:rsid w:val="005D0C4B"/>
    <w:rsid w:val="005D2F74"/>
    <w:rsid w:val="005D3E7F"/>
    <w:rsid w:val="005E006A"/>
    <w:rsid w:val="005E38ED"/>
    <w:rsid w:val="005E4FF1"/>
    <w:rsid w:val="005E558A"/>
    <w:rsid w:val="005E58AA"/>
    <w:rsid w:val="005E7A08"/>
    <w:rsid w:val="005F262D"/>
    <w:rsid w:val="005F457C"/>
    <w:rsid w:val="005F550E"/>
    <w:rsid w:val="006036CF"/>
    <w:rsid w:val="006161FB"/>
    <w:rsid w:val="0062008E"/>
    <w:rsid w:val="00620AA5"/>
    <w:rsid w:val="006214A7"/>
    <w:rsid w:val="00622506"/>
    <w:rsid w:val="006235C6"/>
    <w:rsid w:val="006237B2"/>
    <w:rsid w:val="00623A3D"/>
    <w:rsid w:val="00624454"/>
    <w:rsid w:val="006272C3"/>
    <w:rsid w:val="0062770E"/>
    <w:rsid w:val="006277CF"/>
    <w:rsid w:val="00627959"/>
    <w:rsid w:val="00630D98"/>
    <w:rsid w:val="00631F13"/>
    <w:rsid w:val="00633FD2"/>
    <w:rsid w:val="006356BE"/>
    <w:rsid w:val="006370D0"/>
    <w:rsid w:val="0063766C"/>
    <w:rsid w:val="00641385"/>
    <w:rsid w:val="0064203F"/>
    <w:rsid w:val="006429A8"/>
    <w:rsid w:val="00645A75"/>
    <w:rsid w:val="00646429"/>
    <w:rsid w:val="00660EA9"/>
    <w:rsid w:val="006623FC"/>
    <w:rsid w:val="006639DB"/>
    <w:rsid w:val="00670055"/>
    <w:rsid w:val="00677AEE"/>
    <w:rsid w:val="00681BAF"/>
    <w:rsid w:val="00685A4B"/>
    <w:rsid w:val="00687D08"/>
    <w:rsid w:val="00691F19"/>
    <w:rsid w:val="006937A4"/>
    <w:rsid w:val="00694B4E"/>
    <w:rsid w:val="006A35E1"/>
    <w:rsid w:val="006A44DB"/>
    <w:rsid w:val="006B0801"/>
    <w:rsid w:val="006B331C"/>
    <w:rsid w:val="006B4084"/>
    <w:rsid w:val="006B4979"/>
    <w:rsid w:val="006B7128"/>
    <w:rsid w:val="006B761A"/>
    <w:rsid w:val="006C0831"/>
    <w:rsid w:val="006C25A9"/>
    <w:rsid w:val="006C5FA7"/>
    <w:rsid w:val="006E21D7"/>
    <w:rsid w:val="006E4BBD"/>
    <w:rsid w:val="006E6D1D"/>
    <w:rsid w:val="006F086E"/>
    <w:rsid w:val="0070291D"/>
    <w:rsid w:val="00703F77"/>
    <w:rsid w:val="0070596D"/>
    <w:rsid w:val="00710C84"/>
    <w:rsid w:val="00711658"/>
    <w:rsid w:val="00713D98"/>
    <w:rsid w:val="00715606"/>
    <w:rsid w:val="00717045"/>
    <w:rsid w:val="00717CF8"/>
    <w:rsid w:val="00717D3E"/>
    <w:rsid w:val="00723597"/>
    <w:rsid w:val="00723AF7"/>
    <w:rsid w:val="007248BE"/>
    <w:rsid w:val="00740F43"/>
    <w:rsid w:val="00741AF2"/>
    <w:rsid w:val="00743A67"/>
    <w:rsid w:val="0074476D"/>
    <w:rsid w:val="007460DC"/>
    <w:rsid w:val="00755B97"/>
    <w:rsid w:val="0076137E"/>
    <w:rsid w:val="00771908"/>
    <w:rsid w:val="00774F4B"/>
    <w:rsid w:val="007768CC"/>
    <w:rsid w:val="00777BEB"/>
    <w:rsid w:val="00777FB0"/>
    <w:rsid w:val="00780604"/>
    <w:rsid w:val="00781B45"/>
    <w:rsid w:val="00781D2F"/>
    <w:rsid w:val="00784211"/>
    <w:rsid w:val="00785C94"/>
    <w:rsid w:val="00785EBA"/>
    <w:rsid w:val="007913E3"/>
    <w:rsid w:val="007A18C2"/>
    <w:rsid w:val="007A28F6"/>
    <w:rsid w:val="007A292F"/>
    <w:rsid w:val="007A2D73"/>
    <w:rsid w:val="007B0A28"/>
    <w:rsid w:val="007B27EF"/>
    <w:rsid w:val="007B43AD"/>
    <w:rsid w:val="007B6AE2"/>
    <w:rsid w:val="007C4303"/>
    <w:rsid w:val="007C531F"/>
    <w:rsid w:val="007D1376"/>
    <w:rsid w:val="007D54AB"/>
    <w:rsid w:val="007D6423"/>
    <w:rsid w:val="007D6D72"/>
    <w:rsid w:val="007D772B"/>
    <w:rsid w:val="007E1E16"/>
    <w:rsid w:val="007E346A"/>
    <w:rsid w:val="007E35E7"/>
    <w:rsid w:val="007E3A6A"/>
    <w:rsid w:val="007E63DB"/>
    <w:rsid w:val="007F0237"/>
    <w:rsid w:val="007F0778"/>
    <w:rsid w:val="007F2DA8"/>
    <w:rsid w:val="007F4E72"/>
    <w:rsid w:val="007F7421"/>
    <w:rsid w:val="00800C55"/>
    <w:rsid w:val="00805092"/>
    <w:rsid w:val="0080520C"/>
    <w:rsid w:val="00811FAD"/>
    <w:rsid w:val="00812BF7"/>
    <w:rsid w:val="00812C86"/>
    <w:rsid w:val="00814012"/>
    <w:rsid w:val="00817C4B"/>
    <w:rsid w:val="00823D57"/>
    <w:rsid w:val="0082794C"/>
    <w:rsid w:val="00827C07"/>
    <w:rsid w:val="00831099"/>
    <w:rsid w:val="00842913"/>
    <w:rsid w:val="00842DC1"/>
    <w:rsid w:val="00845198"/>
    <w:rsid w:val="0085032A"/>
    <w:rsid w:val="00850661"/>
    <w:rsid w:val="00850B13"/>
    <w:rsid w:val="008522AA"/>
    <w:rsid w:val="0085448D"/>
    <w:rsid w:val="00854967"/>
    <w:rsid w:val="00854CCF"/>
    <w:rsid w:val="0086255E"/>
    <w:rsid w:val="0086564F"/>
    <w:rsid w:val="00866444"/>
    <w:rsid w:val="008669B5"/>
    <w:rsid w:val="00871464"/>
    <w:rsid w:val="00875FA5"/>
    <w:rsid w:val="008760A4"/>
    <w:rsid w:val="00876A3D"/>
    <w:rsid w:val="008777CC"/>
    <w:rsid w:val="00882C37"/>
    <w:rsid w:val="00885156"/>
    <w:rsid w:val="00890082"/>
    <w:rsid w:val="00890703"/>
    <w:rsid w:val="008919E0"/>
    <w:rsid w:val="008929DA"/>
    <w:rsid w:val="008B0253"/>
    <w:rsid w:val="008B28C2"/>
    <w:rsid w:val="008B2F16"/>
    <w:rsid w:val="008C1FCF"/>
    <w:rsid w:val="008C5A4E"/>
    <w:rsid w:val="008D0520"/>
    <w:rsid w:val="008D1E6A"/>
    <w:rsid w:val="008D3B76"/>
    <w:rsid w:val="008F03F2"/>
    <w:rsid w:val="008F355B"/>
    <w:rsid w:val="008F4760"/>
    <w:rsid w:val="008F4DEC"/>
    <w:rsid w:val="008F508A"/>
    <w:rsid w:val="009007AA"/>
    <w:rsid w:val="00920E6D"/>
    <w:rsid w:val="00926017"/>
    <w:rsid w:val="00926C71"/>
    <w:rsid w:val="00926EA4"/>
    <w:rsid w:val="00927902"/>
    <w:rsid w:val="00930C23"/>
    <w:rsid w:val="00931B62"/>
    <w:rsid w:val="00936591"/>
    <w:rsid w:val="00943A60"/>
    <w:rsid w:val="00943DEA"/>
    <w:rsid w:val="009445F1"/>
    <w:rsid w:val="00946349"/>
    <w:rsid w:val="00946D09"/>
    <w:rsid w:val="0095178C"/>
    <w:rsid w:val="00952023"/>
    <w:rsid w:val="009527D5"/>
    <w:rsid w:val="00953594"/>
    <w:rsid w:val="00954944"/>
    <w:rsid w:val="0095660D"/>
    <w:rsid w:val="00961F3B"/>
    <w:rsid w:val="00963776"/>
    <w:rsid w:val="009650C8"/>
    <w:rsid w:val="00967709"/>
    <w:rsid w:val="009751D0"/>
    <w:rsid w:val="00975793"/>
    <w:rsid w:val="00981293"/>
    <w:rsid w:val="00983133"/>
    <w:rsid w:val="00987CF2"/>
    <w:rsid w:val="00991CC1"/>
    <w:rsid w:val="00991EE3"/>
    <w:rsid w:val="0099252F"/>
    <w:rsid w:val="00992721"/>
    <w:rsid w:val="0099336E"/>
    <w:rsid w:val="009A1E76"/>
    <w:rsid w:val="009A3010"/>
    <w:rsid w:val="009A4F60"/>
    <w:rsid w:val="009B1C4B"/>
    <w:rsid w:val="009B3FF4"/>
    <w:rsid w:val="009B580B"/>
    <w:rsid w:val="009B7FA6"/>
    <w:rsid w:val="009C36F2"/>
    <w:rsid w:val="009C71D2"/>
    <w:rsid w:val="009D1416"/>
    <w:rsid w:val="009D3B37"/>
    <w:rsid w:val="009D3B91"/>
    <w:rsid w:val="009D408E"/>
    <w:rsid w:val="009D5B45"/>
    <w:rsid w:val="009E1324"/>
    <w:rsid w:val="009E2015"/>
    <w:rsid w:val="009E47AB"/>
    <w:rsid w:val="009E4CCF"/>
    <w:rsid w:val="009F1F56"/>
    <w:rsid w:val="009F25F5"/>
    <w:rsid w:val="009F4198"/>
    <w:rsid w:val="009F66FD"/>
    <w:rsid w:val="009F7723"/>
    <w:rsid w:val="00A00378"/>
    <w:rsid w:val="00A027E0"/>
    <w:rsid w:val="00A13AA8"/>
    <w:rsid w:val="00A142C3"/>
    <w:rsid w:val="00A16150"/>
    <w:rsid w:val="00A20C0F"/>
    <w:rsid w:val="00A21527"/>
    <w:rsid w:val="00A23464"/>
    <w:rsid w:val="00A25788"/>
    <w:rsid w:val="00A2679D"/>
    <w:rsid w:val="00A277EC"/>
    <w:rsid w:val="00A30513"/>
    <w:rsid w:val="00A3119E"/>
    <w:rsid w:val="00A3580D"/>
    <w:rsid w:val="00A42F99"/>
    <w:rsid w:val="00A430C0"/>
    <w:rsid w:val="00A44A53"/>
    <w:rsid w:val="00A45C43"/>
    <w:rsid w:val="00A4681D"/>
    <w:rsid w:val="00A50ECA"/>
    <w:rsid w:val="00A61FE0"/>
    <w:rsid w:val="00A63B6E"/>
    <w:rsid w:val="00A6725D"/>
    <w:rsid w:val="00A67BDB"/>
    <w:rsid w:val="00A67F68"/>
    <w:rsid w:val="00A71F01"/>
    <w:rsid w:val="00A720FD"/>
    <w:rsid w:val="00A729E8"/>
    <w:rsid w:val="00A7609D"/>
    <w:rsid w:val="00A77D91"/>
    <w:rsid w:val="00A80AEA"/>
    <w:rsid w:val="00A80CA3"/>
    <w:rsid w:val="00A85761"/>
    <w:rsid w:val="00A87974"/>
    <w:rsid w:val="00A90E40"/>
    <w:rsid w:val="00A94E88"/>
    <w:rsid w:val="00A95EC8"/>
    <w:rsid w:val="00A97941"/>
    <w:rsid w:val="00AA07E5"/>
    <w:rsid w:val="00AA120F"/>
    <w:rsid w:val="00AA408E"/>
    <w:rsid w:val="00AA5A00"/>
    <w:rsid w:val="00AA5D04"/>
    <w:rsid w:val="00AB0017"/>
    <w:rsid w:val="00AB161E"/>
    <w:rsid w:val="00AB7C42"/>
    <w:rsid w:val="00AC091B"/>
    <w:rsid w:val="00AC1176"/>
    <w:rsid w:val="00AC14B9"/>
    <w:rsid w:val="00AC29C8"/>
    <w:rsid w:val="00AC3865"/>
    <w:rsid w:val="00AC3912"/>
    <w:rsid w:val="00AC6A4B"/>
    <w:rsid w:val="00AD79A6"/>
    <w:rsid w:val="00AD7B33"/>
    <w:rsid w:val="00AE1BD7"/>
    <w:rsid w:val="00AE4C4A"/>
    <w:rsid w:val="00AE70C4"/>
    <w:rsid w:val="00AF7A5D"/>
    <w:rsid w:val="00B00015"/>
    <w:rsid w:val="00B0559D"/>
    <w:rsid w:val="00B06822"/>
    <w:rsid w:val="00B14B30"/>
    <w:rsid w:val="00B219F9"/>
    <w:rsid w:val="00B25F92"/>
    <w:rsid w:val="00B3003C"/>
    <w:rsid w:val="00B31A4F"/>
    <w:rsid w:val="00B34B1F"/>
    <w:rsid w:val="00B45B80"/>
    <w:rsid w:val="00B47C27"/>
    <w:rsid w:val="00B502A7"/>
    <w:rsid w:val="00B5198B"/>
    <w:rsid w:val="00B52651"/>
    <w:rsid w:val="00B54D6F"/>
    <w:rsid w:val="00B55F32"/>
    <w:rsid w:val="00B579E5"/>
    <w:rsid w:val="00B60DD6"/>
    <w:rsid w:val="00B618D1"/>
    <w:rsid w:val="00B66D2F"/>
    <w:rsid w:val="00B72D93"/>
    <w:rsid w:val="00B74065"/>
    <w:rsid w:val="00B80023"/>
    <w:rsid w:val="00B82063"/>
    <w:rsid w:val="00B866F3"/>
    <w:rsid w:val="00B8766D"/>
    <w:rsid w:val="00B8775F"/>
    <w:rsid w:val="00B87F89"/>
    <w:rsid w:val="00B90860"/>
    <w:rsid w:val="00B9390A"/>
    <w:rsid w:val="00BA664E"/>
    <w:rsid w:val="00BB13DB"/>
    <w:rsid w:val="00BB17E0"/>
    <w:rsid w:val="00BB225B"/>
    <w:rsid w:val="00BB6845"/>
    <w:rsid w:val="00BB6AE2"/>
    <w:rsid w:val="00BC0B10"/>
    <w:rsid w:val="00BC37ED"/>
    <w:rsid w:val="00BC72D0"/>
    <w:rsid w:val="00BD1AA1"/>
    <w:rsid w:val="00BD2550"/>
    <w:rsid w:val="00BE5C2C"/>
    <w:rsid w:val="00BE6BCF"/>
    <w:rsid w:val="00BF3EE3"/>
    <w:rsid w:val="00BF5146"/>
    <w:rsid w:val="00C01500"/>
    <w:rsid w:val="00C204E9"/>
    <w:rsid w:val="00C2217A"/>
    <w:rsid w:val="00C2685C"/>
    <w:rsid w:val="00C269D1"/>
    <w:rsid w:val="00C30D5D"/>
    <w:rsid w:val="00C35708"/>
    <w:rsid w:val="00C36A9C"/>
    <w:rsid w:val="00C40442"/>
    <w:rsid w:val="00C42AC3"/>
    <w:rsid w:val="00C44251"/>
    <w:rsid w:val="00C45988"/>
    <w:rsid w:val="00C45A64"/>
    <w:rsid w:val="00C5041B"/>
    <w:rsid w:val="00C54B5D"/>
    <w:rsid w:val="00C55AC4"/>
    <w:rsid w:val="00C60803"/>
    <w:rsid w:val="00C62917"/>
    <w:rsid w:val="00C62F43"/>
    <w:rsid w:val="00C63027"/>
    <w:rsid w:val="00C670D2"/>
    <w:rsid w:val="00C67EC6"/>
    <w:rsid w:val="00C70971"/>
    <w:rsid w:val="00C71829"/>
    <w:rsid w:val="00C71EA9"/>
    <w:rsid w:val="00C7264B"/>
    <w:rsid w:val="00C7487D"/>
    <w:rsid w:val="00C760CF"/>
    <w:rsid w:val="00C76C0B"/>
    <w:rsid w:val="00C80080"/>
    <w:rsid w:val="00C831D2"/>
    <w:rsid w:val="00C86B34"/>
    <w:rsid w:val="00C90D83"/>
    <w:rsid w:val="00C96054"/>
    <w:rsid w:val="00C96F2F"/>
    <w:rsid w:val="00CA32D1"/>
    <w:rsid w:val="00CA77C8"/>
    <w:rsid w:val="00CB0931"/>
    <w:rsid w:val="00CB25DB"/>
    <w:rsid w:val="00CB2DB5"/>
    <w:rsid w:val="00CB78A0"/>
    <w:rsid w:val="00CC6FC4"/>
    <w:rsid w:val="00CD106D"/>
    <w:rsid w:val="00CD2BA9"/>
    <w:rsid w:val="00CD3676"/>
    <w:rsid w:val="00CD545F"/>
    <w:rsid w:val="00CD6E0D"/>
    <w:rsid w:val="00CD7BBA"/>
    <w:rsid w:val="00CF11DE"/>
    <w:rsid w:val="00CF1E56"/>
    <w:rsid w:val="00CF5326"/>
    <w:rsid w:val="00D005DD"/>
    <w:rsid w:val="00D01046"/>
    <w:rsid w:val="00D01510"/>
    <w:rsid w:val="00D024F4"/>
    <w:rsid w:val="00D0353D"/>
    <w:rsid w:val="00D0413D"/>
    <w:rsid w:val="00D0576D"/>
    <w:rsid w:val="00D06E6C"/>
    <w:rsid w:val="00D07876"/>
    <w:rsid w:val="00D1182B"/>
    <w:rsid w:val="00D123AA"/>
    <w:rsid w:val="00D156E9"/>
    <w:rsid w:val="00D17AE2"/>
    <w:rsid w:val="00D309EC"/>
    <w:rsid w:val="00D37E78"/>
    <w:rsid w:val="00D44519"/>
    <w:rsid w:val="00D44B8D"/>
    <w:rsid w:val="00D47683"/>
    <w:rsid w:val="00D511D2"/>
    <w:rsid w:val="00D5273D"/>
    <w:rsid w:val="00D550D0"/>
    <w:rsid w:val="00D5679E"/>
    <w:rsid w:val="00D63C04"/>
    <w:rsid w:val="00D71E36"/>
    <w:rsid w:val="00D812EA"/>
    <w:rsid w:val="00D843EF"/>
    <w:rsid w:val="00D855D5"/>
    <w:rsid w:val="00D867D5"/>
    <w:rsid w:val="00D917BE"/>
    <w:rsid w:val="00D93F6F"/>
    <w:rsid w:val="00D951F0"/>
    <w:rsid w:val="00D96174"/>
    <w:rsid w:val="00D96E7D"/>
    <w:rsid w:val="00DA1E52"/>
    <w:rsid w:val="00DA2785"/>
    <w:rsid w:val="00DA3298"/>
    <w:rsid w:val="00DA626E"/>
    <w:rsid w:val="00DB2030"/>
    <w:rsid w:val="00DB2103"/>
    <w:rsid w:val="00DB51DB"/>
    <w:rsid w:val="00DC2367"/>
    <w:rsid w:val="00DC37CD"/>
    <w:rsid w:val="00DD1BDA"/>
    <w:rsid w:val="00DD6DC7"/>
    <w:rsid w:val="00DE36C9"/>
    <w:rsid w:val="00DF03AB"/>
    <w:rsid w:val="00DF1E86"/>
    <w:rsid w:val="00DF3088"/>
    <w:rsid w:val="00E00FD7"/>
    <w:rsid w:val="00E015FD"/>
    <w:rsid w:val="00E01D82"/>
    <w:rsid w:val="00E01F09"/>
    <w:rsid w:val="00E06949"/>
    <w:rsid w:val="00E11EFC"/>
    <w:rsid w:val="00E1239C"/>
    <w:rsid w:val="00E147EA"/>
    <w:rsid w:val="00E1624C"/>
    <w:rsid w:val="00E16530"/>
    <w:rsid w:val="00E21D0D"/>
    <w:rsid w:val="00E27D91"/>
    <w:rsid w:val="00E312E3"/>
    <w:rsid w:val="00E31822"/>
    <w:rsid w:val="00E334C7"/>
    <w:rsid w:val="00E36D27"/>
    <w:rsid w:val="00E40286"/>
    <w:rsid w:val="00E40A44"/>
    <w:rsid w:val="00E42D1A"/>
    <w:rsid w:val="00E4532C"/>
    <w:rsid w:val="00E57A6C"/>
    <w:rsid w:val="00E63272"/>
    <w:rsid w:val="00E635CD"/>
    <w:rsid w:val="00E6469D"/>
    <w:rsid w:val="00E646AA"/>
    <w:rsid w:val="00E672A4"/>
    <w:rsid w:val="00E716B5"/>
    <w:rsid w:val="00E7366C"/>
    <w:rsid w:val="00E74D9F"/>
    <w:rsid w:val="00E75443"/>
    <w:rsid w:val="00E76116"/>
    <w:rsid w:val="00E80238"/>
    <w:rsid w:val="00E82FD0"/>
    <w:rsid w:val="00E852E0"/>
    <w:rsid w:val="00E854A9"/>
    <w:rsid w:val="00E864EA"/>
    <w:rsid w:val="00E8769E"/>
    <w:rsid w:val="00E90229"/>
    <w:rsid w:val="00E9258F"/>
    <w:rsid w:val="00E928B5"/>
    <w:rsid w:val="00E92BE2"/>
    <w:rsid w:val="00E95744"/>
    <w:rsid w:val="00E95EBE"/>
    <w:rsid w:val="00E9731C"/>
    <w:rsid w:val="00E974C6"/>
    <w:rsid w:val="00EA034E"/>
    <w:rsid w:val="00EA134F"/>
    <w:rsid w:val="00EA1987"/>
    <w:rsid w:val="00EA27BE"/>
    <w:rsid w:val="00EA4BE5"/>
    <w:rsid w:val="00EA5651"/>
    <w:rsid w:val="00EA5860"/>
    <w:rsid w:val="00EB1089"/>
    <w:rsid w:val="00EB1A9A"/>
    <w:rsid w:val="00EC1AE7"/>
    <w:rsid w:val="00EC29D1"/>
    <w:rsid w:val="00EC5E57"/>
    <w:rsid w:val="00EC6BDE"/>
    <w:rsid w:val="00EC6DC8"/>
    <w:rsid w:val="00EC70A9"/>
    <w:rsid w:val="00EC7736"/>
    <w:rsid w:val="00ED1602"/>
    <w:rsid w:val="00ED291B"/>
    <w:rsid w:val="00EE1B94"/>
    <w:rsid w:val="00EE2AB2"/>
    <w:rsid w:val="00EF1BD7"/>
    <w:rsid w:val="00EF57B1"/>
    <w:rsid w:val="00EF583B"/>
    <w:rsid w:val="00EF6001"/>
    <w:rsid w:val="00F0180B"/>
    <w:rsid w:val="00F03078"/>
    <w:rsid w:val="00F052CF"/>
    <w:rsid w:val="00F062AC"/>
    <w:rsid w:val="00F06897"/>
    <w:rsid w:val="00F0748B"/>
    <w:rsid w:val="00F104DC"/>
    <w:rsid w:val="00F113DD"/>
    <w:rsid w:val="00F1577E"/>
    <w:rsid w:val="00F23D94"/>
    <w:rsid w:val="00F251D7"/>
    <w:rsid w:val="00F25244"/>
    <w:rsid w:val="00F30BAD"/>
    <w:rsid w:val="00F31137"/>
    <w:rsid w:val="00F324E8"/>
    <w:rsid w:val="00F333A3"/>
    <w:rsid w:val="00F35EB8"/>
    <w:rsid w:val="00F40511"/>
    <w:rsid w:val="00F46007"/>
    <w:rsid w:val="00F47D67"/>
    <w:rsid w:val="00F53AC6"/>
    <w:rsid w:val="00F57D2A"/>
    <w:rsid w:val="00F64E67"/>
    <w:rsid w:val="00F66C46"/>
    <w:rsid w:val="00F66CA6"/>
    <w:rsid w:val="00F678C6"/>
    <w:rsid w:val="00F75FB9"/>
    <w:rsid w:val="00F76A0B"/>
    <w:rsid w:val="00F76C58"/>
    <w:rsid w:val="00F76C71"/>
    <w:rsid w:val="00F83DF1"/>
    <w:rsid w:val="00F867AB"/>
    <w:rsid w:val="00F87441"/>
    <w:rsid w:val="00F9186B"/>
    <w:rsid w:val="00F9233E"/>
    <w:rsid w:val="00F9513D"/>
    <w:rsid w:val="00F97FF2"/>
    <w:rsid w:val="00FA017F"/>
    <w:rsid w:val="00FA5344"/>
    <w:rsid w:val="00FA5484"/>
    <w:rsid w:val="00FB1319"/>
    <w:rsid w:val="00FB5D3E"/>
    <w:rsid w:val="00FC1A90"/>
    <w:rsid w:val="00FC24FF"/>
    <w:rsid w:val="00FC282D"/>
    <w:rsid w:val="00FD1CEE"/>
    <w:rsid w:val="00FD3263"/>
    <w:rsid w:val="00FD6172"/>
    <w:rsid w:val="00FD7A01"/>
    <w:rsid w:val="00FE067D"/>
    <w:rsid w:val="00FE1464"/>
    <w:rsid w:val="00FE7CA2"/>
    <w:rsid w:val="00FF0343"/>
    <w:rsid w:val="00FF2681"/>
    <w:rsid w:val="00FF2FAB"/>
    <w:rsid w:val="00FF3176"/>
    <w:rsid w:val="00FF5573"/>
    <w:rsid w:val="00FF66C8"/>
    <w:rsid w:val="00FF7F6D"/>
    <w:rsid w:val="1816349A"/>
    <w:rsid w:val="1DFB0B31"/>
    <w:rsid w:val="29FC72AB"/>
    <w:rsid w:val="333207B1"/>
    <w:rsid w:val="34C12689"/>
    <w:rsid w:val="361B035B"/>
    <w:rsid w:val="4258728A"/>
    <w:rsid w:val="4D304231"/>
    <w:rsid w:val="630736CC"/>
    <w:rsid w:val="642052D3"/>
    <w:rsid w:val="646E7124"/>
    <w:rsid w:val="6487484C"/>
    <w:rsid w:val="6C84211F"/>
    <w:rsid w:val="702A04F6"/>
    <w:rsid w:val="78D7186C"/>
    <w:rsid w:val="7C114DE7"/>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efaultImageDpi w14:val="32767"/>
  <w15:docId w15:val="{4D722778-2576-41B8-8309-4E43FA006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autoRedefine/>
    <w:uiPriority w:val="99"/>
    <w:semiHidden/>
    <w:unhideWhenUsed/>
    <w:qFormat/>
    <w:rPr>
      <w:vertAlign w:val="superscript"/>
    </w:rPr>
  </w:style>
  <w:style w:type="character" w:styleId="nfasis">
    <w:name w:val="Emphasis"/>
    <w:basedOn w:val="Fuentedeprrafopredeter"/>
    <w:autoRedefine/>
    <w:uiPriority w:val="20"/>
    <w:qFormat/>
    <w:rPr>
      <w:i/>
      <w:iCs/>
    </w:rPr>
  </w:style>
  <w:style w:type="character" w:styleId="Hipervnculo">
    <w:name w:val="Hyperlink"/>
    <w:basedOn w:val="Fuentedeprrafopredeter"/>
    <w:autoRedefine/>
    <w:uiPriority w:val="99"/>
    <w:unhideWhenUsed/>
    <w:qFormat/>
    <w:rPr>
      <w:color w:val="0563C1" w:themeColor="hyperlink"/>
      <w:u w:val="single"/>
    </w:rPr>
  </w:style>
  <w:style w:type="character" w:styleId="Textoennegrita">
    <w:name w:val="Strong"/>
    <w:basedOn w:val="Fuentedeprrafopredeter"/>
    <w:autoRedefine/>
    <w:uiPriority w:val="22"/>
    <w:qFormat/>
    <w:rPr>
      <w:b/>
      <w:bCs/>
    </w:rPr>
  </w:style>
  <w:style w:type="paragraph" w:styleId="Textonotapie">
    <w:name w:val="footnote text"/>
    <w:basedOn w:val="Normal"/>
    <w:link w:val="TextonotapieCar"/>
    <w:autoRedefine/>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autoRedefine/>
    <w:uiPriority w:val="99"/>
    <w:semiHidden/>
    <w:unhideWhenUsed/>
    <w:qFormat/>
    <w:rPr>
      <w:rFonts w:ascii="Segoe UI" w:hAnsi="Segoe UI" w:cs="Segoe UI"/>
      <w:sz w:val="18"/>
      <w:szCs w:val="18"/>
    </w:rPr>
  </w:style>
  <w:style w:type="paragraph" w:styleId="Encabezado">
    <w:name w:val="header"/>
    <w:basedOn w:val="Normal"/>
    <w:link w:val="EncabezadoCar"/>
    <w:autoRedefine/>
    <w:uiPriority w:val="99"/>
    <w:unhideWhenUsed/>
    <w:qFormat/>
    <w:pPr>
      <w:tabs>
        <w:tab w:val="center" w:pos="4419"/>
        <w:tab w:val="right" w:pos="8838"/>
      </w:tabs>
    </w:pPr>
  </w:style>
  <w:style w:type="paragraph" w:styleId="NormalWeb">
    <w:name w:val="Normal (Web)"/>
    <w:basedOn w:val="Normal"/>
    <w:autoRedefine/>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autoRedefine/>
    <w:uiPriority w:val="99"/>
    <w:unhideWhenUsed/>
    <w:qFormat/>
    <w:pPr>
      <w:tabs>
        <w:tab w:val="center" w:pos="4419"/>
        <w:tab w:val="right" w:pos="8838"/>
      </w:tabs>
    </w:pPr>
  </w:style>
  <w:style w:type="paragraph" w:styleId="Textoindependiente">
    <w:name w:val="Body Text"/>
    <w:basedOn w:val="Normal"/>
    <w:uiPriority w:val="99"/>
    <w:unhideWhenUsed/>
    <w:qFormat/>
    <w:pPr>
      <w:spacing w:after="120"/>
    </w:pPr>
  </w:style>
  <w:style w:type="character" w:customStyle="1" w:styleId="EncabezadoCar">
    <w:name w:val="Encabezado Car"/>
    <w:basedOn w:val="Fuentedeprrafopredeter"/>
    <w:link w:val="Encabezado"/>
    <w:autoRedefine/>
    <w:uiPriority w:val="99"/>
    <w:qFormat/>
    <w:rPr>
      <w:rFonts w:eastAsiaTheme="minorEastAsia"/>
      <w:lang w:eastAsia="es-ES"/>
    </w:rPr>
  </w:style>
  <w:style w:type="character" w:customStyle="1" w:styleId="PiedepginaCar">
    <w:name w:val="Pie de página Car"/>
    <w:basedOn w:val="Fuentedeprrafopredeter"/>
    <w:link w:val="Piedepgina"/>
    <w:autoRedefine/>
    <w:uiPriority w:val="99"/>
    <w:qFormat/>
    <w:rPr>
      <w:rFonts w:eastAsiaTheme="minorEastAsia"/>
      <w:lang w:eastAsia="es-ES"/>
    </w:rPr>
  </w:style>
  <w:style w:type="character" w:customStyle="1" w:styleId="TextodegloboCar">
    <w:name w:val="Texto de globo Car"/>
    <w:basedOn w:val="Fuentedeprrafopredeter"/>
    <w:link w:val="Textodeglobo"/>
    <w:autoRedefine/>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autoRedefine/>
    <w:uiPriority w:val="99"/>
    <w:qFormat/>
    <w:rPr>
      <w:rFonts w:eastAsiaTheme="minorEastAsia"/>
      <w:sz w:val="20"/>
      <w:szCs w:val="20"/>
      <w:lang w:eastAsia="es-ES"/>
    </w:rPr>
  </w:style>
  <w:style w:type="paragraph" w:styleId="Sinespaciado">
    <w:name w:val="No Spacing"/>
    <w:autoRedefine/>
    <w:uiPriority w:val="1"/>
    <w:qFormat/>
    <w:rPr>
      <w:rFonts w:ascii="Calibri" w:eastAsia="Calibri" w:hAnsi="Calibri" w:cs="Times New Roman"/>
      <w:sz w:val="22"/>
      <w:szCs w:val="22"/>
      <w:lang w:eastAsia="en-US"/>
    </w:rPr>
  </w:style>
  <w:style w:type="paragraph" w:customStyle="1" w:styleId="Default">
    <w:name w:val="Default"/>
    <w:autoRedefine/>
    <w:qFormat/>
    <w:rsid w:val="00CB25DB"/>
    <w:pPr>
      <w:autoSpaceDE w:val="0"/>
      <w:autoSpaceDN w:val="0"/>
      <w:adjustRightInd w:val="0"/>
      <w:spacing w:line="276" w:lineRule="auto"/>
      <w:jc w:val="both"/>
    </w:pPr>
    <w:rPr>
      <w:rFonts w:ascii="Arial" w:eastAsia="Arial" w:hAnsi="Arial" w:cs="Arial"/>
      <w:sz w:val="24"/>
      <w:szCs w:val="24"/>
      <w:lang w:eastAsia="en-US"/>
    </w:rPr>
  </w:style>
  <w:style w:type="paragraph" w:customStyle="1" w:styleId="Texto">
    <w:name w:val="Texto"/>
    <w:basedOn w:val="Normal"/>
    <w:link w:val="TextoCar"/>
    <w:autoRedefine/>
    <w:qFormat/>
    <w:pPr>
      <w:spacing w:line="276" w:lineRule="auto"/>
      <w:ind w:right="141"/>
      <w:jc w:val="both"/>
    </w:pPr>
    <w:rPr>
      <w:rFonts w:ascii="Arial" w:eastAsia="Times New Roman" w:hAnsi="Arial" w:cs="Arial"/>
    </w:rPr>
  </w:style>
  <w:style w:type="character" w:customStyle="1" w:styleId="TextoCar">
    <w:name w:val="Texto Car"/>
    <w:link w:val="Texto"/>
    <w:autoRedefine/>
    <w:qFormat/>
    <w:locked/>
    <w:rPr>
      <w:rFonts w:ascii="Arial" w:eastAsia="Times New Roman" w:hAnsi="Arial" w:cs="Arial"/>
      <w:sz w:val="24"/>
      <w:szCs w:val="24"/>
      <w:lang w:eastAsia="es-ES"/>
    </w:rPr>
  </w:style>
  <w:style w:type="character" w:customStyle="1" w:styleId="TextocomentarioCar">
    <w:name w:val="Texto comentario Car"/>
    <w:basedOn w:val="Fuentedeprrafopredeter"/>
    <w:link w:val="Textocomentario"/>
    <w:uiPriority w:val="99"/>
    <w:semiHidden/>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s://www.inegi.org.mx/contenidos/programas/envipe/2023/doc/envipe2023_4_denuncia_delito.pdf" TargetMode="External"/><Relationship Id="rId1" Type="http://schemas.openxmlformats.org/officeDocument/2006/relationships/hyperlink" Target="https://www.inegi.org.mx/contenidos/saladeprensa/boletines/2023/ENVIPE/ENVIPE_23.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CA1D87-10FC-44BF-BE08-52CAECEDA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28</Pages>
  <Words>10529</Words>
  <Characters>57911</Characters>
  <Application>Microsoft Office Word</Application>
  <DocSecurity>0</DocSecurity>
  <Lines>482</Lines>
  <Paragraphs>136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73</cp:revision>
  <cp:lastPrinted>2024-08-13T17:53:00Z</cp:lastPrinted>
  <dcterms:created xsi:type="dcterms:W3CDTF">2024-05-13T23:11:00Z</dcterms:created>
  <dcterms:modified xsi:type="dcterms:W3CDTF">2024-08-14T17:09:00Z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15997B31597F468CB2BAA4264F9EC8DB_13</vt:lpwstr>
  </property>
</Properties>
</file>