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4556DE" w14:textId="18D08164" w:rsidR="00913F62" w:rsidRPr="00C65EEA" w:rsidRDefault="00913F62" w:rsidP="00913F62">
      <w:pPr>
        <w:spacing w:line="360" w:lineRule="auto"/>
        <w:jc w:val="both"/>
        <w:rPr>
          <w:rFonts w:ascii="Arial" w:hAnsi="Arial" w:cs="Arial"/>
          <w:color w:val="323E4F" w:themeColor="text2" w:themeShade="BF"/>
          <w:sz w:val="22"/>
          <w:szCs w:val="22"/>
        </w:rPr>
      </w:pPr>
      <w:bookmarkStart w:id="0" w:name="_GoBack"/>
      <w:bookmarkEnd w:id="0"/>
    </w:p>
    <w:p w14:paraId="18227152" w14:textId="77777777" w:rsidR="00913F62" w:rsidRPr="00493C6A" w:rsidRDefault="00913F62" w:rsidP="000E167E">
      <w:pPr>
        <w:spacing w:line="360" w:lineRule="auto"/>
        <w:ind w:firstLine="708"/>
        <w:jc w:val="both"/>
        <w:rPr>
          <w:rFonts w:ascii="Arial" w:hAnsi="Arial" w:cs="Arial"/>
          <w:color w:val="323E4F" w:themeColor="text2" w:themeShade="BF"/>
          <w:szCs w:val="22"/>
        </w:rPr>
      </w:pPr>
      <w:r w:rsidRPr="00493C6A">
        <w:rPr>
          <w:rFonts w:ascii="Arial" w:hAnsi="Arial" w:cs="Arial"/>
          <w:color w:val="323E4F" w:themeColor="text2" w:themeShade="BF"/>
          <w:szCs w:val="22"/>
        </w:rPr>
        <w:t>Visto el estado procesal que guarda el expediente citado al rubro; se procede a dictar Acuerdo, con base en los antecedentes y considerandos siguientes:</w:t>
      </w:r>
    </w:p>
    <w:p w14:paraId="39173386" w14:textId="77777777" w:rsidR="000E167E" w:rsidRPr="00493C6A" w:rsidRDefault="000E167E" w:rsidP="00913F62">
      <w:pPr>
        <w:spacing w:line="360" w:lineRule="auto"/>
        <w:jc w:val="center"/>
        <w:rPr>
          <w:rFonts w:ascii="Arial" w:hAnsi="Arial" w:cs="Arial"/>
          <w:b/>
          <w:color w:val="323E4F" w:themeColor="text2" w:themeShade="BF"/>
          <w:szCs w:val="22"/>
          <w:lang w:eastAsia="es-MX"/>
        </w:rPr>
      </w:pPr>
    </w:p>
    <w:p w14:paraId="59D4517E" w14:textId="32927ECC" w:rsidR="00913F62" w:rsidRPr="00493C6A" w:rsidRDefault="00913F62" w:rsidP="000E167E">
      <w:pPr>
        <w:pStyle w:val="Prrafodelista"/>
        <w:numPr>
          <w:ilvl w:val="0"/>
          <w:numId w:val="12"/>
        </w:numPr>
        <w:spacing w:line="360" w:lineRule="auto"/>
        <w:jc w:val="center"/>
        <w:rPr>
          <w:rFonts w:ascii="Arial" w:hAnsi="Arial" w:cs="Arial"/>
          <w:b/>
          <w:color w:val="323E4F" w:themeColor="text2" w:themeShade="BF"/>
          <w:szCs w:val="22"/>
          <w:lang w:eastAsia="es-MX"/>
        </w:rPr>
      </w:pPr>
      <w:r w:rsidRPr="00493C6A">
        <w:rPr>
          <w:rFonts w:ascii="Arial" w:hAnsi="Arial" w:cs="Arial"/>
          <w:b/>
          <w:color w:val="323E4F" w:themeColor="text2" w:themeShade="BF"/>
          <w:szCs w:val="22"/>
          <w:lang w:eastAsia="es-MX"/>
        </w:rPr>
        <w:t>RESULTANDO</w:t>
      </w:r>
    </w:p>
    <w:p w14:paraId="52343087" w14:textId="77D1C173" w:rsidR="009C6E8D" w:rsidRPr="00493C6A" w:rsidRDefault="00ED61C9" w:rsidP="009C6E8D">
      <w:pPr>
        <w:pStyle w:val="Prrafodelista"/>
        <w:numPr>
          <w:ilvl w:val="0"/>
          <w:numId w:val="21"/>
        </w:numPr>
        <w:spacing w:line="360" w:lineRule="auto"/>
        <w:jc w:val="both"/>
        <w:rPr>
          <w:rFonts w:ascii="Arial" w:hAnsi="Arial" w:cs="Arial"/>
          <w:b/>
          <w:color w:val="323E4F" w:themeColor="text2" w:themeShade="BF"/>
          <w:szCs w:val="22"/>
          <w:lang w:eastAsia="es-MX"/>
        </w:rPr>
      </w:pPr>
      <w:r w:rsidRPr="00493C6A">
        <w:rPr>
          <w:rFonts w:ascii="Arial" w:eastAsia="Arial Unicode MS" w:hAnsi="Arial" w:cs="Arial"/>
          <w:color w:val="323E4F" w:themeColor="text2" w:themeShade="BF"/>
          <w:szCs w:val="22"/>
        </w:rPr>
        <w:t>El 12 doce</w:t>
      </w:r>
      <w:r w:rsidR="00C65EEA" w:rsidRPr="00493C6A">
        <w:rPr>
          <w:rFonts w:ascii="Arial" w:eastAsia="Arial Unicode MS" w:hAnsi="Arial" w:cs="Arial"/>
          <w:color w:val="323E4F" w:themeColor="text2" w:themeShade="BF"/>
          <w:szCs w:val="22"/>
        </w:rPr>
        <w:t xml:space="preserve"> </w:t>
      </w:r>
      <w:r w:rsidR="005421E5" w:rsidRPr="00493C6A">
        <w:rPr>
          <w:rFonts w:ascii="Arial" w:eastAsia="Arial Unicode MS" w:hAnsi="Arial" w:cs="Arial"/>
          <w:color w:val="323E4F" w:themeColor="text2" w:themeShade="BF"/>
          <w:szCs w:val="22"/>
        </w:rPr>
        <w:t>de</w:t>
      </w:r>
      <w:r w:rsidR="00B062D9" w:rsidRPr="00493C6A">
        <w:rPr>
          <w:rFonts w:ascii="Arial" w:eastAsia="Arial Unicode MS" w:hAnsi="Arial" w:cs="Arial"/>
          <w:color w:val="323E4F" w:themeColor="text2" w:themeShade="BF"/>
          <w:szCs w:val="22"/>
        </w:rPr>
        <w:t xml:space="preserve"> </w:t>
      </w:r>
      <w:r w:rsidR="00C65EEA" w:rsidRPr="00493C6A">
        <w:rPr>
          <w:rFonts w:ascii="Arial" w:eastAsia="Arial Unicode MS" w:hAnsi="Arial" w:cs="Arial"/>
          <w:color w:val="323E4F" w:themeColor="text2" w:themeShade="BF"/>
          <w:szCs w:val="22"/>
        </w:rPr>
        <w:t>octubre</w:t>
      </w:r>
      <w:r w:rsidR="00104745" w:rsidRPr="00493C6A">
        <w:rPr>
          <w:rFonts w:ascii="Arial" w:eastAsia="Arial Unicode MS" w:hAnsi="Arial" w:cs="Arial"/>
          <w:color w:val="323E4F" w:themeColor="text2" w:themeShade="BF"/>
          <w:szCs w:val="22"/>
        </w:rPr>
        <w:t xml:space="preserve"> </w:t>
      </w:r>
      <w:r w:rsidR="00DE7922" w:rsidRPr="00493C6A">
        <w:rPr>
          <w:rFonts w:ascii="Arial" w:eastAsia="Arial Unicode MS" w:hAnsi="Arial" w:cs="Arial"/>
          <w:color w:val="323E4F" w:themeColor="text2" w:themeShade="BF"/>
          <w:szCs w:val="22"/>
        </w:rPr>
        <w:t>de</w:t>
      </w:r>
      <w:r w:rsidR="00C65EEA" w:rsidRPr="00493C6A">
        <w:rPr>
          <w:rFonts w:ascii="Arial" w:eastAsia="Arial Unicode MS" w:hAnsi="Arial" w:cs="Arial"/>
          <w:color w:val="323E4F" w:themeColor="text2" w:themeShade="BF"/>
          <w:szCs w:val="22"/>
        </w:rPr>
        <w:t xml:space="preserve"> 2022</w:t>
      </w:r>
      <w:r w:rsidR="00ED0A0E" w:rsidRPr="00493C6A">
        <w:rPr>
          <w:rFonts w:ascii="Arial" w:eastAsia="Arial Unicode MS" w:hAnsi="Arial" w:cs="Arial"/>
          <w:color w:val="323E4F" w:themeColor="text2" w:themeShade="BF"/>
          <w:szCs w:val="22"/>
        </w:rPr>
        <w:t xml:space="preserve"> dos mil veinti</w:t>
      </w:r>
      <w:r w:rsidR="00C65EEA" w:rsidRPr="00493C6A">
        <w:rPr>
          <w:rFonts w:ascii="Arial" w:eastAsia="Arial Unicode MS" w:hAnsi="Arial" w:cs="Arial"/>
          <w:color w:val="323E4F" w:themeColor="text2" w:themeShade="BF"/>
          <w:szCs w:val="22"/>
        </w:rPr>
        <w:t>dós</w:t>
      </w:r>
      <w:r w:rsidR="00ED0A0E" w:rsidRPr="00493C6A">
        <w:rPr>
          <w:rFonts w:ascii="Arial" w:eastAsia="Arial Unicode MS" w:hAnsi="Arial" w:cs="Arial"/>
          <w:color w:val="323E4F" w:themeColor="text2" w:themeShade="BF"/>
          <w:szCs w:val="22"/>
        </w:rPr>
        <w:t xml:space="preserve"> el recurrente</w:t>
      </w:r>
      <w:r w:rsidR="00913F62" w:rsidRPr="00493C6A">
        <w:rPr>
          <w:rFonts w:ascii="Arial" w:eastAsia="Arial Unicode MS" w:hAnsi="Arial" w:cs="Arial"/>
          <w:color w:val="323E4F" w:themeColor="text2" w:themeShade="BF"/>
          <w:szCs w:val="22"/>
        </w:rPr>
        <w:t xml:space="preserve"> diri</w:t>
      </w:r>
      <w:r w:rsidR="00C66E62" w:rsidRPr="00493C6A">
        <w:rPr>
          <w:rFonts w:ascii="Arial" w:eastAsia="Arial Unicode MS" w:hAnsi="Arial" w:cs="Arial"/>
          <w:color w:val="323E4F" w:themeColor="text2" w:themeShade="BF"/>
          <w:szCs w:val="22"/>
        </w:rPr>
        <w:t>gió</w:t>
      </w:r>
      <w:r w:rsidR="00B062D9" w:rsidRPr="00493C6A">
        <w:rPr>
          <w:rFonts w:ascii="Arial" w:eastAsia="Arial Unicode MS" w:hAnsi="Arial" w:cs="Arial"/>
          <w:color w:val="323E4F" w:themeColor="text2" w:themeShade="BF"/>
          <w:szCs w:val="22"/>
        </w:rPr>
        <w:t xml:space="preserve"> una solicitud de información </w:t>
      </w:r>
      <w:r w:rsidR="006B29F2" w:rsidRPr="00493C6A">
        <w:rPr>
          <w:rFonts w:ascii="Arial" w:eastAsia="Arial Unicode MS" w:hAnsi="Arial" w:cs="Arial"/>
          <w:color w:val="323E4F" w:themeColor="text2" w:themeShade="BF"/>
          <w:szCs w:val="22"/>
        </w:rPr>
        <w:t xml:space="preserve">al </w:t>
      </w:r>
      <w:r w:rsidR="00C65EEA" w:rsidRPr="00493C6A">
        <w:rPr>
          <w:rFonts w:ascii="Arial" w:eastAsia="Arial Unicode MS" w:hAnsi="Arial" w:cs="Arial"/>
          <w:color w:val="323E4F" w:themeColor="text2" w:themeShade="BF"/>
          <w:szCs w:val="22"/>
        </w:rPr>
        <w:t xml:space="preserve">Ayuntamiento de </w:t>
      </w:r>
      <w:proofErr w:type="spellStart"/>
      <w:r w:rsidR="00C65EEA" w:rsidRPr="00493C6A">
        <w:rPr>
          <w:rFonts w:ascii="Arial" w:eastAsia="Arial Unicode MS" w:hAnsi="Arial" w:cs="Arial"/>
          <w:color w:val="323E4F" w:themeColor="text2" w:themeShade="BF"/>
          <w:szCs w:val="22"/>
        </w:rPr>
        <w:t>Mexquitic</w:t>
      </w:r>
      <w:proofErr w:type="spellEnd"/>
      <w:r w:rsidR="00C65EEA" w:rsidRPr="00493C6A">
        <w:rPr>
          <w:rFonts w:ascii="Arial" w:eastAsia="Arial Unicode MS" w:hAnsi="Arial" w:cs="Arial"/>
          <w:color w:val="323E4F" w:themeColor="text2" w:themeShade="BF"/>
          <w:szCs w:val="22"/>
        </w:rPr>
        <w:t xml:space="preserve"> de Carmona</w:t>
      </w:r>
      <w:r w:rsidR="006B29F2" w:rsidRPr="00493C6A">
        <w:rPr>
          <w:rFonts w:ascii="Arial" w:eastAsia="Arial Unicode MS" w:hAnsi="Arial" w:cs="Arial"/>
          <w:color w:val="323E4F" w:themeColor="text2" w:themeShade="BF"/>
          <w:szCs w:val="22"/>
        </w:rPr>
        <w:t xml:space="preserve"> </w:t>
      </w:r>
      <w:r w:rsidR="007A3A8F" w:rsidRPr="00493C6A">
        <w:rPr>
          <w:rFonts w:ascii="Arial" w:eastAsia="Arial Unicode MS" w:hAnsi="Arial" w:cs="Arial"/>
          <w:color w:val="323E4F" w:themeColor="text2" w:themeShade="BF"/>
          <w:szCs w:val="22"/>
        </w:rPr>
        <w:t>la</w:t>
      </w:r>
      <w:r w:rsidR="00913F62" w:rsidRPr="00493C6A">
        <w:rPr>
          <w:rFonts w:ascii="Arial" w:eastAsia="Arial Unicode MS" w:hAnsi="Arial" w:cs="Arial"/>
          <w:color w:val="323E4F" w:themeColor="text2" w:themeShade="BF"/>
          <w:szCs w:val="22"/>
        </w:rPr>
        <w:t xml:space="preserve"> cual se le asignó el número de folio</w:t>
      </w:r>
      <w:r w:rsidR="00C65EEA" w:rsidRPr="00493C6A">
        <w:rPr>
          <w:rFonts w:ascii="Arial" w:eastAsia="Arial Unicode MS" w:hAnsi="Arial" w:cs="Arial"/>
          <w:color w:val="323E4F" w:themeColor="text2" w:themeShade="BF"/>
          <w:szCs w:val="22"/>
        </w:rPr>
        <w:t xml:space="preserve"> </w:t>
      </w:r>
      <w:r w:rsidR="00743FDA" w:rsidRPr="00493C6A">
        <w:rPr>
          <w:rFonts w:ascii="Arial" w:eastAsia="Arial Unicode MS" w:hAnsi="Arial" w:cs="Arial"/>
          <w:color w:val="323E4F" w:themeColor="text2" w:themeShade="BF"/>
          <w:szCs w:val="22"/>
        </w:rPr>
        <w:t>240473722000069</w:t>
      </w:r>
      <w:r w:rsidR="002D16DE" w:rsidRPr="00493C6A">
        <w:rPr>
          <w:rFonts w:ascii="Arial" w:eastAsia="Arial Unicode MS" w:hAnsi="Arial" w:cs="Arial"/>
          <w:color w:val="323E4F" w:themeColor="text2" w:themeShade="BF"/>
          <w:szCs w:val="22"/>
        </w:rPr>
        <w:t>,</w:t>
      </w:r>
      <w:r w:rsidR="00913F62" w:rsidRPr="00493C6A">
        <w:rPr>
          <w:rFonts w:ascii="Arial" w:eastAsia="Arial Unicode MS" w:hAnsi="Arial" w:cs="Arial"/>
          <w:color w:val="323E4F" w:themeColor="text2" w:themeShade="BF"/>
          <w:szCs w:val="22"/>
        </w:rPr>
        <w:t xml:space="preserve"> requiriendo lo siguiente:  </w:t>
      </w:r>
    </w:p>
    <w:p w14:paraId="75C567A4" w14:textId="77777777" w:rsidR="005C265E" w:rsidRPr="00C65EEA" w:rsidRDefault="005C265E" w:rsidP="005C265E">
      <w:pPr>
        <w:pStyle w:val="Prrafodelista"/>
        <w:spacing w:line="360" w:lineRule="auto"/>
        <w:ind w:left="644"/>
        <w:jc w:val="both"/>
        <w:rPr>
          <w:rFonts w:ascii="Arial" w:hAnsi="Arial" w:cs="Arial"/>
          <w:b/>
          <w:i/>
          <w:color w:val="323E4F" w:themeColor="text2" w:themeShade="BF"/>
          <w:sz w:val="22"/>
          <w:szCs w:val="22"/>
          <w:lang w:eastAsia="es-MX"/>
        </w:rPr>
      </w:pPr>
    </w:p>
    <w:p w14:paraId="3BFE8B39" w14:textId="6FB579B3" w:rsidR="00C37928" w:rsidRDefault="00743FDA" w:rsidP="00743FDA">
      <w:pPr>
        <w:pStyle w:val="Prrafodelista"/>
        <w:ind w:left="1494" w:right="1183"/>
        <w:jc w:val="both"/>
        <w:rPr>
          <w:rFonts w:ascii="Arial" w:eastAsia="Arial Unicode MS" w:hAnsi="Arial" w:cs="Arial"/>
          <w:bCs/>
          <w:i/>
          <w:iCs/>
          <w:color w:val="323E4F" w:themeColor="text2" w:themeShade="BF"/>
          <w:sz w:val="22"/>
          <w:szCs w:val="22"/>
        </w:rPr>
      </w:pPr>
      <w:r>
        <w:rPr>
          <w:rFonts w:ascii="Arial" w:eastAsia="Arial Unicode MS" w:hAnsi="Arial" w:cs="Arial"/>
          <w:bCs/>
          <w:i/>
          <w:iCs/>
          <w:color w:val="323E4F" w:themeColor="text2" w:themeShade="BF"/>
          <w:sz w:val="22"/>
          <w:szCs w:val="22"/>
        </w:rPr>
        <w:t>Derivado de los festejos del 15 de septiembre, solicito el costo de los grupos que amenizaron el evento del grito de independencia, contratos con los grupos musicales, así mismo solicito saber a cargo de qué área o dirección estuvo a cargo la venta de cerveza en dicho evento, ya que se estuvo vendiendo cerveza en el evento por parte del personal que labora en el ayuntamiento.</w:t>
      </w:r>
    </w:p>
    <w:p w14:paraId="200AB3DA" w14:textId="77777777" w:rsidR="00743FDA" w:rsidRPr="00C37928" w:rsidRDefault="00743FDA" w:rsidP="00743FDA">
      <w:pPr>
        <w:pStyle w:val="Prrafodelista"/>
        <w:ind w:left="1494" w:right="1183"/>
        <w:jc w:val="both"/>
        <w:rPr>
          <w:rFonts w:ascii="Arial" w:eastAsia="Arial Unicode MS" w:hAnsi="Arial" w:cs="Arial"/>
          <w:bCs/>
          <w:i/>
          <w:iCs/>
          <w:color w:val="323E4F" w:themeColor="text2" w:themeShade="BF"/>
          <w:sz w:val="22"/>
          <w:szCs w:val="22"/>
        </w:rPr>
      </w:pPr>
    </w:p>
    <w:p w14:paraId="1AD42490" w14:textId="475D6980" w:rsidR="00315225" w:rsidRPr="00C65EEA" w:rsidRDefault="00315225" w:rsidP="00351413">
      <w:pPr>
        <w:pStyle w:val="Prrafodelista"/>
        <w:spacing w:line="360" w:lineRule="auto"/>
        <w:ind w:left="1134" w:right="1183"/>
        <w:jc w:val="both"/>
        <w:rPr>
          <w:rFonts w:ascii="Arial" w:hAnsi="Arial" w:cs="Arial"/>
          <w:color w:val="323E4F" w:themeColor="text2" w:themeShade="BF"/>
          <w:sz w:val="22"/>
          <w:szCs w:val="22"/>
          <w:lang w:eastAsia="es-MX"/>
        </w:rPr>
      </w:pPr>
    </w:p>
    <w:p w14:paraId="4F799ED9" w14:textId="7EF72001" w:rsidR="009739D0" w:rsidRPr="00493C6A" w:rsidRDefault="00743FDA" w:rsidP="009C6E8D">
      <w:pPr>
        <w:pStyle w:val="Prrafodelista"/>
        <w:numPr>
          <w:ilvl w:val="0"/>
          <w:numId w:val="21"/>
        </w:numPr>
        <w:spacing w:line="360" w:lineRule="auto"/>
        <w:ind w:right="-91"/>
        <w:jc w:val="both"/>
        <w:rPr>
          <w:rFonts w:ascii="Arial" w:hAnsi="Arial" w:cs="Arial"/>
          <w:b/>
          <w:color w:val="323E4F" w:themeColor="text2" w:themeShade="BF"/>
          <w:szCs w:val="22"/>
        </w:rPr>
      </w:pPr>
      <w:r w:rsidRPr="00493C6A">
        <w:rPr>
          <w:rFonts w:ascii="Arial" w:hAnsi="Arial" w:cs="Arial"/>
          <w:color w:val="323E4F" w:themeColor="text2" w:themeShade="BF"/>
          <w:szCs w:val="22"/>
        </w:rPr>
        <w:t>El 09</w:t>
      </w:r>
      <w:r w:rsidR="009C6E8D" w:rsidRPr="00493C6A">
        <w:rPr>
          <w:rFonts w:ascii="Arial" w:hAnsi="Arial" w:cs="Arial"/>
          <w:color w:val="323E4F" w:themeColor="text2" w:themeShade="BF"/>
          <w:szCs w:val="22"/>
        </w:rPr>
        <w:t xml:space="preserve"> </w:t>
      </w:r>
      <w:r w:rsidRPr="00493C6A">
        <w:rPr>
          <w:rFonts w:ascii="Arial" w:hAnsi="Arial" w:cs="Arial"/>
          <w:color w:val="323E4F" w:themeColor="text2" w:themeShade="BF"/>
          <w:szCs w:val="22"/>
        </w:rPr>
        <w:t>nueve</w:t>
      </w:r>
      <w:r w:rsidR="00C37928" w:rsidRPr="00493C6A">
        <w:rPr>
          <w:rFonts w:ascii="Arial" w:hAnsi="Arial" w:cs="Arial"/>
          <w:color w:val="323E4F" w:themeColor="text2" w:themeShade="BF"/>
          <w:szCs w:val="22"/>
        </w:rPr>
        <w:t xml:space="preserve"> </w:t>
      </w:r>
      <w:r w:rsidR="00396F72" w:rsidRPr="00493C6A">
        <w:rPr>
          <w:rFonts w:ascii="Arial" w:hAnsi="Arial" w:cs="Arial"/>
          <w:color w:val="323E4F" w:themeColor="text2" w:themeShade="BF"/>
          <w:szCs w:val="22"/>
        </w:rPr>
        <w:t xml:space="preserve">de </w:t>
      </w:r>
      <w:r w:rsidR="00C37928" w:rsidRPr="00493C6A">
        <w:rPr>
          <w:rFonts w:ascii="Arial" w:hAnsi="Arial" w:cs="Arial"/>
          <w:color w:val="323E4F" w:themeColor="text2" w:themeShade="BF"/>
          <w:szCs w:val="22"/>
        </w:rPr>
        <w:t>noviembre</w:t>
      </w:r>
      <w:r w:rsidR="00857174" w:rsidRPr="00493C6A">
        <w:rPr>
          <w:rFonts w:ascii="Arial" w:hAnsi="Arial" w:cs="Arial"/>
          <w:color w:val="323E4F" w:themeColor="text2" w:themeShade="BF"/>
          <w:szCs w:val="22"/>
        </w:rPr>
        <w:t xml:space="preserve"> de 202</w:t>
      </w:r>
      <w:r w:rsidR="00C37928" w:rsidRPr="00493C6A">
        <w:rPr>
          <w:rFonts w:ascii="Arial" w:hAnsi="Arial" w:cs="Arial"/>
          <w:color w:val="323E4F" w:themeColor="text2" w:themeShade="BF"/>
          <w:szCs w:val="22"/>
        </w:rPr>
        <w:t>2</w:t>
      </w:r>
      <w:r w:rsidR="000C3483" w:rsidRPr="00493C6A">
        <w:rPr>
          <w:rFonts w:ascii="Arial" w:hAnsi="Arial" w:cs="Arial"/>
          <w:color w:val="323E4F" w:themeColor="text2" w:themeShade="BF"/>
          <w:szCs w:val="22"/>
        </w:rPr>
        <w:t xml:space="preserve"> dos mil veinti</w:t>
      </w:r>
      <w:r w:rsidR="00C37928" w:rsidRPr="00493C6A">
        <w:rPr>
          <w:rFonts w:ascii="Arial" w:hAnsi="Arial" w:cs="Arial"/>
          <w:color w:val="323E4F" w:themeColor="text2" w:themeShade="BF"/>
          <w:szCs w:val="22"/>
        </w:rPr>
        <w:t>dós</w:t>
      </w:r>
      <w:r w:rsidR="009739D0" w:rsidRPr="00493C6A">
        <w:rPr>
          <w:rFonts w:ascii="Arial" w:hAnsi="Arial" w:cs="Arial"/>
          <w:color w:val="323E4F" w:themeColor="text2" w:themeShade="BF"/>
          <w:szCs w:val="22"/>
        </w:rPr>
        <w:t>, se interpuso Recurso de Revisión en contra de la respuesta otorgada por el Sujeto Obligado.</w:t>
      </w:r>
      <w:r w:rsidR="009739D0" w:rsidRPr="00493C6A">
        <w:rPr>
          <w:rFonts w:ascii="Arial" w:hAnsi="Arial" w:cs="Arial"/>
          <w:b/>
          <w:color w:val="323E4F" w:themeColor="text2" w:themeShade="BF"/>
          <w:szCs w:val="22"/>
        </w:rPr>
        <w:t xml:space="preserve"> </w:t>
      </w:r>
    </w:p>
    <w:p w14:paraId="07CFDDB3" w14:textId="77777777" w:rsidR="009739D0" w:rsidRPr="00493C6A" w:rsidRDefault="009739D0" w:rsidP="009739D0">
      <w:pPr>
        <w:ind w:left="720"/>
        <w:contextualSpacing/>
        <w:rPr>
          <w:rFonts w:ascii="Arial" w:hAnsi="Arial" w:cs="Arial"/>
          <w:b/>
          <w:color w:val="323E4F" w:themeColor="text2" w:themeShade="BF"/>
          <w:szCs w:val="22"/>
        </w:rPr>
      </w:pPr>
    </w:p>
    <w:p w14:paraId="1FB1C5EC" w14:textId="23207B82" w:rsidR="004D3676" w:rsidRPr="00493C6A" w:rsidRDefault="007D0F23" w:rsidP="009C6E8D">
      <w:pPr>
        <w:pStyle w:val="Prrafodelista"/>
        <w:numPr>
          <w:ilvl w:val="0"/>
          <w:numId w:val="21"/>
        </w:numPr>
        <w:spacing w:line="360" w:lineRule="auto"/>
        <w:ind w:right="-91"/>
        <w:jc w:val="both"/>
        <w:rPr>
          <w:rFonts w:ascii="Arial" w:hAnsi="Arial" w:cs="Arial"/>
          <w:color w:val="323E4F" w:themeColor="text2" w:themeShade="BF"/>
          <w:sz w:val="22"/>
        </w:rPr>
      </w:pPr>
      <w:r w:rsidRPr="00493C6A">
        <w:rPr>
          <w:rFonts w:ascii="Arial" w:hAnsi="Arial" w:cs="Arial"/>
          <w:color w:val="323E4F" w:themeColor="text2" w:themeShade="BF"/>
          <w:szCs w:val="22"/>
        </w:rPr>
        <w:t xml:space="preserve">El </w:t>
      </w:r>
      <w:r w:rsidR="00743FDA" w:rsidRPr="00493C6A">
        <w:rPr>
          <w:rFonts w:ascii="Arial" w:hAnsi="Arial" w:cs="Arial"/>
          <w:color w:val="323E4F" w:themeColor="text2" w:themeShade="BF"/>
          <w:szCs w:val="22"/>
        </w:rPr>
        <w:t>07</w:t>
      </w:r>
      <w:r w:rsidR="00864F43" w:rsidRPr="00493C6A">
        <w:rPr>
          <w:rFonts w:ascii="Arial" w:hAnsi="Arial" w:cs="Arial"/>
          <w:color w:val="323E4F" w:themeColor="text2" w:themeShade="BF"/>
          <w:szCs w:val="22"/>
        </w:rPr>
        <w:t xml:space="preserve"> </w:t>
      </w:r>
      <w:r w:rsidR="00743FDA" w:rsidRPr="00493C6A">
        <w:rPr>
          <w:rFonts w:ascii="Arial" w:hAnsi="Arial" w:cs="Arial"/>
          <w:color w:val="323E4F" w:themeColor="text2" w:themeShade="BF"/>
          <w:szCs w:val="22"/>
        </w:rPr>
        <w:t>siete</w:t>
      </w:r>
      <w:r w:rsidR="005421E5" w:rsidRPr="00493C6A">
        <w:rPr>
          <w:rFonts w:ascii="Arial" w:hAnsi="Arial" w:cs="Arial"/>
          <w:color w:val="323E4F" w:themeColor="text2" w:themeShade="BF"/>
          <w:szCs w:val="22"/>
        </w:rPr>
        <w:t xml:space="preserve"> de </w:t>
      </w:r>
      <w:r w:rsidR="00743FDA" w:rsidRPr="00493C6A">
        <w:rPr>
          <w:rFonts w:ascii="Arial" w:hAnsi="Arial" w:cs="Arial"/>
          <w:color w:val="323E4F" w:themeColor="text2" w:themeShade="BF"/>
          <w:szCs w:val="22"/>
        </w:rPr>
        <w:t>febrero</w:t>
      </w:r>
      <w:r w:rsidR="00192A3A" w:rsidRPr="00493C6A">
        <w:rPr>
          <w:rFonts w:ascii="Arial" w:hAnsi="Arial" w:cs="Arial"/>
          <w:color w:val="323E4F" w:themeColor="text2" w:themeShade="BF"/>
          <w:szCs w:val="22"/>
        </w:rPr>
        <w:t xml:space="preserve"> de 2023</w:t>
      </w:r>
      <w:r w:rsidR="009739D0" w:rsidRPr="00493C6A">
        <w:rPr>
          <w:rFonts w:ascii="Arial" w:hAnsi="Arial" w:cs="Arial"/>
          <w:color w:val="323E4F" w:themeColor="text2" w:themeShade="BF"/>
          <w:szCs w:val="22"/>
        </w:rPr>
        <w:t xml:space="preserve"> dos mil veinti</w:t>
      </w:r>
      <w:r w:rsidR="00192A3A" w:rsidRPr="00493C6A">
        <w:rPr>
          <w:rFonts w:ascii="Arial" w:hAnsi="Arial" w:cs="Arial"/>
          <w:color w:val="323E4F" w:themeColor="text2" w:themeShade="BF"/>
          <w:szCs w:val="22"/>
        </w:rPr>
        <w:t>trés</w:t>
      </w:r>
      <w:r w:rsidR="009739D0" w:rsidRPr="00493C6A">
        <w:rPr>
          <w:rFonts w:ascii="Arial" w:hAnsi="Arial" w:cs="Arial"/>
          <w:color w:val="323E4F" w:themeColor="text2" w:themeShade="BF"/>
          <w:szCs w:val="22"/>
        </w:rPr>
        <w:t xml:space="preserve"> este Órgano Garante dictó la resolución correspondiente en la cual se determinó</w:t>
      </w:r>
      <w:r w:rsidR="00396F72" w:rsidRPr="00493C6A">
        <w:rPr>
          <w:rFonts w:ascii="Arial" w:hAnsi="Arial" w:cs="Arial"/>
          <w:color w:val="323E4F" w:themeColor="text2" w:themeShade="BF"/>
          <w:szCs w:val="22"/>
        </w:rPr>
        <w:t xml:space="preserve"> </w:t>
      </w:r>
      <w:r w:rsidR="00C37928" w:rsidRPr="00493C6A">
        <w:rPr>
          <w:rFonts w:ascii="Arial" w:hAnsi="Arial" w:cs="Arial"/>
          <w:b/>
          <w:color w:val="323E4F" w:themeColor="text2" w:themeShade="BF"/>
          <w:szCs w:val="22"/>
        </w:rPr>
        <w:t>aplicar el Principio de Afirmativa Ficta</w:t>
      </w:r>
      <w:r w:rsidR="00C37928" w:rsidRPr="00493C6A">
        <w:rPr>
          <w:rFonts w:ascii="Arial" w:hAnsi="Arial" w:cs="Arial"/>
          <w:color w:val="323E4F" w:themeColor="text2" w:themeShade="BF"/>
          <w:sz w:val="28"/>
        </w:rPr>
        <w:t xml:space="preserve">, conminándolo a lo establecido en la foja 22 veintidós de la presente resolución. </w:t>
      </w:r>
    </w:p>
    <w:p w14:paraId="513E1557" w14:textId="77777777" w:rsidR="00955C31" w:rsidRPr="00493C6A" w:rsidRDefault="00955C31" w:rsidP="00192A3A">
      <w:pPr>
        <w:ind w:left="1134" w:right="1183"/>
        <w:jc w:val="both"/>
        <w:rPr>
          <w:rFonts w:ascii="Arial" w:eastAsiaTheme="minorHAnsi" w:hAnsi="Arial" w:cs="Arial"/>
          <w:i/>
          <w:color w:val="222A35" w:themeColor="text2" w:themeShade="80"/>
          <w:sz w:val="20"/>
          <w:lang w:eastAsia="en-US"/>
        </w:rPr>
      </w:pPr>
    </w:p>
    <w:p w14:paraId="26D47C1C" w14:textId="583CBE99" w:rsidR="00DC1F71" w:rsidRPr="00493C6A" w:rsidRDefault="00DC1F71" w:rsidP="00DC1F71">
      <w:pPr>
        <w:spacing w:line="360" w:lineRule="auto"/>
        <w:jc w:val="center"/>
        <w:rPr>
          <w:rFonts w:ascii="Arial" w:hAnsi="Arial" w:cs="Arial"/>
          <w:b/>
          <w:color w:val="323E4F" w:themeColor="text2" w:themeShade="BF"/>
          <w:szCs w:val="22"/>
          <w:lang w:eastAsia="es-MX"/>
        </w:rPr>
      </w:pPr>
      <w:r w:rsidRPr="00493C6A">
        <w:rPr>
          <w:rFonts w:ascii="Arial" w:hAnsi="Arial" w:cs="Arial"/>
          <w:b/>
          <w:color w:val="323E4F" w:themeColor="text2" w:themeShade="BF"/>
          <w:szCs w:val="22"/>
          <w:lang w:eastAsia="es-MX"/>
        </w:rPr>
        <w:t>CONSIDERANDOS</w:t>
      </w:r>
    </w:p>
    <w:p w14:paraId="40A9F40C" w14:textId="5B215ECC" w:rsidR="00DC1F71" w:rsidRPr="00493C6A" w:rsidRDefault="00DC1F71" w:rsidP="00DC1F71">
      <w:pPr>
        <w:spacing w:line="360" w:lineRule="auto"/>
        <w:ind w:firstLine="708"/>
        <w:jc w:val="both"/>
        <w:rPr>
          <w:rFonts w:ascii="Arial" w:hAnsi="Arial" w:cs="Arial"/>
          <w:color w:val="323E4F" w:themeColor="text2" w:themeShade="BF"/>
          <w:szCs w:val="22"/>
        </w:rPr>
      </w:pPr>
      <w:r w:rsidRPr="00493C6A">
        <w:rPr>
          <w:rFonts w:ascii="Arial" w:hAnsi="Arial" w:cs="Arial"/>
          <w:b/>
          <w:color w:val="323E4F" w:themeColor="text2" w:themeShade="BF"/>
          <w:szCs w:val="22"/>
          <w:lang w:eastAsia="es-MX"/>
        </w:rPr>
        <w:t xml:space="preserve">PRIMERO. </w:t>
      </w:r>
      <w:r w:rsidRPr="00493C6A">
        <w:rPr>
          <w:rFonts w:ascii="Arial" w:hAnsi="Arial" w:cs="Arial"/>
          <w:color w:val="323E4F" w:themeColor="text2" w:themeShade="BF"/>
          <w:szCs w:val="22"/>
        </w:rPr>
        <w:t>La Comisionada Ponente es competente dictar el presente proveído, con fundamento en los artículos 34, fracciones I y II, 35 fracciones I y VIII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w:t>
      </w:r>
    </w:p>
    <w:p w14:paraId="7FC33433" w14:textId="77777777" w:rsidR="00D903A6" w:rsidRPr="00493C6A" w:rsidRDefault="00D903A6" w:rsidP="00D903A6">
      <w:pPr>
        <w:spacing w:line="360" w:lineRule="auto"/>
        <w:ind w:firstLine="708"/>
        <w:jc w:val="both"/>
        <w:rPr>
          <w:rFonts w:ascii="Arial" w:hAnsi="Arial" w:cs="Arial"/>
        </w:rPr>
      </w:pPr>
    </w:p>
    <w:p w14:paraId="3E328BC0" w14:textId="34280E8E" w:rsidR="00D903A6" w:rsidRPr="00493C6A" w:rsidRDefault="00D903A6" w:rsidP="00D903A6">
      <w:pPr>
        <w:spacing w:line="360" w:lineRule="auto"/>
        <w:ind w:firstLine="708"/>
        <w:jc w:val="both"/>
        <w:rPr>
          <w:rFonts w:ascii="Arial" w:hAnsi="Arial" w:cs="Arial"/>
          <w:color w:val="323E4F" w:themeColor="text2" w:themeShade="BF"/>
        </w:rPr>
      </w:pPr>
      <w:r w:rsidRPr="00493C6A">
        <w:rPr>
          <w:rFonts w:ascii="Arial" w:hAnsi="Arial" w:cs="Arial"/>
          <w:color w:val="323E4F" w:themeColor="text2" w:themeShade="BF"/>
        </w:rPr>
        <w:t xml:space="preserve">La suscrita es competente para dictar el presente Acuerdo, de conformidad con lo establecido en los artículos 27 y </w:t>
      </w:r>
      <w:r w:rsidRPr="00493C6A">
        <w:rPr>
          <w:rFonts w:ascii="Arial" w:hAnsi="Arial" w:cs="Arial"/>
          <w:color w:val="323E4F" w:themeColor="text2" w:themeShade="BF"/>
          <w:shd w:val="clear" w:color="auto" w:fill="FFFFFF"/>
        </w:rPr>
        <w:t xml:space="preserve">34 fracción I y II de la Ley de Transparencia y Acceso a la Información Pública del Estado de San Luis Potosí; así como los artículos 2°, 5º, </w:t>
      </w:r>
      <w:r w:rsidRPr="00493C6A">
        <w:rPr>
          <w:rFonts w:ascii="Arial" w:hAnsi="Arial" w:cs="Arial"/>
          <w:color w:val="323E4F" w:themeColor="text2" w:themeShade="BF"/>
        </w:rPr>
        <w:t xml:space="preserve">8º fracción II y </w:t>
      </w:r>
      <w:r w:rsidRPr="00493C6A">
        <w:rPr>
          <w:rFonts w:ascii="Arial" w:eastAsia="Calibri" w:hAnsi="Arial" w:cs="Arial"/>
          <w:color w:val="323E4F" w:themeColor="text2" w:themeShade="BF"/>
        </w:rPr>
        <w:t xml:space="preserve">51 fracción VII del Reglamento Interno de la Comisión Estatal de Garantía de Acceso a la Información Pública, en correlación con el Acuerdo CEGAIP-738/2023, emitido por el Pleno de este Órgano Garante el 03 tres de octubre de 2023 dos mil veintitrés y publicado en el Periódico Oficial del Estado el 01 primero de noviembre del mismo año.  </w:t>
      </w:r>
    </w:p>
    <w:p w14:paraId="53043AD6" w14:textId="77777777" w:rsidR="00DC1F71" w:rsidRPr="00493C6A" w:rsidRDefault="00DC1F71" w:rsidP="00DC1F71">
      <w:pPr>
        <w:spacing w:line="360" w:lineRule="auto"/>
        <w:jc w:val="both"/>
        <w:rPr>
          <w:rFonts w:ascii="Arial" w:hAnsi="Arial" w:cs="Arial"/>
          <w:color w:val="323E4F" w:themeColor="text2" w:themeShade="BF"/>
          <w:szCs w:val="22"/>
        </w:rPr>
      </w:pPr>
    </w:p>
    <w:p w14:paraId="645212B6" w14:textId="77777777" w:rsidR="00DC1F71" w:rsidRPr="00493C6A" w:rsidRDefault="00DC1F71" w:rsidP="00DC1F71">
      <w:pPr>
        <w:spacing w:line="360" w:lineRule="auto"/>
        <w:ind w:firstLine="708"/>
        <w:jc w:val="both"/>
        <w:rPr>
          <w:rFonts w:ascii="Arial" w:hAnsi="Arial" w:cs="Arial"/>
          <w:color w:val="323E4F" w:themeColor="text2" w:themeShade="BF"/>
          <w:szCs w:val="22"/>
          <w:lang w:eastAsia="es-MX"/>
        </w:rPr>
      </w:pPr>
      <w:r w:rsidRPr="00493C6A">
        <w:rPr>
          <w:rFonts w:ascii="Arial" w:hAnsi="Arial" w:cs="Arial"/>
          <w:b/>
          <w:color w:val="323E4F" w:themeColor="text2" w:themeShade="BF"/>
          <w:szCs w:val="22"/>
          <w:lang w:eastAsia="es-MX"/>
        </w:rPr>
        <w:t>SEGUNDO.</w:t>
      </w:r>
      <w:r w:rsidRPr="00493C6A">
        <w:rPr>
          <w:rFonts w:ascii="Arial" w:hAnsi="Arial" w:cs="Arial"/>
          <w:color w:val="323E4F" w:themeColor="text2" w:themeShade="BF"/>
          <w:szCs w:val="22"/>
          <w:lang w:eastAsia="es-MX"/>
        </w:rPr>
        <w:t xml:space="preserve"> </w:t>
      </w:r>
      <w:r w:rsidRPr="00493C6A">
        <w:rPr>
          <w:rFonts w:ascii="Arial" w:eastAsia="Arial" w:hAnsi="Arial" w:cs="Arial"/>
          <w:color w:val="323E4F" w:themeColor="text2" w:themeShade="BF"/>
          <w:spacing w:val="1"/>
          <w:szCs w:val="22"/>
          <w:lang w:val="es-ES"/>
        </w:rPr>
        <w:t>Una vez precisados los Antecedentes, con fundamento en lo establecido en el artículo 185 de la Ley de Transparencia y Acceso a la Información Pública del Estado, esta Comisión entrará al estudio de las constancias aportadas por el Sujeto Obligado, en cumplimiento a la resolución de mérito:</w:t>
      </w:r>
    </w:p>
    <w:p w14:paraId="3BA4AA55" w14:textId="77777777" w:rsidR="00DC1F71" w:rsidRPr="00493C6A" w:rsidRDefault="00DC1F71" w:rsidP="00DC1F71">
      <w:pPr>
        <w:pStyle w:val="Textoindependienteprimerasangra"/>
        <w:spacing w:before="100" w:beforeAutospacing="1" w:after="100" w:afterAutospacing="1"/>
        <w:ind w:firstLine="708"/>
        <w:rPr>
          <w:rFonts w:ascii="Arial" w:hAnsi="Arial" w:cs="Arial"/>
          <w:color w:val="323E4F" w:themeColor="text2" w:themeShade="BF"/>
          <w:sz w:val="24"/>
          <w:szCs w:val="22"/>
        </w:rPr>
      </w:pPr>
      <w:r w:rsidRPr="00493C6A">
        <w:rPr>
          <w:rFonts w:ascii="Arial" w:hAnsi="Arial" w:cs="Arial"/>
          <w:color w:val="323E4F" w:themeColor="text2" w:themeShade="BF"/>
          <w:sz w:val="24"/>
          <w:szCs w:val="22"/>
        </w:rPr>
        <w:t xml:space="preserve">Es menester señalar que, del análisis de los motivos de inconformidad, se desprende que el recurrente no presenta queja en virtud de la información que le fue notificada y entregada al medio señalado para tal efecto, por lo que se colige que se muestra conforme con el contenido de la respuesta sus demás extremos al no inconformarse al respecto. Sirve de apoyo la Tesis de VI.3o.C. J/60, Seminario Judicial de la Federación y su Gaceta, Novena Época, t. XXII, diciembre de 2005, p. 2365, cuyo rubro y texto señalan: </w:t>
      </w:r>
    </w:p>
    <w:p w14:paraId="37274D08" w14:textId="316AD915" w:rsidR="00DC1F71" w:rsidRPr="00493C6A" w:rsidRDefault="00DC1F71" w:rsidP="00DC1F71">
      <w:pPr>
        <w:spacing w:after="240"/>
        <w:ind w:left="1134" w:right="1183"/>
        <w:jc w:val="both"/>
        <w:rPr>
          <w:rFonts w:ascii="Arial" w:hAnsi="Arial" w:cs="Arial"/>
          <w:color w:val="323E4F" w:themeColor="text2" w:themeShade="BF"/>
          <w:sz w:val="22"/>
          <w:szCs w:val="22"/>
        </w:rPr>
      </w:pPr>
      <w:r w:rsidRPr="00493C6A">
        <w:rPr>
          <w:rFonts w:ascii="Arial" w:hAnsi="Arial" w:cs="Arial"/>
          <w:b/>
          <w:color w:val="323E4F" w:themeColor="text2" w:themeShade="BF"/>
          <w:sz w:val="22"/>
          <w:szCs w:val="22"/>
        </w:rPr>
        <w:t>ACTOS CONSENTIDOS. SON LOS QUE NO SE IMPUGNAN MEDIANTE EL RECURSO IDÓNEO.</w:t>
      </w:r>
      <w:r w:rsidRPr="00493C6A">
        <w:rPr>
          <w:rFonts w:ascii="Arial" w:hAnsi="Arial" w:cs="Arial"/>
          <w:color w:val="323E4F" w:themeColor="text2" w:themeShade="BF"/>
          <w:sz w:val="22"/>
          <w:szCs w:val="22"/>
        </w:rPr>
        <w:t xml:space="preserve"> Debe reputarse como consentido el acto que no se impugnó por el medio establecido por la ley, </w:t>
      </w:r>
      <w:r w:rsidR="00FA7782" w:rsidRPr="00493C6A">
        <w:rPr>
          <w:rFonts w:ascii="Arial" w:hAnsi="Arial" w:cs="Arial"/>
          <w:color w:val="323E4F" w:themeColor="text2" w:themeShade="BF"/>
          <w:sz w:val="22"/>
          <w:szCs w:val="22"/>
        </w:rPr>
        <w:t>ya que,</w:t>
      </w:r>
      <w:r w:rsidRPr="00493C6A">
        <w:rPr>
          <w:rFonts w:ascii="Arial" w:hAnsi="Arial" w:cs="Arial"/>
          <w:color w:val="323E4F" w:themeColor="text2" w:themeShade="BF"/>
          <w:sz w:val="22"/>
          <w:szCs w:val="22"/>
        </w:rPr>
        <w:t xml:space="preserv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 </w:t>
      </w:r>
    </w:p>
    <w:p w14:paraId="79C2F0B0" w14:textId="77777777" w:rsidR="00DC1F71" w:rsidRPr="00493C6A" w:rsidRDefault="00DC1F71" w:rsidP="00DC1F71">
      <w:pPr>
        <w:spacing w:line="360" w:lineRule="auto"/>
        <w:ind w:firstLine="708"/>
        <w:jc w:val="both"/>
        <w:rPr>
          <w:rFonts w:ascii="Arial" w:hAnsi="Arial" w:cs="Arial"/>
          <w:color w:val="323E4F" w:themeColor="text2" w:themeShade="BF"/>
          <w:szCs w:val="22"/>
        </w:rPr>
      </w:pPr>
      <w:r w:rsidRPr="00493C6A">
        <w:rPr>
          <w:rFonts w:ascii="Arial" w:hAnsi="Arial" w:cs="Arial"/>
          <w:color w:val="323E4F" w:themeColor="text2" w:themeShade="BF"/>
          <w:szCs w:val="22"/>
        </w:rPr>
        <w:t xml:space="preserve">La manifestación de conformidad representa que se le puso a disposición la información que solicitó, por conducto del área administrativa que posee la documentación que corresponde a su petición; sirve para robustecer lo anterior el criterio 01/2020 emitido por el Instituto Nacional de Transparencia y Acceso a la Información y Protección de Datos Personales (INAI), que señala: </w:t>
      </w:r>
    </w:p>
    <w:p w14:paraId="46988666" w14:textId="77777777" w:rsidR="00DC1F71" w:rsidRPr="00C65EEA" w:rsidRDefault="00DC1F71" w:rsidP="00DC1F71">
      <w:pPr>
        <w:rPr>
          <w:rFonts w:ascii="Arial" w:hAnsi="Arial" w:cs="Arial"/>
          <w:color w:val="323E4F" w:themeColor="text2" w:themeShade="BF"/>
          <w:sz w:val="22"/>
          <w:szCs w:val="22"/>
        </w:rPr>
      </w:pPr>
    </w:p>
    <w:p w14:paraId="6468D7A3" w14:textId="77777777" w:rsidR="00DC1F71" w:rsidRPr="00493C6A" w:rsidRDefault="00DC1F71" w:rsidP="00DC1F71">
      <w:pPr>
        <w:ind w:left="1134" w:right="1185"/>
        <w:jc w:val="both"/>
        <w:rPr>
          <w:rFonts w:ascii="Arial" w:hAnsi="Arial" w:cs="Arial"/>
          <w:color w:val="323E4F" w:themeColor="text2" w:themeShade="BF"/>
          <w:sz w:val="22"/>
          <w:szCs w:val="22"/>
        </w:rPr>
      </w:pPr>
      <w:r w:rsidRPr="00493C6A">
        <w:rPr>
          <w:rFonts w:ascii="Arial" w:hAnsi="Arial" w:cs="Arial"/>
          <w:b/>
          <w:bCs/>
          <w:color w:val="323E4F" w:themeColor="text2" w:themeShade="BF"/>
          <w:sz w:val="22"/>
          <w:szCs w:val="22"/>
        </w:rPr>
        <w:t>Actos consentidos tácitamente.  Improcedencia de su análisis.</w:t>
      </w:r>
      <w:r w:rsidRPr="00493C6A">
        <w:rPr>
          <w:rFonts w:ascii="Arial" w:hAnsi="Arial" w:cs="Arial"/>
          <w:color w:val="323E4F" w:themeColor="text2" w:themeShade="BF"/>
          <w:sz w:val="22"/>
          <w:szCs w:val="22"/>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p>
    <w:p w14:paraId="2525673A" w14:textId="77777777" w:rsidR="00DC1F71" w:rsidRPr="00493C6A" w:rsidRDefault="00DC1F71" w:rsidP="00DC1F71">
      <w:pPr>
        <w:rPr>
          <w:rFonts w:ascii="Arial" w:hAnsi="Arial" w:cs="Arial"/>
          <w:color w:val="323E4F" w:themeColor="text2" w:themeShade="BF"/>
          <w:sz w:val="22"/>
          <w:szCs w:val="22"/>
        </w:rPr>
      </w:pPr>
    </w:p>
    <w:p w14:paraId="26F5DBD6" w14:textId="6057EAB2" w:rsidR="00DC1F71" w:rsidRPr="00493C6A" w:rsidRDefault="00DC1F71" w:rsidP="00DC1F71">
      <w:pPr>
        <w:spacing w:after="240" w:line="360" w:lineRule="auto"/>
        <w:ind w:firstLine="708"/>
        <w:jc w:val="both"/>
        <w:rPr>
          <w:rFonts w:ascii="Arial" w:hAnsi="Arial" w:cs="Arial"/>
          <w:color w:val="323E4F" w:themeColor="text2" w:themeShade="BF"/>
          <w:szCs w:val="22"/>
          <w:lang w:eastAsia="es-MX"/>
        </w:rPr>
      </w:pPr>
      <w:r w:rsidRPr="00493C6A">
        <w:rPr>
          <w:rFonts w:ascii="Arial" w:hAnsi="Arial" w:cs="Arial"/>
          <w:color w:val="323E4F" w:themeColor="text2" w:themeShade="BF"/>
          <w:szCs w:val="22"/>
        </w:rPr>
        <w:t xml:space="preserve">Por lo anterior, a fin de comprender la respuesta que el Sujeto Obligado emitió para efecto de subsanar la anotada omisión que se generó en la respuesta otorgada, es menester señalar que </w:t>
      </w:r>
      <w:r w:rsidR="00192A3A" w:rsidRPr="00493C6A">
        <w:rPr>
          <w:rFonts w:ascii="Arial" w:hAnsi="Arial" w:cs="Arial"/>
          <w:color w:val="323E4F" w:themeColor="text2" w:themeShade="BF"/>
          <w:szCs w:val="22"/>
        </w:rPr>
        <w:t xml:space="preserve">la Titular </w:t>
      </w:r>
      <w:r w:rsidR="00043054" w:rsidRPr="00493C6A">
        <w:rPr>
          <w:rFonts w:ascii="Arial" w:hAnsi="Arial" w:cs="Arial"/>
          <w:color w:val="323E4F" w:themeColor="text2" w:themeShade="BF"/>
          <w:szCs w:val="22"/>
        </w:rPr>
        <w:t xml:space="preserve">de la Unidad de Transparencia </w:t>
      </w:r>
      <w:r w:rsidR="007D0F23" w:rsidRPr="00493C6A">
        <w:rPr>
          <w:rFonts w:ascii="Arial" w:hAnsi="Arial" w:cs="Arial"/>
          <w:color w:val="323E4F" w:themeColor="text2" w:themeShade="BF"/>
          <w:szCs w:val="22"/>
        </w:rPr>
        <w:t>de</w:t>
      </w:r>
      <w:r w:rsidR="006B29F2" w:rsidRPr="00493C6A">
        <w:rPr>
          <w:rFonts w:ascii="Arial" w:hAnsi="Arial" w:cs="Arial"/>
          <w:color w:val="323E4F" w:themeColor="text2" w:themeShade="BF"/>
          <w:szCs w:val="22"/>
        </w:rPr>
        <w:t xml:space="preserve">l </w:t>
      </w:r>
      <w:r w:rsidR="00743FDA" w:rsidRPr="00493C6A">
        <w:rPr>
          <w:rFonts w:ascii="Arial" w:hAnsi="Arial" w:cs="Arial"/>
          <w:color w:val="323E4F" w:themeColor="text2" w:themeShade="BF"/>
          <w:szCs w:val="22"/>
        </w:rPr>
        <w:t xml:space="preserve">Ayuntamiento de </w:t>
      </w:r>
      <w:proofErr w:type="spellStart"/>
      <w:r w:rsidR="00743FDA" w:rsidRPr="00493C6A">
        <w:rPr>
          <w:rFonts w:ascii="Arial" w:hAnsi="Arial" w:cs="Arial"/>
          <w:color w:val="323E4F" w:themeColor="text2" w:themeShade="BF"/>
          <w:szCs w:val="22"/>
        </w:rPr>
        <w:t>Mex</w:t>
      </w:r>
      <w:r w:rsidR="006F5B3D" w:rsidRPr="00493C6A">
        <w:rPr>
          <w:rFonts w:ascii="Arial" w:hAnsi="Arial" w:cs="Arial"/>
          <w:color w:val="323E4F" w:themeColor="text2" w:themeShade="BF"/>
          <w:szCs w:val="22"/>
        </w:rPr>
        <w:t>quitic</w:t>
      </w:r>
      <w:proofErr w:type="spellEnd"/>
      <w:r w:rsidR="006F5B3D" w:rsidRPr="00493C6A">
        <w:rPr>
          <w:rFonts w:ascii="Arial" w:hAnsi="Arial" w:cs="Arial"/>
          <w:color w:val="323E4F" w:themeColor="text2" w:themeShade="BF"/>
          <w:szCs w:val="22"/>
        </w:rPr>
        <w:t xml:space="preserve"> de Carmona</w:t>
      </w:r>
      <w:r w:rsidR="007D0F23" w:rsidRPr="00493C6A">
        <w:rPr>
          <w:rFonts w:ascii="Arial" w:hAnsi="Arial" w:cs="Arial"/>
          <w:color w:val="323E4F" w:themeColor="text2" w:themeShade="BF"/>
          <w:szCs w:val="22"/>
        </w:rPr>
        <w:t xml:space="preserve"> </w:t>
      </w:r>
      <w:r w:rsidR="00FA7782" w:rsidRPr="00493C6A">
        <w:rPr>
          <w:rFonts w:ascii="Arial" w:hAnsi="Arial" w:cs="Arial"/>
          <w:color w:val="323E4F" w:themeColor="text2" w:themeShade="BF"/>
          <w:szCs w:val="22"/>
        </w:rPr>
        <w:t>aduce</w:t>
      </w:r>
      <w:r w:rsidRPr="00493C6A">
        <w:rPr>
          <w:rFonts w:ascii="Arial" w:hAnsi="Arial" w:cs="Arial"/>
          <w:color w:val="323E4F" w:themeColor="text2" w:themeShade="BF"/>
          <w:szCs w:val="22"/>
          <w:lang w:eastAsia="es-MX"/>
        </w:rPr>
        <w:t xml:space="preserve"> haber hecho las gestiones, a fin de dar cumplimiento al fallo de mérito, de conformidad con lo estipulado por el artículo 153 de la Ley de Transparencia y Acceso a la Información Pública en el Estado. </w:t>
      </w:r>
    </w:p>
    <w:p w14:paraId="0DCB1946" w14:textId="77777777" w:rsidR="007A3A8F" w:rsidRPr="00493C6A" w:rsidRDefault="00DC1F71" w:rsidP="007A3A8F">
      <w:pPr>
        <w:spacing w:after="240" w:line="360" w:lineRule="auto"/>
        <w:ind w:firstLine="708"/>
        <w:jc w:val="both"/>
        <w:rPr>
          <w:rFonts w:ascii="Arial" w:hAnsi="Arial" w:cs="Arial"/>
          <w:color w:val="323E4F" w:themeColor="text2" w:themeShade="BF"/>
          <w:szCs w:val="22"/>
        </w:rPr>
      </w:pPr>
      <w:r w:rsidRPr="00493C6A">
        <w:rPr>
          <w:rFonts w:ascii="Arial" w:hAnsi="Arial" w:cs="Arial"/>
          <w:color w:val="323E4F" w:themeColor="text2" w:themeShade="BF"/>
          <w:szCs w:val="22"/>
        </w:rPr>
        <w:t>En este sentido, se estima que la respuesta otorgada por el sujeto obligado atiende los efectos señalados en la determinación adoptada por el Pleno de esta comisión, ello así en virtud de que se atienden los puntos form</w:t>
      </w:r>
      <w:r w:rsidR="007A3A8F" w:rsidRPr="00493C6A">
        <w:rPr>
          <w:rFonts w:ascii="Arial" w:hAnsi="Arial" w:cs="Arial"/>
          <w:color w:val="323E4F" w:themeColor="text2" w:themeShade="BF"/>
          <w:szCs w:val="22"/>
        </w:rPr>
        <w:t>ulados en la referida solicitud.</w:t>
      </w:r>
    </w:p>
    <w:p w14:paraId="219EB3DE" w14:textId="015AA726" w:rsidR="00DC1F71" w:rsidRPr="00493C6A" w:rsidRDefault="00DC1F71" w:rsidP="007A3A8F">
      <w:pPr>
        <w:spacing w:after="240" w:line="360" w:lineRule="auto"/>
        <w:ind w:firstLine="708"/>
        <w:jc w:val="both"/>
        <w:rPr>
          <w:rFonts w:ascii="Arial" w:hAnsi="Arial" w:cs="Arial"/>
          <w:color w:val="323E4F" w:themeColor="text2" w:themeShade="BF"/>
          <w:szCs w:val="22"/>
          <w:lang w:val="es-ES"/>
        </w:rPr>
      </w:pPr>
      <w:r w:rsidRPr="00493C6A">
        <w:rPr>
          <w:rFonts w:ascii="Arial" w:hAnsi="Arial" w:cs="Arial"/>
          <w:color w:val="323E4F" w:themeColor="text2" w:themeShade="BF"/>
          <w:szCs w:val="22"/>
          <w:lang w:val="es-ES"/>
        </w:rPr>
        <w:t xml:space="preserve">Por otra parte, es necesario precisar que la notificación que acredita la autoridad es de naturaleza electrónica,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60670A96" w14:textId="77777777" w:rsidR="00DC1F71" w:rsidRPr="00493C6A" w:rsidRDefault="00DC1F71" w:rsidP="00DC1F71">
      <w:pPr>
        <w:spacing w:line="360" w:lineRule="auto"/>
        <w:ind w:firstLine="708"/>
        <w:jc w:val="both"/>
        <w:rPr>
          <w:rFonts w:ascii="Arial" w:hAnsi="Arial" w:cs="Arial"/>
          <w:color w:val="323E4F" w:themeColor="text2" w:themeShade="BF"/>
          <w:szCs w:val="22"/>
          <w:lang w:val="es-ES"/>
        </w:rPr>
      </w:pPr>
      <w:r w:rsidRPr="00493C6A">
        <w:rPr>
          <w:rFonts w:ascii="Arial" w:hAnsi="Arial" w:cs="Arial"/>
          <w:color w:val="323E4F" w:themeColor="text2" w:themeShade="BF"/>
          <w:szCs w:val="22"/>
          <w:lang w:val="es-ES"/>
        </w:rPr>
        <w:t>En ese sentido, el Tribunal Colegiado en Materias de Trabajo y Administrativa del Décimo Tercer Circuito, emitió un criterio relacionado con la cuestión que nos ocupa, mismo que se identifica con el número XIII.T.A.3 A (10a.), y que establece:</w:t>
      </w:r>
    </w:p>
    <w:p w14:paraId="6C0E0C82" w14:textId="77777777" w:rsidR="00DC1F71" w:rsidRPr="00C65EEA" w:rsidRDefault="00DC1F71" w:rsidP="00DC1F71">
      <w:pPr>
        <w:spacing w:line="360" w:lineRule="auto"/>
        <w:jc w:val="both"/>
        <w:rPr>
          <w:rFonts w:ascii="Arial" w:hAnsi="Arial" w:cs="Arial"/>
          <w:color w:val="323E4F" w:themeColor="text2" w:themeShade="BF"/>
          <w:sz w:val="22"/>
          <w:szCs w:val="22"/>
          <w:lang w:val="es-ES"/>
        </w:rPr>
      </w:pPr>
    </w:p>
    <w:p w14:paraId="7202C644" w14:textId="77777777" w:rsidR="00DC1F71" w:rsidRPr="00493C6A" w:rsidRDefault="00DC1F71" w:rsidP="00DC1F71">
      <w:pPr>
        <w:ind w:left="1134" w:right="1072"/>
        <w:jc w:val="both"/>
        <w:rPr>
          <w:rFonts w:ascii="Arial" w:hAnsi="Arial" w:cs="Arial"/>
          <w:color w:val="323E4F" w:themeColor="text2" w:themeShade="BF"/>
          <w:sz w:val="22"/>
          <w:szCs w:val="22"/>
          <w:lang w:val="es-ES"/>
        </w:rPr>
      </w:pPr>
      <w:r w:rsidRPr="00493C6A">
        <w:rPr>
          <w:rFonts w:ascii="Arial" w:hAnsi="Arial" w:cs="Arial"/>
          <w:b/>
          <w:bCs/>
          <w:color w:val="323E4F" w:themeColor="text2" w:themeShade="BF"/>
          <w:sz w:val="22"/>
          <w:szCs w:val="22"/>
          <w:lang w:val="es-ES"/>
        </w:rPr>
        <w:t xml:space="preserve">“NOTIFICACIÓN ELECTRÓNICA. AL PRACTICARLA, LA AUTORIDAD DEBE ANEXAR EN AUTOS DEL EXPEDIENTE ADMINISTRATIVO O JUDICIAL DEL QUE DERIVE, LA CONSTANCIA FEHACIENTE DE RECEPCIÓN POR SU DESTINATARIO. </w:t>
      </w:r>
      <w:r w:rsidRPr="00493C6A">
        <w:rPr>
          <w:rFonts w:ascii="Arial" w:hAnsi="Arial" w:cs="Arial"/>
          <w:color w:val="323E4F" w:themeColor="text2" w:themeShade="BF"/>
          <w:sz w:val="22"/>
          <w:szCs w:val="22"/>
          <w:lang w:val="es-ES"/>
        </w:rPr>
        <w:t>La </w:t>
      </w:r>
      <w:r w:rsidRPr="00493C6A">
        <w:rPr>
          <w:rFonts w:ascii="Arial" w:hAnsi="Arial" w:cs="Arial"/>
          <w:bCs/>
          <w:color w:val="323E4F" w:themeColor="text2" w:themeShade="BF"/>
          <w:sz w:val="22"/>
          <w:szCs w:val="22"/>
          <w:lang w:val="es-ES"/>
        </w:rPr>
        <w:t>notificación</w:t>
      </w:r>
      <w:r w:rsidRPr="00493C6A">
        <w:rPr>
          <w:rFonts w:ascii="Arial" w:hAnsi="Arial" w:cs="Arial"/>
          <w:color w:val="323E4F" w:themeColor="text2" w:themeShade="BF"/>
          <w:sz w:val="22"/>
          <w:szCs w:val="22"/>
          <w:lang w:val="es-ES"/>
        </w:rPr>
        <w:t> </w:t>
      </w:r>
      <w:r w:rsidRPr="00493C6A">
        <w:rPr>
          <w:rFonts w:ascii="Arial" w:hAnsi="Arial" w:cs="Arial"/>
          <w:bCs/>
          <w:color w:val="323E4F" w:themeColor="text2" w:themeShade="BF"/>
          <w:sz w:val="22"/>
          <w:szCs w:val="22"/>
          <w:lang w:val="es-ES"/>
        </w:rPr>
        <w:t>electrónica</w:t>
      </w:r>
      <w:r w:rsidRPr="00493C6A">
        <w:rPr>
          <w:rFonts w:ascii="Arial" w:hAnsi="Arial" w:cs="Arial"/>
          <w:color w:val="323E4F" w:themeColor="text2" w:themeShade="BF"/>
          <w:sz w:val="22"/>
          <w:szCs w:val="22"/>
          <w:lang w:val="es-ES"/>
        </w:rPr>
        <w:t>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en la </w:t>
      </w:r>
      <w:hyperlink r:id="rId8" w:history="1">
        <w:r w:rsidRPr="00493C6A">
          <w:rPr>
            <w:rStyle w:val="Hipervnculo"/>
            <w:color w:val="323E4F" w:themeColor="text2" w:themeShade="BF"/>
            <w:sz w:val="22"/>
            <w:szCs w:val="22"/>
            <w:lang w:val="es-ES"/>
          </w:rPr>
          <w:t>fracción I del artículo 172 de la Ley de Amparo</w:t>
        </w:r>
      </w:hyperlink>
      <w:r w:rsidRPr="00493C6A">
        <w:rPr>
          <w:rFonts w:ascii="Arial" w:hAnsi="Arial" w:cs="Arial"/>
          <w:color w:val="323E4F" w:themeColor="text2" w:themeShade="BF"/>
          <w:sz w:val="22"/>
          <w:szCs w:val="22"/>
          <w:lang w:val="es-ES"/>
        </w:rPr>
        <w:t>, vigente a partir del 3 de abril de 2013”.</w:t>
      </w:r>
    </w:p>
    <w:p w14:paraId="6F7D2665" w14:textId="77777777" w:rsidR="00DC1F71" w:rsidRPr="00493C6A" w:rsidRDefault="00DC1F71" w:rsidP="00DC1F71">
      <w:pPr>
        <w:spacing w:line="360" w:lineRule="auto"/>
        <w:ind w:firstLine="708"/>
        <w:jc w:val="both"/>
        <w:rPr>
          <w:rFonts w:ascii="Arial" w:hAnsi="Arial" w:cs="Arial"/>
          <w:color w:val="323E4F" w:themeColor="text2" w:themeShade="BF"/>
          <w:sz w:val="22"/>
          <w:szCs w:val="22"/>
          <w:lang w:val="es-ES"/>
        </w:rPr>
      </w:pPr>
    </w:p>
    <w:p w14:paraId="2F36EF19" w14:textId="3E9F1E1E" w:rsidR="00DC1F71" w:rsidRPr="00493C6A" w:rsidRDefault="00DC1F71" w:rsidP="00DC1F71">
      <w:pPr>
        <w:spacing w:line="360" w:lineRule="auto"/>
        <w:ind w:firstLine="708"/>
        <w:jc w:val="both"/>
        <w:rPr>
          <w:rFonts w:ascii="Arial" w:hAnsi="Arial" w:cs="Arial"/>
          <w:color w:val="323E4F" w:themeColor="text2" w:themeShade="BF"/>
          <w:szCs w:val="22"/>
          <w:lang w:val="es-ES"/>
        </w:rPr>
      </w:pPr>
      <w:r w:rsidRPr="00493C6A">
        <w:rPr>
          <w:rFonts w:ascii="Arial" w:hAnsi="Arial" w:cs="Arial"/>
          <w:color w:val="323E4F" w:themeColor="text2" w:themeShade="BF"/>
          <w:szCs w:val="22"/>
          <w:lang w:val="es-ES"/>
        </w:rPr>
        <w:t>En razón de la tesis invocada y del análisis de las constancias que acompañó el sujeto obligado, se pued</w:t>
      </w:r>
      <w:r w:rsidR="00CA3E68" w:rsidRPr="00493C6A">
        <w:rPr>
          <w:rFonts w:ascii="Arial" w:hAnsi="Arial" w:cs="Arial"/>
          <w:color w:val="323E4F" w:themeColor="text2" w:themeShade="BF"/>
          <w:szCs w:val="22"/>
          <w:lang w:val="es-ES"/>
        </w:rPr>
        <w:t>e verificar a</w:t>
      </w:r>
      <w:r w:rsidR="00364D66" w:rsidRPr="00493C6A">
        <w:rPr>
          <w:rFonts w:ascii="Arial" w:hAnsi="Arial" w:cs="Arial"/>
          <w:color w:val="323E4F" w:themeColor="text2" w:themeShade="BF"/>
          <w:szCs w:val="22"/>
          <w:lang w:val="es-ES"/>
        </w:rPr>
        <w:t xml:space="preserve"> foja</w:t>
      </w:r>
      <w:r w:rsidR="000D02E3" w:rsidRPr="00493C6A">
        <w:rPr>
          <w:rFonts w:ascii="Arial" w:hAnsi="Arial" w:cs="Arial"/>
          <w:color w:val="323E4F" w:themeColor="text2" w:themeShade="BF"/>
          <w:szCs w:val="22"/>
          <w:lang w:val="es-ES"/>
        </w:rPr>
        <w:t xml:space="preserve"> </w:t>
      </w:r>
      <w:r w:rsidR="00743FDA" w:rsidRPr="00493C6A">
        <w:rPr>
          <w:rFonts w:ascii="Arial" w:hAnsi="Arial" w:cs="Arial"/>
          <w:color w:val="323E4F" w:themeColor="text2" w:themeShade="BF"/>
          <w:szCs w:val="22"/>
          <w:lang w:val="es-ES"/>
        </w:rPr>
        <w:t>cuarenta y uno</w:t>
      </w:r>
      <w:r w:rsidR="001C18F4" w:rsidRPr="00493C6A">
        <w:rPr>
          <w:rFonts w:ascii="Arial" w:hAnsi="Arial" w:cs="Arial"/>
          <w:color w:val="323E4F" w:themeColor="text2" w:themeShade="BF"/>
          <w:szCs w:val="22"/>
          <w:lang w:val="es-ES"/>
        </w:rPr>
        <w:t>,</w:t>
      </w:r>
      <w:r w:rsidR="00364D66" w:rsidRPr="00493C6A">
        <w:rPr>
          <w:rFonts w:ascii="Arial" w:hAnsi="Arial" w:cs="Arial"/>
          <w:color w:val="323E4F" w:themeColor="text2" w:themeShade="BF"/>
          <w:szCs w:val="22"/>
          <w:lang w:val="es-ES"/>
        </w:rPr>
        <w:t xml:space="preserve"> </w:t>
      </w:r>
      <w:r w:rsidRPr="00493C6A">
        <w:rPr>
          <w:rFonts w:ascii="Arial" w:hAnsi="Arial" w:cs="Arial"/>
          <w:color w:val="323E4F" w:themeColor="text2" w:themeShade="BF"/>
          <w:szCs w:val="22"/>
          <w:lang w:val="es-ES"/>
        </w:rPr>
        <w:t xml:space="preserve">que notificó la información generada al particular a través del correo electrónico que designó para tal </w:t>
      </w:r>
      <w:r w:rsidR="006B29F2" w:rsidRPr="00493C6A">
        <w:rPr>
          <w:rFonts w:ascii="Arial" w:hAnsi="Arial" w:cs="Arial"/>
          <w:color w:val="323E4F" w:themeColor="text2" w:themeShade="BF"/>
          <w:szCs w:val="22"/>
          <w:lang w:val="es-ES"/>
        </w:rPr>
        <w:t>efecto.</w:t>
      </w:r>
    </w:p>
    <w:p w14:paraId="697F560A" w14:textId="77777777" w:rsidR="00DC1F71" w:rsidRPr="00493C6A" w:rsidRDefault="00DC1F71" w:rsidP="00DC1F71">
      <w:pPr>
        <w:spacing w:line="360" w:lineRule="auto"/>
        <w:jc w:val="both"/>
        <w:rPr>
          <w:rFonts w:ascii="Arial" w:hAnsi="Arial" w:cs="Arial"/>
          <w:color w:val="323E4F" w:themeColor="text2" w:themeShade="BF"/>
          <w:szCs w:val="22"/>
          <w:lang w:val="es-ES"/>
        </w:rPr>
      </w:pPr>
    </w:p>
    <w:p w14:paraId="5514B42B" w14:textId="77777777" w:rsidR="00DC1F71" w:rsidRPr="00493C6A" w:rsidRDefault="00DC1F71" w:rsidP="00DC1F71">
      <w:pPr>
        <w:spacing w:line="360" w:lineRule="auto"/>
        <w:ind w:firstLine="708"/>
        <w:jc w:val="both"/>
        <w:rPr>
          <w:rFonts w:ascii="Arial" w:hAnsi="Arial" w:cs="Arial"/>
          <w:color w:val="323E4F" w:themeColor="text2" w:themeShade="BF"/>
          <w:szCs w:val="22"/>
          <w:lang w:val="es-ES"/>
        </w:rPr>
      </w:pPr>
      <w:r w:rsidRPr="00493C6A">
        <w:rPr>
          <w:rFonts w:ascii="Arial" w:hAnsi="Arial" w:cs="Arial"/>
          <w:color w:val="323E4F" w:themeColor="text2" w:themeShade="BF"/>
          <w:szCs w:val="22"/>
          <w:lang w:val="es-ES"/>
        </w:rPr>
        <w:t xml:space="preserve">Asimismo, de las constancias aportadas al presente sumario, se advierte que el particular no realizo manifestaciones, por lo que es </w:t>
      </w:r>
      <w:r w:rsidRPr="00493C6A">
        <w:rPr>
          <w:rFonts w:ascii="Arial" w:hAnsi="Arial" w:cs="Arial"/>
          <w:color w:val="323E4F" w:themeColor="text2" w:themeShade="BF"/>
          <w:szCs w:val="22"/>
        </w:rPr>
        <w:t>necesario señalar que el inconforme no se duele del contenido de la información entregada, por lo que se colige que se mostraba conforme con la respuesta emitida por el sujeto obligado respecto de aquello que requirió y por la otra, no se inconformó del contenido de aquello que se le entregó.</w:t>
      </w:r>
    </w:p>
    <w:p w14:paraId="1650BD1A" w14:textId="77777777" w:rsidR="00DC1F71" w:rsidRPr="00493C6A" w:rsidRDefault="00DC1F71" w:rsidP="00DC1F71">
      <w:pPr>
        <w:spacing w:before="240" w:after="240" w:line="360" w:lineRule="auto"/>
        <w:ind w:firstLine="708"/>
        <w:jc w:val="both"/>
        <w:rPr>
          <w:rFonts w:ascii="Arial" w:hAnsi="Arial" w:cs="Arial"/>
          <w:color w:val="323E4F" w:themeColor="text2" w:themeShade="BF"/>
          <w:szCs w:val="22"/>
        </w:rPr>
      </w:pPr>
      <w:r w:rsidRPr="00493C6A">
        <w:rPr>
          <w:rFonts w:ascii="Arial" w:hAnsi="Arial" w:cs="Arial"/>
          <w:color w:val="323E4F" w:themeColor="text2" w:themeShade="BF"/>
          <w:szCs w:val="22"/>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493C6A">
        <w:rPr>
          <w:rFonts w:ascii="Arial" w:hAnsi="Arial" w:cs="Arial"/>
          <w:b/>
          <w:color w:val="323E4F" w:themeColor="text2" w:themeShade="BF"/>
          <w:szCs w:val="22"/>
          <w:u w:val="single"/>
        </w:rPr>
        <w:t>cumplida</w:t>
      </w:r>
      <w:r w:rsidRPr="00493C6A">
        <w:rPr>
          <w:rFonts w:ascii="Arial" w:hAnsi="Arial" w:cs="Arial"/>
          <w:b/>
          <w:color w:val="323E4F" w:themeColor="text2" w:themeShade="BF"/>
          <w:szCs w:val="22"/>
        </w:rPr>
        <w:t xml:space="preserve"> </w:t>
      </w:r>
      <w:r w:rsidRPr="00493C6A">
        <w:rPr>
          <w:rFonts w:ascii="Arial" w:hAnsi="Arial" w:cs="Arial"/>
          <w:color w:val="323E4F" w:themeColor="text2" w:themeShade="BF"/>
          <w:szCs w:val="22"/>
        </w:rPr>
        <w:t xml:space="preserve">la presente resolución. </w:t>
      </w:r>
    </w:p>
    <w:p w14:paraId="32733C01" w14:textId="77777777" w:rsidR="00DC1F71" w:rsidRPr="00493C6A" w:rsidRDefault="00DC1F71" w:rsidP="00DC1F71">
      <w:pPr>
        <w:ind w:firstLine="708"/>
        <w:rPr>
          <w:rFonts w:ascii="Arial" w:hAnsi="Arial" w:cs="Arial"/>
          <w:color w:val="323E4F" w:themeColor="text2" w:themeShade="BF"/>
          <w:szCs w:val="22"/>
        </w:rPr>
      </w:pPr>
      <w:r w:rsidRPr="00493C6A">
        <w:rPr>
          <w:rFonts w:ascii="Arial" w:hAnsi="Arial" w:cs="Arial"/>
          <w:color w:val="323E4F" w:themeColor="text2" w:themeShade="BF"/>
          <w:szCs w:val="22"/>
        </w:rPr>
        <w:t>Por lo anteriormente expuesto y fundado, se emite el siguiente:</w:t>
      </w:r>
    </w:p>
    <w:p w14:paraId="09D1B6A0" w14:textId="77777777" w:rsidR="00DC1F71" w:rsidRPr="00493C6A" w:rsidRDefault="00DC1F71" w:rsidP="00DC1F71">
      <w:pPr>
        <w:spacing w:line="360" w:lineRule="auto"/>
        <w:jc w:val="center"/>
        <w:rPr>
          <w:rFonts w:ascii="Arial" w:hAnsi="Arial" w:cs="Arial"/>
          <w:b/>
          <w:color w:val="323E4F" w:themeColor="text2" w:themeShade="BF"/>
          <w:szCs w:val="22"/>
        </w:rPr>
      </w:pPr>
    </w:p>
    <w:p w14:paraId="4D57DDCF" w14:textId="77777777" w:rsidR="00DC1F71" w:rsidRPr="00493C6A" w:rsidRDefault="00DC1F71" w:rsidP="00DC1F71">
      <w:pPr>
        <w:spacing w:line="360" w:lineRule="auto"/>
        <w:jc w:val="center"/>
        <w:rPr>
          <w:rFonts w:ascii="Arial" w:hAnsi="Arial" w:cs="Arial"/>
          <w:b/>
          <w:color w:val="323E4F" w:themeColor="text2" w:themeShade="BF"/>
          <w:szCs w:val="22"/>
        </w:rPr>
      </w:pPr>
      <w:r w:rsidRPr="00493C6A">
        <w:rPr>
          <w:rFonts w:ascii="Arial" w:hAnsi="Arial" w:cs="Arial"/>
          <w:b/>
          <w:color w:val="323E4F" w:themeColor="text2" w:themeShade="BF"/>
          <w:szCs w:val="22"/>
        </w:rPr>
        <w:t>ACUERDO</w:t>
      </w:r>
    </w:p>
    <w:p w14:paraId="3EE52531" w14:textId="77777777" w:rsidR="00DC1F71" w:rsidRPr="00493C6A" w:rsidRDefault="00DC1F71" w:rsidP="00DC1F71">
      <w:pPr>
        <w:spacing w:line="360" w:lineRule="auto"/>
        <w:ind w:right="111" w:firstLine="708"/>
        <w:jc w:val="both"/>
        <w:rPr>
          <w:rFonts w:ascii="Arial" w:hAnsi="Arial" w:cs="Arial"/>
          <w:color w:val="323E4F" w:themeColor="text2" w:themeShade="BF"/>
          <w:spacing w:val="1"/>
          <w:szCs w:val="22"/>
        </w:rPr>
      </w:pPr>
      <w:r w:rsidRPr="00493C6A">
        <w:rPr>
          <w:rFonts w:ascii="Arial" w:hAnsi="Arial" w:cs="Arial"/>
          <w:b/>
          <w:color w:val="323E4F" w:themeColor="text2" w:themeShade="BF"/>
          <w:spacing w:val="1"/>
          <w:szCs w:val="22"/>
        </w:rPr>
        <w:t xml:space="preserve">PRIMERO. </w:t>
      </w:r>
      <w:r w:rsidRPr="00493C6A">
        <w:rPr>
          <w:rFonts w:ascii="Arial" w:hAnsi="Arial" w:cs="Arial"/>
          <w:color w:val="323E4F" w:themeColor="text2" w:themeShade="BF"/>
          <w:spacing w:val="1"/>
          <w:szCs w:val="22"/>
        </w:rPr>
        <w:t xml:space="preserve">Con base en el artículo 185 de la Ley de Transparencia y Acceso a la Información Pública del Estado, declara </w:t>
      </w:r>
      <w:r w:rsidRPr="00493C6A">
        <w:rPr>
          <w:rFonts w:ascii="Arial" w:hAnsi="Arial" w:cs="Arial"/>
          <w:b/>
          <w:color w:val="323E4F" w:themeColor="text2" w:themeShade="BF"/>
          <w:spacing w:val="1"/>
          <w:szCs w:val="22"/>
          <w:u w:val="single"/>
        </w:rPr>
        <w:t>cumplida</w:t>
      </w:r>
      <w:r w:rsidRPr="00493C6A">
        <w:rPr>
          <w:rFonts w:ascii="Arial" w:hAnsi="Arial" w:cs="Arial"/>
          <w:color w:val="323E4F" w:themeColor="text2" w:themeShade="BF"/>
          <w:spacing w:val="1"/>
          <w:szCs w:val="22"/>
        </w:rPr>
        <w:t xml:space="preserve"> la resolución que en definitiva se dictó en el presente asunto.</w:t>
      </w:r>
    </w:p>
    <w:p w14:paraId="77D09E37" w14:textId="77777777" w:rsidR="00DC1F71" w:rsidRPr="00493C6A" w:rsidRDefault="00DC1F71" w:rsidP="00DC1F71">
      <w:pPr>
        <w:spacing w:line="360" w:lineRule="auto"/>
        <w:jc w:val="center"/>
        <w:rPr>
          <w:rFonts w:ascii="Arial" w:hAnsi="Arial" w:cs="Arial"/>
          <w:color w:val="323E4F" w:themeColor="text2" w:themeShade="BF"/>
          <w:szCs w:val="22"/>
        </w:rPr>
      </w:pPr>
    </w:p>
    <w:p w14:paraId="1952A6E2" w14:textId="77777777" w:rsidR="00DC1F71" w:rsidRPr="00493C6A" w:rsidRDefault="00DC1F71" w:rsidP="00DC1F71">
      <w:pPr>
        <w:spacing w:line="360" w:lineRule="auto"/>
        <w:ind w:firstLine="708"/>
        <w:jc w:val="both"/>
        <w:rPr>
          <w:rFonts w:ascii="Arial" w:hAnsi="Arial" w:cs="Arial"/>
          <w:color w:val="323E4F" w:themeColor="text2" w:themeShade="BF"/>
          <w:szCs w:val="22"/>
        </w:rPr>
      </w:pPr>
      <w:r w:rsidRPr="00493C6A">
        <w:rPr>
          <w:rFonts w:ascii="Arial" w:hAnsi="Arial" w:cs="Arial"/>
          <w:b/>
          <w:color w:val="323E4F" w:themeColor="text2" w:themeShade="BF"/>
          <w:szCs w:val="22"/>
          <w:highlight w:val="white"/>
        </w:rPr>
        <w:t>SEGUNDO.</w:t>
      </w:r>
      <w:r w:rsidRPr="00493C6A">
        <w:rPr>
          <w:rFonts w:ascii="Arial" w:hAnsi="Arial" w:cs="Arial"/>
          <w:b/>
          <w:color w:val="323E4F" w:themeColor="text2" w:themeShade="BF"/>
          <w:szCs w:val="22"/>
        </w:rPr>
        <w:t xml:space="preserve"> </w:t>
      </w:r>
      <w:r w:rsidRPr="00493C6A">
        <w:rPr>
          <w:rFonts w:ascii="Arial" w:hAnsi="Arial" w:cs="Arial"/>
          <w:color w:val="323E4F" w:themeColor="text2" w:themeShade="BF"/>
          <w:szCs w:val="22"/>
        </w:rPr>
        <w:t>Con fundamento en los artículos 2 fracción XII y 9 de los Lineamientos para la Gestión de Archivos Administrativos y Resguardo de la Información Pública del Estado de San Luis Potosí, emitidos por esta Comisión,</w:t>
      </w:r>
      <w:r w:rsidRPr="00493C6A">
        <w:rPr>
          <w:rFonts w:ascii="Arial" w:hAnsi="Arial" w:cs="Arial"/>
          <w:b/>
          <w:color w:val="323E4F" w:themeColor="text2" w:themeShade="BF"/>
          <w:szCs w:val="22"/>
        </w:rPr>
        <w:t xml:space="preserve"> se remite el presente asunto al Archivo de Concentración de este Órgano Garante, </w:t>
      </w:r>
      <w:r w:rsidRPr="00493C6A">
        <w:rPr>
          <w:rFonts w:ascii="Arial" w:hAnsi="Arial" w:cs="Arial"/>
          <w:color w:val="323E4F" w:themeColor="text2" w:themeShade="BF"/>
          <w:szCs w:val="22"/>
        </w:rPr>
        <w:t>como asunto concluido.</w:t>
      </w:r>
    </w:p>
    <w:p w14:paraId="12D8EC2B" w14:textId="77777777" w:rsidR="00DC1F71" w:rsidRPr="00493C6A" w:rsidRDefault="00DC1F71" w:rsidP="00DC1F71">
      <w:pPr>
        <w:spacing w:line="360" w:lineRule="auto"/>
        <w:jc w:val="both"/>
        <w:rPr>
          <w:rFonts w:ascii="Arial" w:hAnsi="Arial" w:cs="Arial"/>
          <w:b/>
          <w:color w:val="323E4F" w:themeColor="text2" w:themeShade="BF"/>
          <w:szCs w:val="22"/>
        </w:rPr>
      </w:pPr>
    </w:p>
    <w:p w14:paraId="26E8ECB6" w14:textId="77777777" w:rsidR="00DC1F71" w:rsidRPr="00493C6A" w:rsidRDefault="00DC1F71" w:rsidP="00DC1F71">
      <w:pPr>
        <w:spacing w:line="360" w:lineRule="auto"/>
        <w:ind w:firstLine="708"/>
        <w:jc w:val="both"/>
        <w:rPr>
          <w:rFonts w:ascii="Arial" w:hAnsi="Arial" w:cs="Arial"/>
          <w:color w:val="323E4F" w:themeColor="text2" w:themeShade="BF"/>
          <w:szCs w:val="22"/>
        </w:rPr>
      </w:pPr>
      <w:r w:rsidRPr="00493C6A">
        <w:rPr>
          <w:rFonts w:ascii="Arial" w:hAnsi="Arial" w:cs="Arial"/>
          <w:b/>
          <w:color w:val="323E4F" w:themeColor="text2" w:themeShade="BF"/>
          <w:szCs w:val="22"/>
        </w:rPr>
        <w:t>TERCERO.</w:t>
      </w:r>
      <w:r w:rsidRPr="00493C6A">
        <w:rPr>
          <w:rFonts w:ascii="Arial" w:hAnsi="Arial" w:cs="Arial"/>
          <w:color w:val="323E4F" w:themeColor="text2" w:themeShade="BF"/>
          <w:szCs w:val="22"/>
        </w:rPr>
        <w:t xml:space="preserve"> Notifíquese a ambas partes. </w:t>
      </w:r>
    </w:p>
    <w:p w14:paraId="50CDD9B5" w14:textId="77777777" w:rsidR="00DC1F71" w:rsidRPr="00493C6A" w:rsidRDefault="00DC1F71" w:rsidP="00DC1F71">
      <w:pPr>
        <w:ind w:left="284"/>
        <w:jc w:val="both"/>
        <w:rPr>
          <w:rFonts w:ascii="Arial" w:hAnsi="Arial" w:cs="Arial"/>
          <w:i/>
          <w:color w:val="323E4F" w:themeColor="text2" w:themeShade="BF"/>
          <w:szCs w:val="22"/>
        </w:rPr>
      </w:pPr>
    </w:p>
    <w:p w14:paraId="7A44BE62" w14:textId="046D13C8" w:rsidR="005C265E" w:rsidRPr="00493C6A" w:rsidRDefault="005C265E" w:rsidP="005C265E">
      <w:pPr>
        <w:spacing w:line="360" w:lineRule="auto"/>
        <w:ind w:firstLine="567"/>
        <w:jc w:val="both"/>
        <w:rPr>
          <w:rFonts w:ascii="Arial" w:eastAsia="Calibri" w:hAnsi="Arial" w:cs="Arial"/>
          <w:color w:val="323E4F" w:themeColor="text2" w:themeShade="BF"/>
          <w:szCs w:val="22"/>
          <w:lang w:eastAsia="en-US"/>
        </w:rPr>
      </w:pPr>
      <w:r w:rsidRPr="00493C6A">
        <w:rPr>
          <w:rFonts w:ascii="Arial" w:eastAsia="Calibri" w:hAnsi="Arial" w:cs="Arial"/>
          <w:color w:val="323E4F" w:themeColor="text2" w:themeShade="BF"/>
          <w:szCs w:val="22"/>
          <w:lang w:eastAsia="en-US"/>
        </w:rPr>
        <w:t>Así lo proveyó y firma Adriana Berenice Capetillo Reyes, Proyectista Adscrita a la Ponencia 3 de la Comisión Estatal de Garantía de Acceso a la Información Pública, quien actúa de conformidad con lo establecido en el artículo 51, fracción VII del Reglamento Interno de la Comisión Estatal de Garantía de Acceso a la Información Pública, en correlación con el Acuerdo CEGAIP-738/2023, emitido por el Pleno de este Órgano Garante el 03 tres de octubre de 2023 dos mil veintitrés y publicado en el Periódico Oficial del Estado el 01 primero de noviembre del mismo año; e</w:t>
      </w:r>
      <w:r w:rsidR="007D0F23" w:rsidRPr="00493C6A">
        <w:rPr>
          <w:rFonts w:ascii="Arial" w:eastAsia="Calibri" w:hAnsi="Arial" w:cs="Arial"/>
          <w:color w:val="323E4F" w:themeColor="text2" w:themeShade="BF"/>
          <w:szCs w:val="22"/>
          <w:lang w:eastAsia="en-US"/>
        </w:rPr>
        <w:t>n San Luis Potosí, S. L. P., a 2</w:t>
      </w:r>
      <w:r w:rsidR="006F5B3D" w:rsidRPr="00493C6A">
        <w:rPr>
          <w:rFonts w:ascii="Arial" w:eastAsia="Calibri" w:hAnsi="Arial" w:cs="Arial"/>
          <w:color w:val="323E4F" w:themeColor="text2" w:themeShade="BF"/>
          <w:szCs w:val="22"/>
          <w:lang w:eastAsia="en-US"/>
        </w:rPr>
        <w:t>7 veintisiete</w:t>
      </w:r>
      <w:r w:rsidRPr="00493C6A">
        <w:rPr>
          <w:rFonts w:ascii="Arial" w:eastAsia="Calibri" w:hAnsi="Arial" w:cs="Arial"/>
          <w:color w:val="323E4F" w:themeColor="text2" w:themeShade="BF"/>
          <w:szCs w:val="22"/>
          <w:lang w:eastAsia="en-US"/>
        </w:rPr>
        <w:t xml:space="preserve"> de noviembre de 2023 dos mil veintitrés.</w:t>
      </w:r>
    </w:p>
    <w:p w14:paraId="3A48A94B" w14:textId="77777777" w:rsidR="005C265E" w:rsidRPr="00493C6A" w:rsidRDefault="005C265E" w:rsidP="005C265E">
      <w:pPr>
        <w:spacing w:line="360" w:lineRule="auto"/>
        <w:ind w:firstLine="567"/>
        <w:jc w:val="both"/>
        <w:rPr>
          <w:rFonts w:ascii="Arial" w:eastAsia="Calibri" w:hAnsi="Arial" w:cs="Arial"/>
          <w:b/>
          <w:sz w:val="22"/>
          <w:szCs w:val="22"/>
          <w:lang w:eastAsia="en-US"/>
        </w:rPr>
      </w:pPr>
    </w:p>
    <w:p w14:paraId="3B64B885" w14:textId="77777777" w:rsidR="00DC1F71" w:rsidRPr="00493C6A" w:rsidRDefault="00DC1F71" w:rsidP="00DC1F71">
      <w:pPr>
        <w:spacing w:line="360" w:lineRule="auto"/>
        <w:jc w:val="both"/>
        <w:rPr>
          <w:rFonts w:ascii="Arial" w:hAnsi="Arial" w:cs="Arial"/>
          <w:color w:val="323E4F" w:themeColor="text2" w:themeShade="BF"/>
          <w:szCs w:val="22"/>
        </w:rPr>
      </w:pPr>
    </w:p>
    <w:p w14:paraId="2207894E" w14:textId="77777777" w:rsidR="00DC1F71" w:rsidRPr="00493C6A" w:rsidRDefault="00DC1F71" w:rsidP="00DC1F71">
      <w:pPr>
        <w:spacing w:line="360" w:lineRule="auto"/>
        <w:jc w:val="both"/>
        <w:rPr>
          <w:rFonts w:ascii="Arial" w:hAnsi="Arial" w:cs="Arial"/>
          <w:color w:val="323E4F" w:themeColor="text2" w:themeShade="BF"/>
          <w:szCs w:val="22"/>
        </w:rPr>
      </w:pPr>
    </w:p>
    <w:p w14:paraId="3D2F31C1" w14:textId="77777777" w:rsidR="005C265E" w:rsidRPr="00493C6A" w:rsidRDefault="005C265E" w:rsidP="005C265E">
      <w:pPr>
        <w:spacing w:line="360" w:lineRule="auto"/>
        <w:ind w:firstLine="567"/>
        <w:jc w:val="center"/>
        <w:rPr>
          <w:rFonts w:ascii="Arial" w:eastAsia="Calibri" w:hAnsi="Arial" w:cs="Arial"/>
          <w:b/>
          <w:color w:val="323E4F" w:themeColor="text2" w:themeShade="BF"/>
        </w:rPr>
      </w:pPr>
      <w:r w:rsidRPr="00493C6A">
        <w:rPr>
          <w:rFonts w:ascii="Arial" w:eastAsia="Calibri" w:hAnsi="Arial" w:cs="Arial"/>
          <w:b/>
          <w:color w:val="323E4F" w:themeColor="text2" w:themeShade="BF"/>
        </w:rPr>
        <w:t>Adriana Berenice Capetillo Reyes</w:t>
      </w:r>
    </w:p>
    <w:p w14:paraId="569499EB" w14:textId="77777777" w:rsidR="005C265E" w:rsidRPr="00493C6A" w:rsidRDefault="005C265E" w:rsidP="005C265E">
      <w:pPr>
        <w:spacing w:line="360" w:lineRule="auto"/>
        <w:ind w:firstLine="567"/>
        <w:jc w:val="center"/>
        <w:rPr>
          <w:rFonts w:ascii="Arial" w:eastAsia="Calibri" w:hAnsi="Arial" w:cs="Arial"/>
          <w:b/>
          <w:color w:val="323E4F" w:themeColor="text2" w:themeShade="BF"/>
        </w:rPr>
      </w:pPr>
      <w:r w:rsidRPr="00493C6A">
        <w:rPr>
          <w:rFonts w:ascii="Arial" w:eastAsia="Calibri" w:hAnsi="Arial" w:cs="Arial"/>
          <w:b/>
          <w:color w:val="323E4F" w:themeColor="text2" w:themeShade="BF"/>
        </w:rPr>
        <w:t>Proyectista Adscrita a Ponencia Tres</w:t>
      </w:r>
    </w:p>
    <w:p w14:paraId="6D5D8FCF" w14:textId="77777777" w:rsidR="00DC1F71" w:rsidRPr="00493C6A" w:rsidRDefault="00DC1F71" w:rsidP="00DC1F71">
      <w:pPr>
        <w:spacing w:line="360" w:lineRule="auto"/>
        <w:jc w:val="both"/>
        <w:rPr>
          <w:rFonts w:ascii="Arial" w:hAnsi="Arial" w:cs="Arial"/>
          <w:b/>
          <w:color w:val="323E4F" w:themeColor="text2" w:themeShade="BF"/>
          <w:szCs w:val="22"/>
        </w:rPr>
      </w:pPr>
    </w:p>
    <w:p w14:paraId="3962E392" w14:textId="77777777" w:rsidR="00DC1F71" w:rsidRPr="00C65EEA" w:rsidRDefault="00DC1F71" w:rsidP="00DC1F71">
      <w:pPr>
        <w:spacing w:line="360" w:lineRule="auto"/>
        <w:jc w:val="both"/>
        <w:rPr>
          <w:rFonts w:ascii="Arial" w:hAnsi="Arial" w:cs="Arial"/>
          <w:color w:val="323E4F" w:themeColor="text2" w:themeShade="BF"/>
          <w:sz w:val="16"/>
          <w:szCs w:val="22"/>
        </w:rPr>
      </w:pPr>
      <w:r w:rsidRPr="00C65EEA">
        <w:rPr>
          <w:rFonts w:ascii="Arial" w:hAnsi="Arial" w:cs="Arial"/>
          <w:color w:val="323E4F" w:themeColor="text2" w:themeShade="BF"/>
          <w:sz w:val="16"/>
          <w:szCs w:val="22"/>
        </w:rPr>
        <w:t>Elaboró: CCL</w:t>
      </w:r>
    </w:p>
    <w:sectPr w:rsidR="00DC1F71" w:rsidRPr="00C65EEA" w:rsidSect="00493C6A">
      <w:headerReference w:type="default" r:id="rId9"/>
      <w:pgSz w:w="12240" w:h="15840" w:code="1"/>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C1FA4D" w14:textId="77777777" w:rsidR="00D26912" w:rsidRDefault="00D26912" w:rsidP="00BB58C4">
      <w:r>
        <w:separator/>
      </w:r>
    </w:p>
  </w:endnote>
  <w:endnote w:type="continuationSeparator" w:id="0">
    <w:p w14:paraId="7E7E85EB" w14:textId="77777777" w:rsidR="00D26912" w:rsidRDefault="00D26912"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D21874" w14:textId="77777777" w:rsidR="00D26912" w:rsidRDefault="00D26912" w:rsidP="00BB58C4">
      <w:r>
        <w:separator/>
      </w:r>
    </w:p>
  </w:footnote>
  <w:footnote w:type="continuationSeparator" w:id="0">
    <w:p w14:paraId="24FEC87B" w14:textId="77777777" w:rsidR="00D26912" w:rsidRDefault="00D26912" w:rsidP="00BB58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5F368F4E" w:rsidR="00BD2B59" w:rsidRDefault="00BD2B59">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A12D19" w14:textId="3F480893" w:rsidR="00E25AE4" w:rsidRDefault="0021422B" w:rsidP="0021422B">
    <w:pPr>
      <w:pStyle w:val="Encabezado"/>
      <w:tabs>
        <w:tab w:val="clear" w:pos="8504"/>
      </w:tabs>
    </w:pPr>
    <w:r>
      <w:tab/>
    </w:r>
    <w:r>
      <w:tab/>
    </w:r>
  </w:p>
  <w:p w14:paraId="3C5C0923" w14:textId="3CB25067" w:rsidR="00E25AE4" w:rsidRPr="0021422B" w:rsidRDefault="0021422B" w:rsidP="0093541A">
    <w:pPr>
      <w:pStyle w:val="Encabezado"/>
      <w:tabs>
        <w:tab w:val="clear" w:pos="8504"/>
        <w:tab w:val="left" w:pos="6885"/>
        <w:tab w:val="right" w:pos="8554"/>
      </w:tabs>
      <w:rPr>
        <w:rFonts w:ascii="Arial" w:hAnsi="Arial" w:cs="Arial"/>
        <w:sz w:val="26"/>
        <w:szCs w:val="26"/>
      </w:rPr>
    </w:pPr>
    <w:r>
      <w:tab/>
      <w:t xml:space="preserve">                                                                     </w:t>
    </w:r>
    <w:r w:rsidR="0093541A">
      <w:t xml:space="preserve">                                </w:t>
    </w:r>
    <w:r w:rsidRPr="0021422B">
      <w:rPr>
        <w:rFonts w:ascii="Arial" w:hAnsi="Arial" w:cs="Arial"/>
        <w:b/>
        <w:sz w:val="26"/>
        <w:szCs w:val="26"/>
      </w:rPr>
      <w:t>RR</w:t>
    </w:r>
    <w:r w:rsidR="005B7790">
      <w:rPr>
        <w:rFonts w:ascii="Arial" w:hAnsi="Arial" w:cs="Arial"/>
        <w:b/>
        <w:sz w:val="26"/>
        <w:szCs w:val="26"/>
      </w:rPr>
      <w:t>-</w:t>
    </w:r>
    <w:r w:rsidR="00ED61C9">
      <w:rPr>
        <w:rFonts w:ascii="Arial" w:hAnsi="Arial" w:cs="Arial"/>
        <w:b/>
        <w:sz w:val="26"/>
        <w:szCs w:val="26"/>
      </w:rPr>
      <w:t>2117</w:t>
    </w:r>
    <w:r w:rsidR="00AA103D">
      <w:rPr>
        <w:rFonts w:ascii="Arial" w:hAnsi="Arial" w:cs="Arial"/>
        <w:b/>
        <w:sz w:val="26"/>
        <w:szCs w:val="26"/>
      </w:rPr>
      <w:t>/202</w:t>
    </w:r>
    <w:r w:rsidR="00C65EEA">
      <w:rPr>
        <w:rFonts w:ascii="Arial" w:hAnsi="Arial" w:cs="Arial"/>
        <w:b/>
        <w:sz w:val="26"/>
        <w:szCs w:val="26"/>
      </w:rPr>
      <w:t>2</w:t>
    </w:r>
    <w:r w:rsidR="00DE7922">
      <w:rPr>
        <w:rFonts w:ascii="Arial" w:hAnsi="Arial" w:cs="Arial"/>
        <w:b/>
        <w:sz w:val="26"/>
        <w:szCs w:val="26"/>
      </w:rPr>
      <w:t>-3</w:t>
    </w:r>
    <w:r w:rsidRPr="0021422B">
      <w:rPr>
        <w:rFonts w:ascii="Arial" w:hAnsi="Arial" w:cs="Arial"/>
        <w:sz w:val="26"/>
        <w:szCs w:val="26"/>
      </w:rPr>
      <w:tab/>
    </w:r>
  </w:p>
  <w:p w14:paraId="167ADC62" w14:textId="77777777" w:rsidR="00E25AE4" w:rsidRDefault="00E25AE4" w:rsidP="00E25AE4">
    <w:pPr>
      <w:pStyle w:val="Encabezado"/>
      <w:tabs>
        <w:tab w:val="left" w:pos="5954"/>
      </w:tabs>
      <w:jc w:val="right"/>
      <w:rPr>
        <w:sz w:val="20"/>
        <w:szCs w:val="20"/>
      </w:rPr>
    </w:pPr>
  </w:p>
  <w:p w14:paraId="2E3B98D4" w14:textId="77777777" w:rsidR="00E25AE4" w:rsidRDefault="00E25AE4">
    <w:pPr>
      <w:pStyle w:val="Encabezado"/>
      <w:jc w:val="center"/>
    </w:pPr>
  </w:p>
  <w:p w14:paraId="4E5FFEF8" w14:textId="46E567DF" w:rsidR="00BB58C4" w:rsidRDefault="00BB58C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43A468E4"/>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103F633E"/>
    <w:multiLevelType w:val="hybridMultilevel"/>
    <w:tmpl w:val="79869542"/>
    <w:lvl w:ilvl="0" w:tplc="851872E8">
      <w:start w:val="1"/>
      <w:numFmt w:val="upperRoman"/>
      <w:lvlText w:val="%1."/>
      <w:lvlJc w:val="right"/>
      <w:pPr>
        <w:ind w:left="644" w:hanging="360"/>
      </w:pPr>
      <w:rPr>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 w15:restartNumberingAfterBreak="0">
    <w:nsid w:val="120204BC"/>
    <w:multiLevelType w:val="hybridMultilevel"/>
    <w:tmpl w:val="4620867A"/>
    <w:lvl w:ilvl="0" w:tplc="867839D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53D05B4"/>
    <w:multiLevelType w:val="hybridMultilevel"/>
    <w:tmpl w:val="AC14F890"/>
    <w:lvl w:ilvl="0" w:tplc="9726364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5E17A7D"/>
    <w:multiLevelType w:val="hybridMultilevel"/>
    <w:tmpl w:val="324866B8"/>
    <w:lvl w:ilvl="0" w:tplc="29309BF0">
      <w:start w:val="1"/>
      <w:numFmt w:val="upperRoman"/>
      <w:lvlText w:val="%1."/>
      <w:lvlJc w:val="left"/>
      <w:pPr>
        <w:ind w:left="4412" w:hanging="720"/>
      </w:pPr>
      <w:rPr>
        <w:rFonts w:ascii="Arial" w:eastAsia="Arial Unicode MS" w:hAnsi="Arial" w:cs="Arial"/>
        <w:b w:val="0"/>
        <w:i w:val="0"/>
      </w:rPr>
    </w:lvl>
    <w:lvl w:ilvl="1" w:tplc="080A0019">
      <w:start w:val="1"/>
      <w:numFmt w:val="lowerLetter"/>
      <w:lvlText w:val="%2."/>
      <w:lvlJc w:val="left"/>
      <w:pPr>
        <w:ind w:left="4772" w:hanging="360"/>
      </w:pPr>
    </w:lvl>
    <w:lvl w:ilvl="2" w:tplc="080A001B" w:tentative="1">
      <w:start w:val="1"/>
      <w:numFmt w:val="lowerRoman"/>
      <w:lvlText w:val="%3."/>
      <w:lvlJc w:val="right"/>
      <w:pPr>
        <w:ind w:left="5492" w:hanging="180"/>
      </w:pPr>
    </w:lvl>
    <w:lvl w:ilvl="3" w:tplc="080A000F" w:tentative="1">
      <w:start w:val="1"/>
      <w:numFmt w:val="decimal"/>
      <w:lvlText w:val="%4."/>
      <w:lvlJc w:val="left"/>
      <w:pPr>
        <w:ind w:left="6212" w:hanging="360"/>
      </w:pPr>
    </w:lvl>
    <w:lvl w:ilvl="4" w:tplc="080A0019" w:tentative="1">
      <w:start w:val="1"/>
      <w:numFmt w:val="lowerLetter"/>
      <w:lvlText w:val="%5."/>
      <w:lvlJc w:val="left"/>
      <w:pPr>
        <w:ind w:left="6932" w:hanging="360"/>
      </w:pPr>
    </w:lvl>
    <w:lvl w:ilvl="5" w:tplc="080A001B" w:tentative="1">
      <w:start w:val="1"/>
      <w:numFmt w:val="lowerRoman"/>
      <w:lvlText w:val="%6."/>
      <w:lvlJc w:val="right"/>
      <w:pPr>
        <w:ind w:left="7652" w:hanging="180"/>
      </w:pPr>
    </w:lvl>
    <w:lvl w:ilvl="6" w:tplc="080A000F" w:tentative="1">
      <w:start w:val="1"/>
      <w:numFmt w:val="decimal"/>
      <w:lvlText w:val="%7."/>
      <w:lvlJc w:val="left"/>
      <w:pPr>
        <w:ind w:left="8372" w:hanging="360"/>
      </w:pPr>
    </w:lvl>
    <w:lvl w:ilvl="7" w:tplc="080A0019" w:tentative="1">
      <w:start w:val="1"/>
      <w:numFmt w:val="lowerLetter"/>
      <w:lvlText w:val="%8."/>
      <w:lvlJc w:val="left"/>
      <w:pPr>
        <w:ind w:left="9092" w:hanging="360"/>
      </w:pPr>
    </w:lvl>
    <w:lvl w:ilvl="8" w:tplc="080A001B" w:tentative="1">
      <w:start w:val="1"/>
      <w:numFmt w:val="lowerRoman"/>
      <w:lvlText w:val="%9."/>
      <w:lvlJc w:val="right"/>
      <w:pPr>
        <w:ind w:left="9812" w:hanging="180"/>
      </w:pPr>
    </w:lvl>
  </w:abstractNum>
  <w:abstractNum w:abstractNumId="5" w15:restartNumberingAfterBreak="0">
    <w:nsid w:val="17E311C7"/>
    <w:multiLevelType w:val="hybridMultilevel"/>
    <w:tmpl w:val="6C52F9F6"/>
    <w:lvl w:ilvl="0" w:tplc="080A0001">
      <w:start w:val="1"/>
      <w:numFmt w:val="bullet"/>
      <w:lvlText w:val=""/>
      <w:lvlJc w:val="left"/>
      <w:pPr>
        <w:ind w:left="2562" w:hanging="360"/>
      </w:pPr>
      <w:rPr>
        <w:rFonts w:ascii="Symbol" w:hAnsi="Symbol" w:hint="default"/>
      </w:rPr>
    </w:lvl>
    <w:lvl w:ilvl="1" w:tplc="080A0003" w:tentative="1">
      <w:start w:val="1"/>
      <w:numFmt w:val="bullet"/>
      <w:lvlText w:val="o"/>
      <w:lvlJc w:val="left"/>
      <w:pPr>
        <w:ind w:left="3282" w:hanging="360"/>
      </w:pPr>
      <w:rPr>
        <w:rFonts w:ascii="Courier New" w:hAnsi="Courier New" w:cs="Courier New" w:hint="default"/>
      </w:rPr>
    </w:lvl>
    <w:lvl w:ilvl="2" w:tplc="080A0005" w:tentative="1">
      <w:start w:val="1"/>
      <w:numFmt w:val="bullet"/>
      <w:lvlText w:val=""/>
      <w:lvlJc w:val="left"/>
      <w:pPr>
        <w:ind w:left="4002" w:hanging="360"/>
      </w:pPr>
      <w:rPr>
        <w:rFonts w:ascii="Wingdings" w:hAnsi="Wingdings" w:hint="default"/>
      </w:rPr>
    </w:lvl>
    <w:lvl w:ilvl="3" w:tplc="080A0001" w:tentative="1">
      <w:start w:val="1"/>
      <w:numFmt w:val="bullet"/>
      <w:lvlText w:val=""/>
      <w:lvlJc w:val="left"/>
      <w:pPr>
        <w:ind w:left="4722" w:hanging="360"/>
      </w:pPr>
      <w:rPr>
        <w:rFonts w:ascii="Symbol" w:hAnsi="Symbol" w:hint="default"/>
      </w:rPr>
    </w:lvl>
    <w:lvl w:ilvl="4" w:tplc="080A0003" w:tentative="1">
      <w:start w:val="1"/>
      <w:numFmt w:val="bullet"/>
      <w:lvlText w:val="o"/>
      <w:lvlJc w:val="left"/>
      <w:pPr>
        <w:ind w:left="5442" w:hanging="360"/>
      </w:pPr>
      <w:rPr>
        <w:rFonts w:ascii="Courier New" w:hAnsi="Courier New" w:cs="Courier New" w:hint="default"/>
      </w:rPr>
    </w:lvl>
    <w:lvl w:ilvl="5" w:tplc="080A0005" w:tentative="1">
      <w:start w:val="1"/>
      <w:numFmt w:val="bullet"/>
      <w:lvlText w:val=""/>
      <w:lvlJc w:val="left"/>
      <w:pPr>
        <w:ind w:left="6162" w:hanging="360"/>
      </w:pPr>
      <w:rPr>
        <w:rFonts w:ascii="Wingdings" w:hAnsi="Wingdings" w:hint="default"/>
      </w:rPr>
    </w:lvl>
    <w:lvl w:ilvl="6" w:tplc="080A0001" w:tentative="1">
      <w:start w:val="1"/>
      <w:numFmt w:val="bullet"/>
      <w:lvlText w:val=""/>
      <w:lvlJc w:val="left"/>
      <w:pPr>
        <w:ind w:left="6882" w:hanging="360"/>
      </w:pPr>
      <w:rPr>
        <w:rFonts w:ascii="Symbol" w:hAnsi="Symbol" w:hint="default"/>
      </w:rPr>
    </w:lvl>
    <w:lvl w:ilvl="7" w:tplc="080A0003" w:tentative="1">
      <w:start w:val="1"/>
      <w:numFmt w:val="bullet"/>
      <w:lvlText w:val="o"/>
      <w:lvlJc w:val="left"/>
      <w:pPr>
        <w:ind w:left="7602" w:hanging="360"/>
      </w:pPr>
      <w:rPr>
        <w:rFonts w:ascii="Courier New" w:hAnsi="Courier New" w:cs="Courier New" w:hint="default"/>
      </w:rPr>
    </w:lvl>
    <w:lvl w:ilvl="8" w:tplc="080A0005" w:tentative="1">
      <w:start w:val="1"/>
      <w:numFmt w:val="bullet"/>
      <w:lvlText w:val=""/>
      <w:lvlJc w:val="left"/>
      <w:pPr>
        <w:ind w:left="8322" w:hanging="360"/>
      </w:pPr>
      <w:rPr>
        <w:rFonts w:ascii="Wingdings" w:hAnsi="Wingdings" w:hint="default"/>
      </w:rPr>
    </w:lvl>
  </w:abstractNum>
  <w:abstractNum w:abstractNumId="6" w15:restartNumberingAfterBreak="0">
    <w:nsid w:val="18C164C4"/>
    <w:multiLevelType w:val="hybridMultilevel"/>
    <w:tmpl w:val="E124CC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15:restartNumberingAfterBreak="0">
    <w:nsid w:val="18DE2300"/>
    <w:multiLevelType w:val="hybridMultilevel"/>
    <w:tmpl w:val="9C8C12DE"/>
    <w:lvl w:ilvl="0" w:tplc="A40619A2">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F1A4D05"/>
    <w:multiLevelType w:val="hybridMultilevel"/>
    <w:tmpl w:val="0818DAC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15:restartNumberingAfterBreak="0">
    <w:nsid w:val="21AF01C6"/>
    <w:multiLevelType w:val="hybridMultilevel"/>
    <w:tmpl w:val="5600D3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268208E"/>
    <w:multiLevelType w:val="hybridMultilevel"/>
    <w:tmpl w:val="56F09932"/>
    <w:lvl w:ilvl="0" w:tplc="15469C50">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61060B6"/>
    <w:multiLevelType w:val="hybridMultilevel"/>
    <w:tmpl w:val="CB228FC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88D75D9"/>
    <w:multiLevelType w:val="hybridMultilevel"/>
    <w:tmpl w:val="636A49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5" w15:restartNumberingAfterBreak="0">
    <w:nsid w:val="3663259F"/>
    <w:multiLevelType w:val="hybridMultilevel"/>
    <w:tmpl w:val="0284FC88"/>
    <w:lvl w:ilvl="0" w:tplc="421464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9EF0E26"/>
    <w:multiLevelType w:val="hybridMultilevel"/>
    <w:tmpl w:val="DD5A4086"/>
    <w:lvl w:ilvl="0" w:tplc="036A71DE">
      <w:start w:val="1"/>
      <w:numFmt w:val="upperRoman"/>
      <w:lvlText w:val="%1."/>
      <w:lvlJc w:val="left"/>
      <w:pPr>
        <w:ind w:left="1080" w:hanging="720"/>
      </w:pPr>
      <w:rPr>
        <w:rFonts w:eastAsia="Arial Unicode M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9" w15:restartNumberingAfterBreak="0">
    <w:nsid w:val="56972177"/>
    <w:multiLevelType w:val="hybridMultilevel"/>
    <w:tmpl w:val="385C85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C2F3B16"/>
    <w:multiLevelType w:val="hybridMultilevel"/>
    <w:tmpl w:val="102470F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1" w15:restartNumberingAfterBreak="0">
    <w:nsid w:val="5FDE01CD"/>
    <w:multiLevelType w:val="hybridMultilevel"/>
    <w:tmpl w:val="97FC0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2894D63"/>
    <w:multiLevelType w:val="hybridMultilevel"/>
    <w:tmpl w:val="A502B184"/>
    <w:lvl w:ilvl="0" w:tplc="0818EF2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3" w15:restartNumberingAfterBreak="0">
    <w:nsid w:val="7AFA156B"/>
    <w:multiLevelType w:val="hybridMultilevel"/>
    <w:tmpl w:val="34282F3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7"/>
  </w:num>
  <w:num w:numId="4">
    <w:abstractNumId w:val="2"/>
  </w:num>
  <w:num w:numId="5">
    <w:abstractNumId w:val="6"/>
  </w:num>
  <w:num w:numId="6">
    <w:abstractNumId w:val="4"/>
  </w:num>
  <w:num w:numId="7">
    <w:abstractNumId w:val="14"/>
  </w:num>
  <w:num w:numId="8">
    <w:abstractNumId w:val="20"/>
  </w:num>
  <w:num w:numId="9">
    <w:abstractNumId w:val="12"/>
  </w:num>
  <w:num w:numId="10">
    <w:abstractNumId w:val="16"/>
  </w:num>
  <w:num w:numId="11">
    <w:abstractNumId w:val="13"/>
  </w:num>
  <w:num w:numId="12">
    <w:abstractNumId w:val="8"/>
  </w:num>
  <w:num w:numId="13">
    <w:abstractNumId w:val="21"/>
  </w:num>
  <w:num w:numId="14">
    <w:abstractNumId w:val="0"/>
  </w:num>
  <w:num w:numId="15">
    <w:abstractNumId w:val="23"/>
  </w:num>
  <w:num w:numId="16">
    <w:abstractNumId w:val="17"/>
  </w:num>
  <w:num w:numId="17">
    <w:abstractNumId w:val="10"/>
  </w:num>
  <w:num w:numId="18">
    <w:abstractNumId w:val="15"/>
  </w:num>
  <w:num w:numId="19">
    <w:abstractNumId w:val="19"/>
  </w:num>
  <w:num w:numId="20">
    <w:abstractNumId w:val="5"/>
  </w:num>
  <w:num w:numId="21">
    <w:abstractNumId w:val="1"/>
  </w:num>
  <w:num w:numId="22">
    <w:abstractNumId w:val="3"/>
  </w:num>
  <w:num w:numId="23">
    <w:abstractNumId w:val="11"/>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4EB9"/>
    <w:rsid w:val="00043054"/>
    <w:rsid w:val="00082F7A"/>
    <w:rsid w:val="00090C65"/>
    <w:rsid w:val="000A0475"/>
    <w:rsid w:val="000A5BAC"/>
    <w:rsid w:val="000A6F40"/>
    <w:rsid w:val="000B0903"/>
    <w:rsid w:val="000B31BD"/>
    <w:rsid w:val="000C3483"/>
    <w:rsid w:val="000D02E3"/>
    <w:rsid w:val="000D6AC7"/>
    <w:rsid w:val="000E016B"/>
    <w:rsid w:val="000E167E"/>
    <w:rsid w:val="000F76BA"/>
    <w:rsid w:val="000F7D99"/>
    <w:rsid w:val="00104745"/>
    <w:rsid w:val="001158A4"/>
    <w:rsid w:val="00126873"/>
    <w:rsid w:val="00135C6F"/>
    <w:rsid w:val="001646CB"/>
    <w:rsid w:val="00183625"/>
    <w:rsid w:val="00192A3A"/>
    <w:rsid w:val="001A5E99"/>
    <w:rsid w:val="001B22A6"/>
    <w:rsid w:val="001B2903"/>
    <w:rsid w:val="001B3725"/>
    <w:rsid w:val="001C18F4"/>
    <w:rsid w:val="001C76F7"/>
    <w:rsid w:val="001D514E"/>
    <w:rsid w:val="002138A7"/>
    <w:rsid w:val="0021422B"/>
    <w:rsid w:val="00224308"/>
    <w:rsid w:val="0022601B"/>
    <w:rsid w:val="00231DDE"/>
    <w:rsid w:val="00240E4A"/>
    <w:rsid w:val="00247EC5"/>
    <w:rsid w:val="002675EB"/>
    <w:rsid w:val="002701E9"/>
    <w:rsid w:val="0028441A"/>
    <w:rsid w:val="0029227B"/>
    <w:rsid w:val="00292C1F"/>
    <w:rsid w:val="002B1ACA"/>
    <w:rsid w:val="002B6959"/>
    <w:rsid w:val="002C5727"/>
    <w:rsid w:val="002D1560"/>
    <w:rsid w:val="002D16DE"/>
    <w:rsid w:val="002D3A8B"/>
    <w:rsid w:val="002D3B04"/>
    <w:rsid w:val="002E55B6"/>
    <w:rsid w:val="0031287D"/>
    <w:rsid w:val="003143BF"/>
    <w:rsid w:val="00315225"/>
    <w:rsid w:val="003153D3"/>
    <w:rsid w:val="0031704A"/>
    <w:rsid w:val="003323E5"/>
    <w:rsid w:val="0034150A"/>
    <w:rsid w:val="00351413"/>
    <w:rsid w:val="003557A7"/>
    <w:rsid w:val="00364D66"/>
    <w:rsid w:val="0037150F"/>
    <w:rsid w:val="003840C3"/>
    <w:rsid w:val="00396F72"/>
    <w:rsid w:val="003A7F26"/>
    <w:rsid w:val="003B6915"/>
    <w:rsid w:val="003D0E86"/>
    <w:rsid w:val="003D1BF3"/>
    <w:rsid w:val="003D5B69"/>
    <w:rsid w:val="003D6FD8"/>
    <w:rsid w:val="003E3B96"/>
    <w:rsid w:val="004137D8"/>
    <w:rsid w:val="004164F9"/>
    <w:rsid w:val="00432971"/>
    <w:rsid w:val="004375D3"/>
    <w:rsid w:val="00441858"/>
    <w:rsid w:val="00443F45"/>
    <w:rsid w:val="004552FD"/>
    <w:rsid w:val="00457219"/>
    <w:rsid w:val="00460010"/>
    <w:rsid w:val="00461F00"/>
    <w:rsid w:val="00462BD4"/>
    <w:rsid w:val="00471043"/>
    <w:rsid w:val="00482496"/>
    <w:rsid w:val="00483CC8"/>
    <w:rsid w:val="004861AD"/>
    <w:rsid w:val="00493C6A"/>
    <w:rsid w:val="004A0733"/>
    <w:rsid w:val="004A18B6"/>
    <w:rsid w:val="004A75BA"/>
    <w:rsid w:val="004C1D9E"/>
    <w:rsid w:val="004D3676"/>
    <w:rsid w:val="004D381F"/>
    <w:rsid w:val="00500700"/>
    <w:rsid w:val="00502DCE"/>
    <w:rsid w:val="00516EAA"/>
    <w:rsid w:val="0052683D"/>
    <w:rsid w:val="00541994"/>
    <w:rsid w:val="005421E5"/>
    <w:rsid w:val="0054647F"/>
    <w:rsid w:val="005837B4"/>
    <w:rsid w:val="0058469C"/>
    <w:rsid w:val="00590BE2"/>
    <w:rsid w:val="00596A0D"/>
    <w:rsid w:val="005B557F"/>
    <w:rsid w:val="005B7790"/>
    <w:rsid w:val="005C265E"/>
    <w:rsid w:val="005E344F"/>
    <w:rsid w:val="005F4E79"/>
    <w:rsid w:val="005F5A51"/>
    <w:rsid w:val="006039DC"/>
    <w:rsid w:val="00611897"/>
    <w:rsid w:val="00631E89"/>
    <w:rsid w:val="00655DDC"/>
    <w:rsid w:val="00662909"/>
    <w:rsid w:val="00667E66"/>
    <w:rsid w:val="0068588B"/>
    <w:rsid w:val="00686A50"/>
    <w:rsid w:val="006878A5"/>
    <w:rsid w:val="006969E6"/>
    <w:rsid w:val="006B122E"/>
    <w:rsid w:val="006B29F2"/>
    <w:rsid w:val="006C4601"/>
    <w:rsid w:val="006E7021"/>
    <w:rsid w:val="006F5B3D"/>
    <w:rsid w:val="00720DF8"/>
    <w:rsid w:val="00723EFB"/>
    <w:rsid w:val="00737808"/>
    <w:rsid w:val="00743FDA"/>
    <w:rsid w:val="00746820"/>
    <w:rsid w:val="0075382A"/>
    <w:rsid w:val="00760627"/>
    <w:rsid w:val="00777F6B"/>
    <w:rsid w:val="007957A2"/>
    <w:rsid w:val="007964C8"/>
    <w:rsid w:val="00797CA4"/>
    <w:rsid w:val="007A3A8F"/>
    <w:rsid w:val="007B0F6F"/>
    <w:rsid w:val="007B6EF1"/>
    <w:rsid w:val="007D0F23"/>
    <w:rsid w:val="007D1541"/>
    <w:rsid w:val="007D5A09"/>
    <w:rsid w:val="007E51B8"/>
    <w:rsid w:val="007E655D"/>
    <w:rsid w:val="0080725F"/>
    <w:rsid w:val="00810474"/>
    <w:rsid w:val="008171B6"/>
    <w:rsid w:val="00825313"/>
    <w:rsid w:val="00835D42"/>
    <w:rsid w:val="00847F9F"/>
    <w:rsid w:val="00857174"/>
    <w:rsid w:val="00864F43"/>
    <w:rsid w:val="00881641"/>
    <w:rsid w:val="008867F2"/>
    <w:rsid w:val="008A3EA4"/>
    <w:rsid w:val="008C21E2"/>
    <w:rsid w:val="008C46EC"/>
    <w:rsid w:val="008C6604"/>
    <w:rsid w:val="008D6CFA"/>
    <w:rsid w:val="00912C9F"/>
    <w:rsid w:val="00913F62"/>
    <w:rsid w:val="00916BB4"/>
    <w:rsid w:val="00920535"/>
    <w:rsid w:val="00925607"/>
    <w:rsid w:val="0093057A"/>
    <w:rsid w:val="00930BE0"/>
    <w:rsid w:val="0093541A"/>
    <w:rsid w:val="00952E8B"/>
    <w:rsid w:val="00953DF5"/>
    <w:rsid w:val="00955C31"/>
    <w:rsid w:val="00960360"/>
    <w:rsid w:val="0097167C"/>
    <w:rsid w:val="009739D0"/>
    <w:rsid w:val="00974F64"/>
    <w:rsid w:val="0098513E"/>
    <w:rsid w:val="009B792E"/>
    <w:rsid w:val="009C3C2B"/>
    <w:rsid w:val="009C6E8D"/>
    <w:rsid w:val="00A031E2"/>
    <w:rsid w:val="00A43468"/>
    <w:rsid w:val="00A43A1F"/>
    <w:rsid w:val="00A52F42"/>
    <w:rsid w:val="00A543D8"/>
    <w:rsid w:val="00A5546D"/>
    <w:rsid w:val="00A56971"/>
    <w:rsid w:val="00A6080A"/>
    <w:rsid w:val="00A706BB"/>
    <w:rsid w:val="00A71F3E"/>
    <w:rsid w:val="00A9137C"/>
    <w:rsid w:val="00A92D86"/>
    <w:rsid w:val="00A94ED6"/>
    <w:rsid w:val="00AA103D"/>
    <w:rsid w:val="00AA5446"/>
    <w:rsid w:val="00AB1FD7"/>
    <w:rsid w:val="00AD0240"/>
    <w:rsid w:val="00AE3470"/>
    <w:rsid w:val="00B062D9"/>
    <w:rsid w:val="00B2223F"/>
    <w:rsid w:val="00B24175"/>
    <w:rsid w:val="00B3340D"/>
    <w:rsid w:val="00B4223C"/>
    <w:rsid w:val="00B43BE3"/>
    <w:rsid w:val="00B60E68"/>
    <w:rsid w:val="00B707A6"/>
    <w:rsid w:val="00B70C17"/>
    <w:rsid w:val="00B74D42"/>
    <w:rsid w:val="00B75B3A"/>
    <w:rsid w:val="00B84C0A"/>
    <w:rsid w:val="00B93195"/>
    <w:rsid w:val="00B972D7"/>
    <w:rsid w:val="00BB58C4"/>
    <w:rsid w:val="00BB6FA8"/>
    <w:rsid w:val="00BD26E6"/>
    <w:rsid w:val="00BD2B59"/>
    <w:rsid w:val="00BE32B8"/>
    <w:rsid w:val="00BE576B"/>
    <w:rsid w:val="00BE7281"/>
    <w:rsid w:val="00BF76BC"/>
    <w:rsid w:val="00C15AD7"/>
    <w:rsid w:val="00C3089F"/>
    <w:rsid w:val="00C32C5A"/>
    <w:rsid w:val="00C34CD0"/>
    <w:rsid w:val="00C37928"/>
    <w:rsid w:val="00C51BA1"/>
    <w:rsid w:val="00C544FC"/>
    <w:rsid w:val="00C65EEA"/>
    <w:rsid w:val="00C66E62"/>
    <w:rsid w:val="00C762A3"/>
    <w:rsid w:val="00CA0DED"/>
    <w:rsid w:val="00CA1F7C"/>
    <w:rsid w:val="00CA3E68"/>
    <w:rsid w:val="00CC160E"/>
    <w:rsid w:val="00CC2540"/>
    <w:rsid w:val="00CC2CC1"/>
    <w:rsid w:val="00CC3B99"/>
    <w:rsid w:val="00CD6BCE"/>
    <w:rsid w:val="00CF1A95"/>
    <w:rsid w:val="00D26912"/>
    <w:rsid w:val="00D3454F"/>
    <w:rsid w:val="00D4560A"/>
    <w:rsid w:val="00D62B6C"/>
    <w:rsid w:val="00D670E4"/>
    <w:rsid w:val="00D801D7"/>
    <w:rsid w:val="00D82A40"/>
    <w:rsid w:val="00D903A6"/>
    <w:rsid w:val="00DA0036"/>
    <w:rsid w:val="00DB1949"/>
    <w:rsid w:val="00DB727E"/>
    <w:rsid w:val="00DC1F71"/>
    <w:rsid w:val="00DD1084"/>
    <w:rsid w:val="00DD2127"/>
    <w:rsid w:val="00DE096C"/>
    <w:rsid w:val="00DE7922"/>
    <w:rsid w:val="00DF0A91"/>
    <w:rsid w:val="00DF2423"/>
    <w:rsid w:val="00E0037E"/>
    <w:rsid w:val="00E014D4"/>
    <w:rsid w:val="00E14E14"/>
    <w:rsid w:val="00E25AE4"/>
    <w:rsid w:val="00E45D45"/>
    <w:rsid w:val="00E67927"/>
    <w:rsid w:val="00E965EF"/>
    <w:rsid w:val="00EB7711"/>
    <w:rsid w:val="00EC5815"/>
    <w:rsid w:val="00ED0A0E"/>
    <w:rsid w:val="00ED61C9"/>
    <w:rsid w:val="00EE640D"/>
    <w:rsid w:val="00F064BC"/>
    <w:rsid w:val="00F16ABE"/>
    <w:rsid w:val="00F224D5"/>
    <w:rsid w:val="00F2570F"/>
    <w:rsid w:val="00F32DFB"/>
    <w:rsid w:val="00F468F3"/>
    <w:rsid w:val="00F51EC1"/>
    <w:rsid w:val="00F54907"/>
    <w:rsid w:val="00F606EC"/>
    <w:rsid w:val="00F736D2"/>
    <w:rsid w:val="00F812A8"/>
    <w:rsid w:val="00F83B11"/>
    <w:rsid w:val="00F90BE2"/>
    <w:rsid w:val="00F94827"/>
    <w:rsid w:val="00F960A1"/>
    <w:rsid w:val="00FA7782"/>
    <w:rsid w:val="00FB0927"/>
    <w:rsid w:val="00FB2176"/>
    <w:rsid w:val="00FB2291"/>
    <w:rsid w:val="00FC33C6"/>
    <w:rsid w:val="00FD156F"/>
    <w:rsid w:val="00FD4D5B"/>
    <w:rsid w:val="00FE1C69"/>
    <w:rsid w:val="00FE3E58"/>
    <w:rsid w:val="00FE4963"/>
    <w:rsid w:val="00FE53A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03D"/>
    <w:pPr>
      <w:spacing w:after="0" w:line="240" w:lineRule="auto"/>
    </w:pPr>
    <w:rPr>
      <w:rFonts w:ascii="Times New Roman" w:eastAsia="Times New Roman" w:hAnsi="Times New Roman" w:cs="Times New Roman"/>
      <w:sz w:val="24"/>
      <w:szCs w:val="24"/>
      <w:lang w:val="es-MX" w:eastAsia="es-ES"/>
    </w:rPr>
  </w:style>
  <w:style w:type="paragraph" w:styleId="Ttulo1">
    <w:name w:val="heading 1"/>
    <w:basedOn w:val="Normal"/>
    <w:next w:val="Normal"/>
    <w:link w:val="Ttulo1Car"/>
    <w:uiPriority w:val="9"/>
    <w:qFormat/>
    <w:rsid w:val="008D6CF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jc w:val="both"/>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paragraph" w:styleId="Textodeglobo">
    <w:name w:val="Balloon Text"/>
    <w:basedOn w:val="Normal"/>
    <w:link w:val="TextodegloboCar"/>
    <w:uiPriority w:val="99"/>
    <w:semiHidden/>
    <w:unhideWhenUsed/>
    <w:rsid w:val="008C660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C6604"/>
    <w:rPr>
      <w:rFonts w:ascii="Segoe UI" w:hAnsi="Segoe UI" w:cs="Segoe UI"/>
      <w:sz w:val="18"/>
      <w:szCs w:val="18"/>
      <w:lang w:val="es-MX"/>
    </w:rPr>
  </w:style>
  <w:style w:type="paragraph" w:styleId="Textoindependiente">
    <w:name w:val="Body Text"/>
    <w:basedOn w:val="Normal"/>
    <w:link w:val="TextoindependienteCar"/>
    <w:uiPriority w:val="99"/>
    <w:unhideWhenUsed/>
    <w:rsid w:val="00913F62"/>
    <w:pPr>
      <w:spacing w:after="120"/>
    </w:pPr>
  </w:style>
  <w:style w:type="character" w:customStyle="1" w:styleId="TextoindependienteCar">
    <w:name w:val="Texto independiente Car"/>
    <w:basedOn w:val="Fuentedeprrafopredeter"/>
    <w:link w:val="Textoindependiente"/>
    <w:uiPriority w:val="99"/>
    <w:rsid w:val="00913F62"/>
    <w:rPr>
      <w:rFonts w:ascii="Times New Roman" w:eastAsia="Times New Roman" w:hAnsi="Times New Roman" w:cs="Times New Roman"/>
      <w:sz w:val="24"/>
      <w:szCs w:val="24"/>
      <w:lang w:val="es-MX" w:eastAsia="es-ES"/>
    </w:rPr>
  </w:style>
  <w:style w:type="paragraph" w:styleId="Textoindependienteprimerasangra">
    <w:name w:val="Body Text First Indent"/>
    <w:basedOn w:val="Textoindependiente"/>
    <w:link w:val="TextoindependienteprimerasangraCar"/>
    <w:uiPriority w:val="99"/>
    <w:rsid w:val="00913F62"/>
    <w:pPr>
      <w:spacing w:line="360" w:lineRule="auto"/>
      <w:ind w:firstLine="210"/>
      <w:jc w:val="both"/>
    </w:pPr>
    <w:rPr>
      <w:rFonts w:ascii="Calibri" w:hAnsi="Calibri"/>
      <w:sz w:val="26"/>
    </w:rPr>
  </w:style>
  <w:style w:type="character" w:customStyle="1" w:styleId="TextoindependienteprimerasangraCar">
    <w:name w:val="Texto independiente primera sangría Car"/>
    <w:basedOn w:val="TextoindependienteCar"/>
    <w:link w:val="Textoindependienteprimerasangra"/>
    <w:uiPriority w:val="99"/>
    <w:rsid w:val="00913F62"/>
    <w:rPr>
      <w:rFonts w:ascii="Calibri" w:eastAsia="Times New Roman" w:hAnsi="Calibri" w:cs="Times New Roman"/>
      <w:sz w:val="26"/>
      <w:szCs w:val="24"/>
      <w:lang w:val="es-MX" w:eastAsia="es-ES"/>
    </w:rPr>
  </w:style>
  <w:style w:type="character" w:customStyle="1" w:styleId="Ttulo1Car">
    <w:name w:val="Título 1 Car"/>
    <w:basedOn w:val="Fuentedeprrafopredeter"/>
    <w:link w:val="Ttulo1"/>
    <w:uiPriority w:val="9"/>
    <w:rsid w:val="008D6CFA"/>
    <w:rPr>
      <w:rFonts w:asciiTheme="majorHAnsi" w:eastAsiaTheme="majorEastAsia" w:hAnsiTheme="majorHAnsi" w:cstheme="majorBidi"/>
      <w:color w:val="2F5496" w:themeColor="accent1" w:themeShade="BF"/>
      <w:sz w:val="32"/>
      <w:szCs w:val="32"/>
      <w:lang w:val="es-MX" w:eastAsia="es-ES"/>
    </w:rPr>
  </w:style>
  <w:style w:type="paragraph" w:styleId="Lista2">
    <w:name w:val="List 2"/>
    <w:basedOn w:val="Normal"/>
    <w:uiPriority w:val="99"/>
    <w:unhideWhenUsed/>
    <w:rsid w:val="008D6CFA"/>
    <w:pPr>
      <w:ind w:left="566" w:hanging="283"/>
      <w:contextualSpacing/>
    </w:pPr>
  </w:style>
  <w:style w:type="paragraph" w:styleId="Sangradetextonormal">
    <w:name w:val="Body Text Indent"/>
    <w:basedOn w:val="Normal"/>
    <w:link w:val="SangradetextonormalCar"/>
    <w:uiPriority w:val="99"/>
    <w:unhideWhenUsed/>
    <w:rsid w:val="008D6CFA"/>
    <w:pPr>
      <w:spacing w:after="120"/>
      <w:ind w:left="283"/>
    </w:pPr>
  </w:style>
  <w:style w:type="character" w:customStyle="1" w:styleId="SangradetextonormalCar">
    <w:name w:val="Sangría de texto normal Car"/>
    <w:basedOn w:val="Fuentedeprrafopredeter"/>
    <w:link w:val="Sangradetextonormal"/>
    <w:uiPriority w:val="99"/>
    <w:rsid w:val="008D6CFA"/>
    <w:rPr>
      <w:rFonts w:ascii="Times New Roman" w:eastAsia="Times New Roman" w:hAnsi="Times New Roman" w:cs="Times New Roman"/>
      <w:sz w:val="24"/>
      <w:szCs w:val="24"/>
      <w:lang w:val="es-MX" w:eastAsia="es-ES"/>
    </w:rPr>
  </w:style>
  <w:style w:type="paragraph" w:styleId="Textoindependienteprimerasangra2">
    <w:name w:val="Body Text First Indent 2"/>
    <w:basedOn w:val="Sangradetextonormal"/>
    <w:link w:val="Textoindependienteprimerasangra2Car"/>
    <w:uiPriority w:val="99"/>
    <w:unhideWhenUsed/>
    <w:rsid w:val="008D6CFA"/>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8D6CFA"/>
    <w:rPr>
      <w:rFonts w:ascii="Times New Roman" w:eastAsia="Times New Roman" w:hAnsi="Times New Roman" w:cs="Times New Roman"/>
      <w:sz w:val="24"/>
      <w:szCs w:val="24"/>
      <w:lang w:val="es-MX" w:eastAsia="es-ES"/>
    </w:rPr>
  </w:style>
  <w:style w:type="paragraph" w:styleId="Listaconvietas2">
    <w:name w:val="List Bullet 2"/>
    <w:basedOn w:val="Normal"/>
    <w:uiPriority w:val="99"/>
    <w:unhideWhenUsed/>
    <w:rsid w:val="00EB7711"/>
    <w:pPr>
      <w:numPr>
        <w:numId w:val="14"/>
      </w:numPr>
      <w:contextualSpacing/>
    </w:pPr>
  </w:style>
  <w:style w:type="character" w:customStyle="1" w:styleId="corte4fondoCar1">
    <w:name w:val="corte4 fondo Car1"/>
    <w:link w:val="corte4fondo"/>
    <w:locked/>
    <w:rsid w:val="00B707A6"/>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B707A6"/>
    <w:pPr>
      <w:spacing w:line="360" w:lineRule="auto"/>
      <w:ind w:firstLine="709"/>
      <w:jc w:val="both"/>
    </w:pPr>
    <w:rPr>
      <w:rFonts w:ascii="Arial" w:hAnsi="Arial"/>
      <w:sz w:val="30"/>
      <w:szCs w:val="20"/>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281EA6-2BFB-4F0C-84E6-35501B1B8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1406</Words>
  <Characters>7737</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 3</cp:lastModifiedBy>
  <cp:revision>3</cp:revision>
  <cp:lastPrinted>2023-11-28T19:49:00Z</cp:lastPrinted>
  <dcterms:created xsi:type="dcterms:W3CDTF">2023-11-27T20:12:00Z</dcterms:created>
  <dcterms:modified xsi:type="dcterms:W3CDTF">2023-11-28T19:50:00Z</dcterms:modified>
</cp:coreProperties>
</file>