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F7920" w14:textId="0F4B9BC4" w:rsidR="004C3644" w:rsidRPr="004C3644" w:rsidRDefault="004C3644" w:rsidP="004C3644">
      <w:pPr>
        <w:pStyle w:val="Ttulo1"/>
        <w:jc w:val="center"/>
        <w:rPr>
          <w:rFonts w:ascii="Arial" w:hAnsi="Arial" w:cs="Arial"/>
          <w:color w:val="auto"/>
          <w:sz w:val="24"/>
          <w:szCs w:val="24"/>
        </w:rPr>
      </w:pPr>
      <w:r w:rsidRPr="004C3644">
        <w:rPr>
          <w:rFonts w:ascii="Arial" w:hAnsi="Arial" w:cs="Arial"/>
          <w:color w:val="000000" w:themeColor="text1"/>
          <w:sz w:val="24"/>
          <w:szCs w:val="24"/>
        </w:rPr>
        <w:t>CUENTAS BANCARIAS</w:t>
      </w:r>
    </w:p>
    <w:p w14:paraId="7668953D" w14:textId="18E29345" w:rsidR="004C3644" w:rsidRPr="004C3644" w:rsidRDefault="004C3644" w:rsidP="004C3644">
      <w:pPr>
        <w:ind w:left="360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                                                </w:t>
      </w:r>
      <w:r w:rsidRPr="004C3644">
        <w:rPr>
          <w:rFonts w:ascii="Arial" w:hAnsi="Arial" w:cs="Arial"/>
          <w:b/>
          <w:color w:val="000000" w:themeColor="text1"/>
          <w:sz w:val="24"/>
          <w:szCs w:val="24"/>
        </w:rPr>
        <w:t>JULIO 2023</w:t>
      </w:r>
    </w:p>
    <w:p w14:paraId="5895AC81" w14:textId="77777777" w:rsidR="004C3644" w:rsidRPr="00203EF1" w:rsidRDefault="004C3644" w:rsidP="004C3644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color w:val="000000" w:themeColor="text1"/>
          <w:sz w:val="24"/>
          <w:szCs w:val="24"/>
        </w:rPr>
        <w:t>El saldo al 3</w:t>
      </w:r>
      <w:r>
        <w:rPr>
          <w:rFonts w:ascii="Arial" w:hAnsi="Arial" w:cs="Arial"/>
          <w:color w:val="000000" w:themeColor="text1"/>
          <w:sz w:val="24"/>
          <w:szCs w:val="24"/>
        </w:rPr>
        <w:t>1 de Julio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 xml:space="preserve"> del 2023, de las cuentas de efectivo y equivalentes se encuentra distribuido en las siguientes cuentas bancarias.</w:t>
      </w: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588"/>
      </w:tblGrid>
      <w:tr w:rsidR="004C3644" w:rsidRPr="000534B8" w14:paraId="211D8C64" w14:textId="77777777" w:rsidTr="003E658E">
        <w:tc>
          <w:tcPr>
            <w:tcW w:w="2294" w:type="dxa"/>
          </w:tcPr>
          <w:p w14:paraId="0107A4F0" w14:textId="77777777" w:rsidR="004C3644" w:rsidRPr="000534B8" w:rsidRDefault="004C3644" w:rsidP="003E658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2371" w:type="dxa"/>
            <w:vAlign w:val="center"/>
          </w:tcPr>
          <w:p w14:paraId="1D4F3706" w14:textId="77777777" w:rsidR="004C3644" w:rsidRPr="000534B8" w:rsidRDefault="004C3644" w:rsidP="003E658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956" w:type="dxa"/>
            <w:vAlign w:val="center"/>
          </w:tcPr>
          <w:p w14:paraId="02FE9EA0" w14:textId="77777777" w:rsidR="004C3644" w:rsidRPr="000534B8" w:rsidRDefault="004C3644" w:rsidP="003E658E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588" w:type="dxa"/>
            <w:vAlign w:val="center"/>
          </w:tcPr>
          <w:p w14:paraId="7D181D00" w14:textId="77777777" w:rsidR="004C3644" w:rsidRPr="000534B8" w:rsidRDefault="004C3644" w:rsidP="003E658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4C3644" w:rsidRPr="000534B8" w14:paraId="2D9BCF01" w14:textId="77777777" w:rsidTr="003E658E">
        <w:tc>
          <w:tcPr>
            <w:tcW w:w="2294" w:type="dxa"/>
          </w:tcPr>
          <w:p w14:paraId="059FA32F" w14:textId="77777777" w:rsidR="004C3644" w:rsidRPr="000534B8" w:rsidRDefault="004C3644" w:rsidP="003E658E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Fondo Revolvente</w:t>
            </w:r>
          </w:p>
        </w:tc>
        <w:tc>
          <w:tcPr>
            <w:tcW w:w="2371" w:type="dxa"/>
            <w:vAlign w:val="center"/>
          </w:tcPr>
          <w:p w14:paraId="58440728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          0840005143</w:t>
            </w:r>
          </w:p>
        </w:tc>
        <w:tc>
          <w:tcPr>
            <w:tcW w:w="1956" w:type="dxa"/>
            <w:vAlign w:val="center"/>
          </w:tcPr>
          <w:p w14:paraId="44D37581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     10,000.00</w:t>
            </w:r>
          </w:p>
        </w:tc>
        <w:tc>
          <w:tcPr>
            <w:tcW w:w="2588" w:type="dxa"/>
            <w:vAlign w:val="center"/>
          </w:tcPr>
          <w:p w14:paraId="7F4FA5E2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                  10,000.00</w:t>
            </w:r>
          </w:p>
        </w:tc>
      </w:tr>
      <w:tr w:rsidR="004C3644" w:rsidRPr="000534B8" w14:paraId="59B32E91" w14:textId="77777777" w:rsidTr="003E658E">
        <w:tc>
          <w:tcPr>
            <w:tcW w:w="2294" w:type="dxa"/>
          </w:tcPr>
          <w:p w14:paraId="4D613599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Gasto Ordinario</w:t>
            </w:r>
          </w:p>
          <w:p w14:paraId="25521F6D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8C6134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  <w:p w14:paraId="5679E21A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CE3F3F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098778284</w:t>
            </w:r>
          </w:p>
        </w:tc>
        <w:tc>
          <w:tcPr>
            <w:tcW w:w="1956" w:type="dxa"/>
            <w:vAlign w:val="center"/>
          </w:tcPr>
          <w:p w14:paraId="7012E92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157,978.87</w:t>
            </w:r>
          </w:p>
          <w:p w14:paraId="20874D4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1AC0A4A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12,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300,000.00</w:t>
            </w:r>
          </w:p>
          <w:p w14:paraId="40137187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588" w:type="dxa"/>
            <w:vAlign w:val="center"/>
          </w:tcPr>
          <w:p w14:paraId="44F72E2C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12,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457,978.87</w:t>
            </w:r>
          </w:p>
        </w:tc>
      </w:tr>
      <w:tr w:rsidR="004C3644" w:rsidRPr="000534B8" w14:paraId="3ABB696D" w14:textId="77777777" w:rsidTr="003E658E">
        <w:tc>
          <w:tcPr>
            <w:tcW w:w="2294" w:type="dxa"/>
          </w:tcPr>
          <w:p w14:paraId="4A0E4FAF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PP y APES</w:t>
            </w:r>
          </w:p>
          <w:p w14:paraId="2213D2B4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D870CF8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</w:t>
            </w:r>
          </w:p>
          <w:p w14:paraId="71096E2B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PP y APES</w:t>
            </w:r>
          </w:p>
        </w:tc>
        <w:tc>
          <w:tcPr>
            <w:tcW w:w="2371" w:type="dxa"/>
            <w:vAlign w:val="center"/>
          </w:tcPr>
          <w:p w14:paraId="11D44D01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0637808839</w:t>
            </w:r>
          </w:p>
          <w:p w14:paraId="189AC9B3" w14:textId="77777777" w:rsidR="004C3644" w:rsidRPr="000534B8" w:rsidRDefault="004C3644" w:rsidP="003E658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538A38F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0503097824</w:t>
            </w:r>
          </w:p>
          <w:p w14:paraId="68E75C0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0EC21911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139,650.94</w:t>
            </w:r>
          </w:p>
          <w:p w14:paraId="47484E3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BED277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19,800,000.00</w:t>
            </w:r>
          </w:p>
        </w:tc>
        <w:tc>
          <w:tcPr>
            <w:tcW w:w="2588" w:type="dxa"/>
            <w:vAlign w:val="center"/>
          </w:tcPr>
          <w:p w14:paraId="140FBC67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19,939,650.94</w:t>
            </w:r>
          </w:p>
        </w:tc>
      </w:tr>
      <w:tr w:rsidR="004C3644" w:rsidRPr="000534B8" w14:paraId="3B1AC451" w14:textId="77777777" w:rsidTr="003E658E">
        <w:tc>
          <w:tcPr>
            <w:tcW w:w="2294" w:type="dxa"/>
          </w:tcPr>
          <w:p w14:paraId="42C8424E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Proceso Electoral 2020-2021</w:t>
            </w:r>
          </w:p>
          <w:p w14:paraId="17A47DA9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Proceso Electoral 2020-2021</w:t>
            </w:r>
          </w:p>
        </w:tc>
        <w:tc>
          <w:tcPr>
            <w:tcW w:w="2371" w:type="dxa"/>
            <w:vAlign w:val="center"/>
          </w:tcPr>
          <w:p w14:paraId="1C756F4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0594441067</w:t>
            </w:r>
          </w:p>
          <w:p w14:paraId="603A90B7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1CEB6D7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3249215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61,525.19</w:t>
            </w:r>
          </w:p>
          <w:p w14:paraId="3A90A1CE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99C3333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700,000.00</w:t>
            </w:r>
          </w:p>
        </w:tc>
        <w:tc>
          <w:tcPr>
            <w:tcW w:w="2588" w:type="dxa"/>
            <w:vAlign w:val="center"/>
          </w:tcPr>
          <w:p w14:paraId="586523C9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61,525.19</w:t>
            </w:r>
          </w:p>
        </w:tc>
      </w:tr>
      <w:tr w:rsidR="004C3644" w:rsidRPr="000534B8" w14:paraId="6BE52ABF" w14:textId="77777777" w:rsidTr="003E658E">
        <w:tc>
          <w:tcPr>
            <w:tcW w:w="2294" w:type="dxa"/>
          </w:tcPr>
          <w:p w14:paraId="0CEA194B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Gasto Ordinario</w:t>
            </w:r>
          </w:p>
          <w:p w14:paraId="0BD8F8C3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Inversión Gasto Ordinario</w:t>
            </w:r>
          </w:p>
        </w:tc>
        <w:tc>
          <w:tcPr>
            <w:tcW w:w="2371" w:type="dxa"/>
            <w:vAlign w:val="center"/>
          </w:tcPr>
          <w:p w14:paraId="1DCC1241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0452322056</w:t>
            </w:r>
          </w:p>
          <w:p w14:paraId="38E5110B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6CBAD22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2050777196</w:t>
            </w:r>
          </w:p>
        </w:tc>
        <w:tc>
          <w:tcPr>
            <w:tcW w:w="1956" w:type="dxa"/>
            <w:vAlign w:val="center"/>
          </w:tcPr>
          <w:p w14:paraId="0EBDDEE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6,138.46</w:t>
            </w:r>
          </w:p>
          <w:p w14:paraId="251CE67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0C20C97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2588" w:type="dxa"/>
            <w:vAlign w:val="center"/>
          </w:tcPr>
          <w:p w14:paraId="0F69E0E3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206,138.46</w:t>
            </w:r>
          </w:p>
        </w:tc>
      </w:tr>
      <w:tr w:rsidR="004C3644" w:rsidRPr="000534B8" w14:paraId="746604D6" w14:textId="77777777" w:rsidTr="003E658E">
        <w:tc>
          <w:tcPr>
            <w:tcW w:w="2294" w:type="dxa"/>
            <w:vAlign w:val="center"/>
          </w:tcPr>
          <w:p w14:paraId="51A5C9C3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Recuperación de Bienes</w:t>
            </w:r>
          </w:p>
        </w:tc>
        <w:tc>
          <w:tcPr>
            <w:tcW w:w="2371" w:type="dxa"/>
            <w:vAlign w:val="center"/>
          </w:tcPr>
          <w:p w14:paraId="603A18BA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0119219986</w:t>
            </w:r>
          </w:p>
        </w:tc>
        <w:tc>
          <w:tcPr>
            <w:tcW w:w="1956" w:type="dxa"/>
            <w:vAlign w:val="center"/>
          </w:tcPr>
          <w:p w14:paraId="2FD37E13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795,5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85.56</w:t>
            </w:r>
          </w:p>
        </w:tc>
        <w:tc>
          <w:tcPr>
            <w:tcW w:w="2588" w:type="dxa"/>
            <w:vAlign w:val="center"/>
          </w:tcPr>
          <w:p w14:paraId="5F9864F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795,585.56</w:t>
            </w:r>
          </w:p>
        </w:tc>
      </w:tr>
      <w:tr w:rsidR="004C3644" w:rsidRPr="000534B8" w14:paraId="2A2E1A89" w14:textId="77777777" w:rsidTr="003E658E">
        <w:tc>
          <w:tcPr>
            <w:tcW w:w="2294" w:type="dxa"/>
            <w:vAlign w:val="center"/>
          </w:tcPr>
          <w:p w14:paraId="08D46CEC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Ingresos Propios</w:t>
            </w:r>
          </w:p>
          <w:p w14:paraId="586351DB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2371" w:type="dxa"/>
            <w:vAlign w:val="center"/>
          </w:tcPr>
          <w:p w14:paraId="75481A4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0119659471</w:t>
            </w:r>
          </w:p>
        </w:tc>
        <w:tc>
          <w:tcPr>
            <w:tcW w:w="1956" w:type="dxa"/>
            <w:vAlign w:val="center"/>
          </w:tcPr>
          <w:p w14:paraId="6A24AF7E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801,5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80.37</w:t>
            </w:r>
          </w:p>
        </w:tc>
        <w:tc>
          <w:tcPr>
            <w:tcW w:w="2588" w:type="dxa"/>
            <w:vAlign w:val="center"/>
          </w:tcPr>
          <w:p w14:paraId="1C6D5A4E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t>801,5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80.37</w:t>
            </w:r>
          </w:p>
        </w:tc>
      </w:tr>
      <w:tr w:rsidR="004C3644" w:rsidRPr="000534B8" w14:paraId="36983D8B" w14:textId="77777777" w:rsidTr="003E658E">
        <w:tc>
          <w:tcPr>
            <w:tcW w:w="2294" w:type="dxa"/>
            <w:vAlign w:val="center"/>
          </w:tcPr>
          <w:p w14:paraId="45BCB616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1" w:type="dxa"/>
            <w:vAlign w:val="center"/>
          </w:tcPr>
          <w:p w14:paraId="73A24C4C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3455E570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588" w:type="dxa"/>
            <w:vAlign w:val="center"/>
          </w:tcPr>
          <w:p w14:paraId="5E4FCDD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34,972,459.32</w:t>
            </w:r>
          </w:p>
        </w:tc>
      </w:tr>
    </w:tbl>
    <w:p w14:paraId="097DDD2F" w14:textId="77777777" w:rsidR="004C3644" w:rsidRPr="00203EF1" w:rsidRDefault="004C3644" w:rsidP="004C3644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3C9B05D4" w14:textId="77777777" w:rsidR="004C3644" w:rsidRPr="00203EF1" w:rsidRDefault="004C3644" w:rsidP="004C3644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Cuenta bancaria recuperación de bienes.</w:t>
      </w:r>
    </w:p>
    <w:p w14:paraId="223B60DF" w14:textId="77777777" w:rsidR="004C3644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color w:val="000000" w:themeColor="text1"/>
          <w:sz w:val="24"/>
          <w:szCs w:val="24"/>
        </w:rPr>
        <w:t>De acuerdo con el Reglamento de Desincorporación de bienes del Con</w:t>
      </w:r>
      <w:r>
        <w:rPr>
          <w:rFonts w:ascii="Arial" w:hAnsi="Arial" w:cs="Arial"/>
          <w:color w:val="000000" w:themeColor="text1"/>
          <w:sz w:val="24"/>
          <w:szCs w:val="24"/>
        </w:rPr>
        <w:t>se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jo de conformidad con el a</w:t>
      </w:r>
      <w:r w:rsidRPr="00203EF1">
        <w:rPr>
          <w:rFonts w:ascii="Arial" w:hAnsi="Arial" w:cs="Arial"/>
          <w:sz w:val="24"/>
          <w:szCs w:val="24"/>
        </w:rPr>
        <w:t>rtículo 42 el cual señala:</w:t>
      </w:r>
    </w:p>
    <w:p w14:paraId="5B001018" w14:textId="77777777" w:rsidR="004C3644" w:rsidRPr="00203EF1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2C7654B1" w14:textId="77777777" w:rsidR="004C3644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>“Todos los recursos financieros producto de las enajenaciones deberán ser depositados a la cuenta del Fondo de Recuperación de Bienes Inventariables del Consejo, con la finalidad de aplicar los recursos que se obtengan a lo que determine el Pleno del Consejo, debiendo atenderse en todo momento a las disposiciones de la Ley de Presupuesto, Contabilidad y Gasto Público del Estado de San Luis Potosí”.</w:t>
      </w:r>
    </w:p>
    <w:p w14:paraId="529BDA53" w14:textId="77777777" w:rsidR="004C3644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40137BB1" w14:textId="77777777" w:rsidR="004C3644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467D1176" w14:textId="77777777" w:rsidR="004C3644" w:rsidRPr="00203EF1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4713C5BE" w14:textId="77777777" w:rsidR="004C3644" w:rsidRPr="00815176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203EF1">
        <w:rPr>
          <w:rFonts w:ascii="Arial" w:hAnsi="Arial" w:cs="Arial"/>
          <w:sz w:val="24"/>
          <w:szCs w:val="24"/>
        </w:rPr>
        <w:t>aperturó</w:t>
      </w:r>
      <w:proofErr w:type="spellEnd"/>
      <w:r w:rsidRPr="00203EF1">
        <w:rPr>
          <w:rFonts w:ascii="Arial" w:hAnsi="Arial" w:cs="Arial"/>
          <w:sz w:val="24"/>
          <w:szCs w:val="24"/>
        </w:rPr>
        <w:t xml:space="preserve"> en el mes de septiembre</w:t>
      </w:r>
      <w:r>
        <w:rPr>
          <w:rFonts w:ascii="Arial" w:hAnsi="Arial" w:cs="Arial"/>
          <w:sz w:val="24"/>
          <w:szCs w:val="24"/>
        </w:rPr>
        <w:t xml:space="preserve"> de 2022</w:t>
      </w:r>
      <w:r w:rsidRPr="00203EF1">
        <w:rPr>
          <w:rFonts w:ascii="Arial" w:hAnsi="Arial" w:cs="Arial"/>
          <w:sz w:val="24"/>
          <w:szCs w:val="24"/>
        </w:rPr>
        <w:t xml:space="preserve">, toda vez que el día 30 de junio de 2022 mediante acuerdo 132/06/2022 se aprobó el programa de desincorporación y destino final de los bienes muebles del patrimonio del Consejo de conformidad con lo establecido en el artículo 32, párrafo segundo de la Ley de Bienes del Estado y Municipios de San Luis Potosí y los artículos 26 y 27 del Reglamento en materia de desincorporación de Bienes Muebles del Consejo Estatal Electoral y de Participación Ciudadana. </w:t>
      </w:r>
    </w:p>
    <w:p w14:paraId="5C95D6C0" w14:textId="77777777" w:rsidR="004C3644" w:rsidRPr="00203EF1" w:rsidRDefault="004C3644" w:rsidP="004C3644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otros Ingresos.</w:t>
      </w:r>
    </w:p>
    <w:p w14:paraId="7B5C5D96" w14:textId="77777777" w:rsidR="004C3644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203EF1">
        <w:rPr>
          <w:rFonts w:ascii="Arial" w:hAnsi="Arial" w:cs="Arial"/>
          <w:sz w:val="24"/>
          <w:szCs w:val="24"/>
        </w:rPr>
        <w:t>apertur</w:t>
      </w:r>
      <w:r>
        <w:rPr>
          <w:rFonts w:ascii="Arial" w:hAnsi="Arial" w:cs="Arial"/>
          <w:sz w:val="24"/>
          <w:szCs w:val="24"/>
        </w:rPr>
        <w:t>ó</w:t>
      </w:r>
      <w:proofErr w:type="spellEnd"/>
      <w:r w:rsidRPr="00203EF1">
        <w:rPr>
          <w:rFonts w:ascii="Arial" w:hAnsi="Arial" w:cs="Arial"/>
          <w:sz w:val="24"/>
          <w:szCs w:val="24"/>
        </w:rPr>
        <w:t xml:space="preserve"> en el mes de diciembre</w:t>
      </w:r>
      <w:r>
        <w:rPr>
          <w:rFonts w:ascii="Arial" w:hAnsi="Arial" w:cs="Arial"/>
          <w:sz w:val="24"/>
          <w:szCs w:val="24"/>
        </w:rPr>
        <w:t xml:space="preserve"> de 2022</w:t>
      </w:r>
      <w:r w:rsidRPr="00203EF1">
        <w:rPr>
          <w:rFonts w:ascii="Arial" w:hAnsi="Arial" w:cs="Arial"/>
          <w:sz w:val="24"/>
          <w:szCs w:val="24"/>
        </w:rPr>
        <w:t xml:space="preserve">, con la finalidad de </w:t>
      </w:r>
      <w:r>
        <w:rPr>
          <w:rFonts w:ascii="Arial" w:hAnsi="Arial" w:cs="Arial"/>
          <w:sz w:val="24"/>
          <w:szCs w:val="24"/>
        </w:rPr>
        <w:t>desagregar</w:t>
      </w:r>
      <w:r w:rsidRPr="00203EF1">
        <w:rPr>
          <w:rFonts w:ascii="Arial" w:hAnsi="Arial" w:cs="Arial"/>
          <w:sz w:val="24"/>
          <w:szCs w:val="24"/>
        </w:rPr>
        <w:t xml:space="preserve"> del presupuesto anual los ingresos propios de este Organismo Electoral.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17F3B88" w14:textId="77777777" w:rsidR="004C3644" w:rsidRPr="00DB2B48" w:rsidRDefault="004C3644" w:rsidP="004C3644">
      <w:pPr>
        <w:pStyle w:val="Textoindependiente"/>
        <w:jc w:val="both"/>
        <w:rPr>
          <w:rFonts w:ascii="Arial" w:hAnsi="Arial" w:cs="Arial"/>
          <w:b/>
          <w:bCs/>
          <w:sz w:val="24"/>
          <w:szCs w:val="24"/>
        </w:rPr>
      </w:pPr>
      <w:r w:rsidRPr="00DB2B48">
        <w:rPr>
          <w:rFonts w:ascii="Arial" w:hAnsi="Arial" w:cs="Arial"/>
          <w:b/>
          <w:bCs/>
          <w:sz w:val="24"/>
          <w:szCs w:val="24"/>
        </w:rPr>
        <w:t>Cuenta bancaria Plebiscito.</w:t>
      </w:r>
    </w:p>
    <w:p w14:paraId="291B8396" w14:textId="77777777" w:rsidR="004C3644" w:rsidRPr="00DB2B48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DB2B48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DB2B48">
        <w:rPr>
          <w:rFonts w:ascii="Arial" w:hAnsi="Arial" w:cs="Arial"/>
          <w:sz w:val="24"/>
          <w:szCs w:val="24"/>
        </w:rPr>
        <w:t>aperturó</w:t>
      </w:r>
      <w:proofErr w:type="spellEnd"/>
      <w:r w:rsidRPr="00DB2B48">
        <w:rPr>
          <w:rFonts w:ascii="Arial" w:hAnsi="Arial" w:cs="Arial"/>
          <w:sz w:val="24"/>
          <w:szCs w:val="24"/>
        </w:rPr>
        <w:t xml:space="preserve"> en el mes de julio de 2023, para llevar a cabo el Plebiscito y la compulsa de credenciales para votar, cuyas copias se anexan a la documentación recibida, en atención a la petición formulada por el honorable </w:t>
      </w:r>
      <w:r>
        <w:rPr>
          <w:rFonts w:ascii="Arial" w:hAnsi="Arial" w:cs="Arial"/>
          <w:sz w:val="24"/>
          <w:szCs w:val="24"/>
        </w:rPr>
        <w:t>C</w:t>
      </w:r>
      <w:r w:rsidRPr="00DB2B48">
        <w:rPr>
          <w:rFonts w:ascii="Arial" w:hAnsi="Arial" w:cs="Arial"/>
          <w:sz w:val="24"/>
          <w:szCs w:val="24"/>
        </w:rPr>
        <w:t xml:space="preserve">ongreso del </w:t>
      </w:r>
      <w:r>
        <w:rPr>
          <w:rFonts w:ascii="Arial" w:hAnsi="Arial" w:cs="Arial"/>
          <w:sz w:val="24"/>
          <w:szCs w:val="24"/>
        </w:rPr>
        <w:t>E</w:t>
      </w:r>
      <w:r w:rsidRPr="00DB2B48">
        <w:rPr>
          <w:rFonts w:ascii="Arial" w:hAnsi="Arial" w:cs="Arial"/>
          <w:sz w:val="24"/>
          <w:szCs w:val="24"/>
        </w:rPr>
        <w:t xml:space="preserve">stado a este </w:t>
      </w:r>
      <w:r>
        <w:rPr>
          <w:rFonts w:ascii="Arial" w:hAnsi="Arial" w:cs="Arial"/>
          <w:sz w:val="24"/>
          <w:szCs w:val="24"/>
        </w:rPr>
        <w:t>O</w:t>
      </w:r>
      <w:r w:rsidRPr="00DB2B48">
        <w:rPr>
          <w:rFonts w:ascii="Arial" w:hAnsi="Arial" w:cs="Arial"/>
          <w:sz w:val="24"/>
          <w:szCs w:val="24"/>
        </w:rPr>
        <w:t xml:space="preserve">rganismo </w:t>
      </w:r>
      <w:r>
        <w:rPr>
          <w:rFonts w:ascii="Arial" w:hAnsi="Arial" w:cs="Arial"/>
          <w:sz w:val="24"/>
          <w:szCs w:val="24"/>
        </w:rPr>
        <w:t>E</w:t>
      </w:r>
      <w:r w:rsidRPr="00DB2B48">
        <w:rPr>
          <w:rFonts w:ascii="Arial" w:hAnsi="Arial" w:cs="Arial"/>
          <w:sz w:val="24"/>
          <w:szCs w:val="24"/>
        </w:rPr>
        <w:t>lectoral</w:t>
      </w:r>
      <w:r>
        <w:rPr>
          <w:rFonts w:ascii="Arial" w:hAnsi="Arial" w:cs="Arial"/>
          <w:sz w:val="24"/>
          <w:szCs w:val="24"/>
        </w:rPr>
        <w:t>.</w:t>
      </w:r>
    </w:p>
    <w:p w14:paraId="1F93C74B" w14:textId="77777777" w:rsidR="004C3644" w:rsidRDefault="004C3644" w:rsidP="004C3644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color w:val="000000" w:themeColor="text1"/>
          <w:sz w:val="24"/>
          <w:szCs w:val="24"/>
        </w:rPr>
        <w:t>Los siguientes saldos bancarios al 3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1 de Julio 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del 2023, corresponden a los fondos creados para un fin específico:</w:t>
      </w:r>
    </w:p>
    <w:p w14:paraId="03514BC3" w14:textId="77777777" w:rsidR="004C3644" w:rsidRPr="00815176" w:rsidRDefault="004C3644" w:rsidP="004C3644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2040"/>
        <w:gridCol w:w="1515"/>
        <w:gridCol w:w="1813"/>
        <w:gridCol w:w="1506"/>
        <w:gridCol w:w="2335"/>
      </w:tblGrid>
      <w:tr w:rsidR="004C3644" w:rsidRPr="000534B8" w14:paraId="4A41FC9D" w14:textId="77777777" w:rsidTr="003E658E">
        <w:tc>
          <w:tcPr>
            <w:tcW w:w="2040" w:type="dxa"/>
            <w:vAlign w:val="center"/>
          </w:tcPr>
          <w:p w14:paraId="60D41E34" w14:textId="77777777" w:rsidR="004C3644" w:rsidRPr="000534B8" w:rsidRDefault="004C3644" w:rsidP="003E658E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NOMBRE FONDO</w:t>
            </w:r>
          </w:p>
        </w:tc>
        <w:tc>
          <w:tcPr>
            <w:tcW w:w="1515" w:type="dxa"/>
            <w:vAlign w:val="center"/>
          </w:tcPr>
          <w:p w14:paraId="44978ABB" w14:textId="77777777" w:rsidR="004C3644" w:rsidRPr="000534B8" w:rsidRDefault="004C3644" w:rsidP="003E658E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1813" w:type="dxa"/>
            <w:vAlign w:val="center"/>
          </w:tcPr>
          <w:p w14:paraId="04B2109D" w14:textId="77777777" w:rsidR="004C3644" w:rsidRPr="000534B8" w:rsidRDefault="004C3644" w:rsidP="003E658E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506" w:type="dxa"/>
            <w:vAlign w:val="center"/>
          </w:tcPr>
          <w:p w14:paraId="3E3400FF" w14:textId="77777777" w:rsidR="004C3644" w:rsidRPr="000534B8" w:rsidRDefault="004C3644" w:rsidP="003E658E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335" w:type="dxa"/>
            <w:vAlign w:val="center"/>
          </w:tcPr>
          <w:p w14:paraId="6C1705AF" w14:textId="77777777" w:rsidR="004C3644" w:rsidRPr="000534B8" w:rsidRDefault="004C3644" w:rsidP="003E658E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4C3644" w:rsidRPr="000534B8" w14:paraId="4B653909" w14:textId="77777777" w:rsidTr="003E658E">
        <w:tc>
          <w:tcPr>
            <w:tcW w:w="2040" w:type="dxa"/>
            <w:vAlign w:val="center"/>
          </w:tcPr>
          <w:p w14:paraId="6084FE8E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1.Fondo Pasivo Laboral</w:t>
            </w:r>
          </w:p>
          <w:p w14:paraId="69268086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Inversión Pasivo Laboral</w:t>
            </w:r>
          </w:p>
        </w:tc>
        <w:tc>
          <w:tcPr>
            <w:tcW w:w="1515" w:type="dxa"/>
            <w:vAlign w:val="center"/>
          </w:tcPr>
          <w:p w14:paraId="051D86F3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Banorte</w:t>
            </w:r>
          </w:p>
        </w:tc>
        <w:tc>
          <w:tcPr>
            <w:tcW w:w="1813" w:type="dxa"/>
            <w:vAlign w:val="center"/>
          </w:tcPr>
          <w:p w14:paraId="58CECBD4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858612484</w:t>
            </w:r>
          </w:p>
          <w:p w14:paraId="106E5CA9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4E56E4C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0C54E93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0503308487</w:t>
            </w:r>
          </w:p>
        </w:tc>
        <w:tc>
          <w:tcPr>
            <w:tcW w:w="1506" w:type="dxa"/>
            <w:vAlign w:val="center"/>
          </w:tcPr>
          <w:p w14:paraId="4C6425B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07,462.20</w:t>
            </w:r>
          </w:p>
          <w:p w14:paraId="3907757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E31E823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          </w:t>
            </w:r>
          </w:p>
          <w:p w14:paraId="0BA3705E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2,300,000.00</w:t>
            </w:r>
          </w:p>
        </w:tc>
        <w:tc>
          <w:tcPr>
            <w:tcW w:w="2335" w:type="dxa"/>
            <w:vAlign w:val="center"/>
          </w:tcPr>
          <w:p w14:paraId="181A7E1F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,507,462.20</w:t>
            </w:r>
          </w:p>
        </w:tc>
      </w:tr>
      <w:tr w:rsidR="004C3644" w:rsidRPr="000534B8" w14:paraId="0850971A" w14:textId="77777777" w:rsidTr="003E658E">
        <w:tc>
          <w:tcPr>
            <w:tcW w:w="2040" w:type="dxa"/>
            <w:vAlign w:val="center"/>
          </w:tcPr>
          <w:p w14:paraId="0549FCF1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2.Fondo Fortalecimiento de la Cultura Cívica art.82 Ley Anterior</w:t>
            </w:r>
          </w:p>
          <w:p w14:paraId="027967E5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Cultura Cívica Art.82</w:t>
            </w:r>
          </w:p>
        </w:tc>
        <w:tc>
          <w:tcPr>
            <w:tcW w:w="1515" w:type="dxa"/>
            <w:vAlign w:val="center"/>
          </w:tcPr>
          <w:p w14:paraId="06937477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13" w:type="dxa"/>
            <w:vAlign w:val="center"/>
          </w:tcPr>
          <w:p w14:paraId="61E7BC84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</w:t>
            </w: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0118322783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</w:t>
            </w: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12380922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0AC32B3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C5D3929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2046652824</w:t>
            </w:r>
          </w:p>
        </w:tc>
        <w:tc>
          <w:tcPr>
            <w:tcW w:w="1506" w:type="dxa"/>
            <w:vAlign w:val="center"/>
          </w:tcPr>
          <w:p w14:paraId="1F66E0D8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78,53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4.45</w:t>
            </w:r>
          </w:p>
          <w:p w14:paraId="48CC7730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7055988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348A23A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2335" w:type="dxa"/>
            <w:vAlign w:val="center"/>
          </w:tcPr>
          <w:p w14:paraId="2484738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t>78,53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4.45</w:t>
            </w:r>
          </w:p>
        </w:tc>
      </w:tr>
      <w:tr w:rsidR="004C3644" w:rsidRPr="000534B8" w14:paraId="1625FBAF" w14:textId="77777777" w:rsidTr="003E658E">
        <w:tblPrEx>
          <w:tblCellMar>
            <w:left w:w="70" w:type="dxa"/>
            <w:right w:w="70" w:type="dxa"/>
          </w:tblCellMar>
        </w:tblPrEx>
        <w:tc>
          <w:tcPr>
            <w:tcW w:w="2040" w:type="dxa"/>
            <w:vAlign w:val="center"/>
          </w:tcPr>
          <w:p w14:paraId="16C1757F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3.Fondo para pago de prima de antigüedad del personal</w:t>
            </w:r>
          </w:p>
          <w:p w14:paraId="16C553B1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Fondo para pago de Prima de antigüedad del personal</w:t>
            </w:r>
          </w:p>
          <w:p w14:paraId="2B287CE0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4B4B7378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13" w:type="dxa"/>
            <w:vAlign w:val="center"/>
          </w:tcPr>
          <w:p w14:paraId="2899911F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0104368088</w:t>
            </w:r>
          </w:p>
          <w:p w14:paraId="26611387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536DD88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4DDB32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2EA5AD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2046648436</w:t>
            </w:r>
          </w:p>
        </w:tc>
        <w:tc>
          <w:tcPr>
            <w:tcW w:w="1506" w:type="dxa"/>
            <w:vAlign w:val="center"/>
          </w:tcPr>
          <w:p w14:paraId="1096B4C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108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,344.13</w:t>
            </w:r>
          </w:p>
          <w:p w14:paraId="00A191A8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15D9453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E101A22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2335" w:type="dxa"/>
            <w:vAlign w:val="center"/>
          </w:tcPr>
          <w:p w14:paraId="1AC7517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B8CDDCD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108,34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4.13</w:t>
            </w:r>
          </w:p>
        </w:tc>
      </w:tr>
      <w:tr w:rsidR="004C3644" w:rsidRPr="000534B8" w14:paraId="417E6AFA" w14:textId="77777777" w:rsidTr="003E658E">
        <w:tblPrEx>
          <w:tblCellMar>
            <w:left w:w="70" w:type="dxa"/>
            <w:right w:w="70" w:type="dxa"/>
          </w:tblCellMar>
        </w:tblPrEx>
        <w:tc>
          <w:tcPr>
            <w:tcW w:w="2040" w:type="dxa"/>
            <w:vAlign w:val="center"/>
          </w:tcPr>
          <w:p w14:paraId="4A3525F1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4.Fondo para Provisiones a Largo Plazo Art.37 LEE</w:t>
            </w:r>
          </w:p>
          <w:p w14:paraId="73FD5F52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para Provisiones a Largo Plazo Art. 37 LEE</w:t>
            </w:r>
          </w:p>
          <w:p w14:paraId="5A3EC5A6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5314AB2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3F0B5CE4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13" w:type="dxa"/>
            <w:vAlign w:val="center"/>
          </w:tcPr>
          <w:p w14:paraId="31F76295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A8DBA1A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0104367235</w:t>
            </w:r>
          </w:p>
          <w:p w14:paraId="2A297EB1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4EE20E6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E70CDCE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8941ECC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2046653235</w:t>
            </w:r>
          </w:p>
        </w:tc>
        <w:tc>
          <w:tcPr>
            <w:tcW w:w="1506" w:type="dxa"/>
            <w:vAlign w:val="center"/>
          </w:tcPr>
          <w:p w14:paraId="056E2C1D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5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76,702.502</w:t>
            </w:r>
          </w:p>
          <w:p w14:paraId="6E9F0A42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65968E1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F1976F4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EF521BD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2335" w:type="dxa"/>
            <w:vAlign w:val="center"/>
          </w:tcPr>
          <w:p w14:paraId="7D1C4B37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576,702.50</w:t>
            </w:r>
          </w:p>
        </w:tc>
      </w:tr>
      <w:tr w:rsidR="004C3644" w:rsidRPr="000534B8" w14:paraId="2090CEF3" w14:textId="77777777" w:rsidTr="003E658E">
        <w:tblPrEx>
          <w:tblCellMar>
            <w:left w:w="70" w:type="dxa"/>
            <w:right w:w="70" w:type="dxa"/>
          </w:tblCellMar>
        </w:tblPrEx>
        <w:trPr>
          <w:trHeight w:val="752"/>
        </w:trPr>
        <w:tc>
          <w:tcPr>
            <w:tcW w:w="2040" w:type="dxa"/>
            <w:vAlign w:val="center"/>
          </w:tcPr>
          <w:p w14:paraId="29DAC52D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t xml:space="preserve">Fondo articulo 42 L.E.E. vigente </w:t>
            </w:r>
          </w:p>
          <w:p w14:paraId="48CB0658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2FBF443F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</w:t>
            </w:r>
          </w:p>
        </w:tc>
        <w:tc>
          <w:tcPr>
            <w:tcW w:w="1813" w:type="dxa"/>
            <w:vAlign w:val="center"/>
          </w:tcPr>
          <w:p w14:paraId="57A9FC67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0119910344</w:t>
            </w:r>
          </w:p>
        </w:tc>
        <w:tc>
          <w:tcPr>
            <w:tcW w:w="1506" w:type="dxa"/>
            <w:vAlign w:val="center"/>
          </w:tcPr>
          <w:p w14:paraId="2F44DB41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339,98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9,94</w:t>
            </w:r>
          </w:p>
        </w:tc>
        <w:tc>
          <w:tcPr>
            <w:tcW w:w="2335" w:type="dxa"/>
            <w:vAlign w:val="center"/>
          </w:tcPr>
          <w:p w14:paraId="7F9C0C4C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339,989.94</w:t>
            </w:r>
          </w:p>
        </w:tc>
      </w:tr>
      <w:tr w:rsidR="004C3644" w:rsidRPr="000534B8" w14:paraId="10070630" w14:textId="77777777" w:rsidTr="003E658E">
        <w:tc>
          <w:tcPr>
            <w:tcW w:w="2040" w:type="dxa"/>
            <w:vAlign w:val="center"/>
          </w:tcPr>
          <w:p w14:paraId="6E60062F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74DA24F8" w14:textId="77777777" w:rsidR="004C3644" w:rsidRPr="000534B8" w:rsidRDefault="004C3644" w:rsidP="003E658E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14:paraId="6FC92D82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SUB-TOTAL </w:t>
            </w:r>
          </w:p>
        </w:tc>
        <w:tc>
          <w:tcPr>
            <w:tcW w:w="1506" w:type="dxa"/>
            <w:vAlign w:val="center"/>
          </w:tcPr>
          <w:p w14:paraId="13E3D854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  <w:vAlign w:val="center"/>
          </w:tcPr>
          <w:p w14:paraId="26EECAFC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       </w:t>
            </w:r>
          </w:p>
          <w:p w14:paraId="31EDEF6D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/>
                <w:sz w:val="20"/>
                <w:szCs w:val="20"/>
              </w:rPr>
              <w:t>3,61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Pr="000534B8">
              <w:rPr>
                <w:rFonts w:ascii="Arial" w:hAnsi="Arial" w:cs="Arial"/>
                <w:b/>
                <w:color w:val="000000"/>
                <w:sz w:val="20"/>
                <w:szCs w:val="20"/>
              </w:rPr>
              <w:t>,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033.22</w:t>
            </w:r>
          </w:p>
        </w:tc>
      </w:tr>
      <w:tr w:rsidR="004C3644" w:rsidRPr="000534B8" w14:paraId="00071D1D" w14:textId="77777777" w:rsidTr="003E658E">
        <w:trPr>
          <w:trHeight w:val="70"/>
        </w:trPr>
        <w:tc>
          <w:tcPr>
            <w:tcW w:w="2040" w:type="dxa"/>
            <w:vAlign w:val="center"/>
          </w:tcPr>
          <w:p w14:paraId="78850DE4" w14:textId="77777777" w:rsidR="004C3644" w:rsidRPr="000534B8" w:rsidRDefault="004C3644" w:rsidP="003E658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2372D559" w14:textId="77777777" w:rsidR="004C3644" w:rsidRPr="000534B8" w:rsidRDefault="004C3644" w:rsidP="003E658E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14:paraId="076F7201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506" w:type="dxa"/>
            <w:vAlign w:val="center"/>
          </w:tcPr>
          <w:p w14:paraId="59754C74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  <w:vAlign w:val="center"/>
          </w:tcPr>
          <w:p w14:paraId="0402F1E9" w14:textId="77777777" w:rsidR="004C3644" w:rsidRPr="000534B8" w:rsidRDefault="004C3644" w:rsidP="003E658E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38,583,492.61</w:t>
            </w:r>
          </w:p>
        </w:tc>
      </w:tr>
    </w:tbl>
    <w:p w14:paraId="6098064C" w14:textId="77777777" w:rsidR="004C3644" w:rsidRDefault="004C3644"/>
    <w:sectPr w:rsidR="004C36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0A0A83"/>
    <w:multiLevelType w:val="hybridMultilevel"/>
    <w:tmpl w:val="6C6CFCD4"/>
    <w:lvl w:ilvl="0" w:tplc="24567D32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7435644">
    <w:abstractNumId w:val="1"/>
  </w:num>
  <w:num w:numId="2" w16cid:durableId="97455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644"/>
    <w:rsid w:val="004C3644"/>
    <w:rsid w:val="00B80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BD4B6"/>
  <w15:chartTrackingRefBased/>
  <w15:docId w15:val="{F72CAECB-5231-4B7C-8701-987D15DCA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644"/>
    <w:pPr>
      <w:spacing w:after="200" w:line="276" w:lineRule="auto"/>
    </w:pPr>
    <w:rPr>
      <w:rFonts w:eastAsiaTheme="minorEastAsia"/>
      <w:kern w:val="0"/>
      <w:lang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C36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C3644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es-MX"/>
      <w14:ligatures w14:val="none"/>
    </w:rPr>
  </w:style>
  <w:style w:type="table" w:styleId="Tablaconcuadrcula">
    <w:name w:val="Table Grid"/>
    <w:basedOn w:val="Tablanormal"/>
    <w:uiPriority w:val="59"/>
    <w:rsid w:val="004C3644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C3644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4C364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C3644"/>
    <w:rPr>
      <w:rFonts w:eastAsiaTheme="minorEastAsia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546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2</cp:revision>
  <dcterms:created xsi:type="dcterms:W3CDTF">2023-09-08T19:59:00Z</dcterms:created>
  <dcterms:modified xsi:type="dcterms:W3CDTF">2023-09-08T20:05:00Z</dcterms:modified>
</cp:coreProperties>
</file>