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8227152" w14:textId="77777777" w:rsidR="00913F62" w:rsidRPr="00915B64" w:rsidRDefault="00913F62" w:rsidP="000E167E">
      <w:pPr>
        <w:spacing w:line="360" w:lineRule="auto"/>
        <w:ind w:firstLine="708"/>
        <w:jc w:val="both"/>
        <w:rPr>
          <w:rFonts w:ascii="Arial" w:hAnsi="Arial" w:cs="Arial"/>
          <w:color w:val="323E4F" w:themeColor="text2" w:themeShade="BF"/>
          <w:sz w:val="22"/>
          <w:szCs w:val="22"/>
        </w:rPr>
      </w:pPr>
      <w:r w:rsidRPr="00915B64">
        <w:rPr>
          <w:rFonts w:ascii="Arial" w:hAnsi="Arial" w:cs="Arial"/>
          <w:color w:val="323E4F" w:themeColor="text2" w:themeShade="BF"/>
          <w:sz w:val="22"/>
          <w:szCs w:val="22"/>
        </w:rPr>
        <w:t>Visto el estado procesal que guarda el expediente citado al rubro; se procede a dictar Acuerdo, con base en los antecedentes y considerandos siguientes:</w:t>
      </w:r>
    </w:p>
    <w:p w14:paraId="39173386" w14:textId="77777777" w:rsidR="000E167E" w:rsidRPr="00915B64" w:rsidRDefault="000E167E" w:rsidP="00913F62">
      <w:pPr>
        <w:spacing w:line="360" w:lineRule="auto"/>
        <w:jc w:val="center"/>
        <w:rPr>
          <w:rFonts w:ascii="Arial" w:hAnsi="Arial" w:cs="Arial"/>
          <w:b/>
          <w:color w:val="323E4F" w:themeColor="text2" w:themeShade="BF"/>
          <w:sz w:val="22"/>
          <w:szCs w:val="22"/>
          <w:lang w:eastAsia="es-MX"/>
        </w:rPr>
      </w:pPr>
    </w:p>
    <w:p w14:paraId="59D4517E" w14:textId="32927ECC" w:rsidR="00913F62" w:rsidRPr="00915B64" w:rsidRDefault="00913F62" w:rsidP="000E167E">
      <w:pPr>
        <w:pStyle w:val="Prrafodelista"/>
        <w:numPr>
          <w:ilvl w:val="0"/>
          <w:numId w:val="12"/>
        </w:numPr>
        <w:spacing w:line="360" w:lineRule="auto"/>
        <w:jc w:val="center"/>
        <w:rPr>
          <w:rFonts w:ascii="Arial" w:hAnsi="Arial" w:cs="Arial"/>
          <w:b/>
          <w:color w:val="323E4F" w:themeColor="text2" w:themeShade="BF"/>
          <w:sz w:val="22"/>
          <w:szCs w:val="22"/>
          <w:lang w:eastAsia="es-MX"/>
        </w:rPr>
      </w:pPr>
      <w:r w:rsidRPr="00915B64">
        <w:rPr>
          <w:rFonts w:ascii="Arial" w:hAnsi="Arial" w:cs="Arial"/>
          <w:b/>
          <w:color w:val="323E4F" w:themeColor="text2" w:themeShade="BF"/>
          <w:sz w:val="22"/>
          <w:szCs w:val="22"/>
          <w:lang w:eastAsia="es-MX"/>
        </w:rPr>
        <w:t>RESULTANDO</w:t>
      </w:r>
    </w:p>
    <w:p w14:paraId="52343087" w14:textId="25B38362" w:rsidR="009C6E8D" w:rsidRPr="00915B64" w:rsidRDefault="00C151C1" w:rsidP="009C6E8D">
      <w:pPr>
        <w:pStyle w:val="Prrafodelista"/>
        <w:numPr>
          <w:ilvl w:val="0"/>
          <w:numId w:val="21"/>
        </w:numPr>
        <w:spacing w:line="360" w:lineRule="auto"/>
        <w:jc w:val="both"/>
        <w:rPr>
          <w:rFonts w:ascii="Arial" w:hAnsi="Arial" w:cs="Arial"/>
          <w:b/>
          <w:color w:val="323E4F" w:themeColor="text2" w:themeShade="BF"/>
          <w:sz w:val="22"/>
          <w:szCs w:val="22"/>
          <w:lang w:eastAsia="es-MX"/>
        </w:rPr>
      </w:pPr>
      <w:r w:rsidRPr="00915B64">
        <w:rPr>
          <w:rFonts w:ascii="Arial" w:eastAsia="Arial Unicode MS" w:hAnsi="Arial" w:cs="Arial"/>
          <w:color w:val="323E4F" w:themeColor="text2" w:themeShade="BF"/>
          <w:sz w:val="22"/>
          <w:szCs w:val="22"/>
        </w:rPr>
        <w:t>El 20</w:t>
      </w:r>
      <w:r w:rsidR="00F606EC" w:rsidRPr="00915B64">
        <w:rPr>
          <w:rFonts w:ascii="Arial" w:eastAsia="Arial Unicode MS" w:hAnsi="Arial" w:cs="Arial"/>
          <w:color w:val="323E4F" w:themeColor="text2" w:themeShade="BF"/>
          <w:sz w:val="22"/>
          <w:szCs w:val="22"/>
        </w:rPr>
        <w:t xml:space="preserve"> </w:t>
      </w:r>
      <w:r w:rsidRPr="00915B64">
        <w:rPr>
          <w:rFonts w:ascii="Arial" w:eastAsia="Arial Unicode MS" w:hAnsi="Arial" w:cs="Arial"/>
          <w:color w:val="323E4F" w:themeColor="text2" w:themeShade="BF"/>
          <w:sz w:val="22"/>
          <w:szCs w:val="22"/>
        </w:rPr>
        <w:t>veinte</w:t>
      </w:r>
      <w:r w:rsidR="00F606EC" w:rsidRPr="00915B64">
        <w:rPr>
          <w:rFonts w:ascii="Arial" w:eastAsia="Arial Unicode MS" w:hAnsi="Arial" w:cs="Arial"/>
          <w:color w:val="323E4F" w:themeColor="text2" w:themeShade="BF"/>
          <w:sz w:val="22"/>
          <w:szCs w:val="22"/>
        </w:rPr>
        <w:t xml:space="preserve"> </w:t>
      </w:r>
      <w:r w:rsidR="005421E5" w:rsidRPr="00915B64">
        <w:rPr>
          <w:rFonts w:ascii="Arial" w:eastAsia="Arial Unicode MS" w:hAnsi="Arial" w:cs="Arial"/>
          <w:color w:val="323E4F" w:themeColor="text2" w:themeShade="BF"/>
          <w:sz w:val="22"/>
          <w:szCs w:val="22"/>
        </w:rPr>
        <w:t>de</w:t>
      </w:r>
      <w:r w:rsidR="00B062D9" w:rsidRPr="00915B64">
        <w:rPr>
          <w:rFonts w:ascii="Arial" w:eastAsia="Arial Unicode MS" w:hAnsi="Arial" w:cs="Arial"/>
          <w:color w:val="323E4F" w:themeColor="text2" w:themeShade="BF"/>
          <w:sz w:val="22"/>
          <w:szCs w:val="22"/>
        </w:rPr>
        <w:t xml:space="preserve"> </w:t>
      </w:r>
      <w:r w:rsidRPr="00915B64">
        <w:rPr>
          <w:rFonts w:ascii="Arial" w:eastAsia="Arial Unicode MS" w:hAnsi="Arial" w:cs="Arial"/>
          <w:color w:val="323E4F" w:themeColor="text2" w:themeShade="BF"/>
          <w:sz w:val="22"/>
          <w:szCs w:val="22"/>
        </w:rPr>
        <w:t xml:space="preserve">enero </w:t>
      </w:r>
      <w:r w:rsidR="00DE7922" w:rsidRPr="00915B64">
        <w:rPr>
          <w:rFonts w:ascii="Arial" w:eastAsia="Arial Unicode MS" w:hAnsi="Arial" w:cs="Arial"/>
          <w:color w:val="323E4F" w:themeColor="text2" w:themeShade="BF"/>
          <w:sz w:val="22"/>
          <w:szCs w:val="22"/>
        </w:rPr>
        <w:t>de</w:t>
      </w:r>
      <w:r w:rsidR="00192A3A" w:rsidRPr="00915B64">
        <w:rPr>
          <w:rFonts w:ascii="Arial" w:eastAsia="Arial Unicode MS" w:hAnsi="Arial" w:cs="Arial"/>
          <w:color w:val="323E4F" w:themeColor="text2" w:themeShade="BF"/>
          <w:sz w:val="22"/>
          <w:szCs w:val="22"/>
        </w:rPr>
        <w:t xml:space="preserve"> 2023</w:t>
      </w:r>
      <w:r w:rsidR="00ED0A0E" w:rsidRPr="00915B64">
        <w:rPr>
          <w:rFonts w:ascii="Arial" w:eastAsia="Arial Unicode MS" w:hAnsi="Arial" w:cs="Arial"/>
          <w:color w:val="323E4F" w:themeColor="text2" w:themeShade="BF"/>
          <w:sz w:val="22"/>
          <w:szCs w:val="22"/>
        </w:rPr>
        <w:t xml:space="preserve"> dos mil veinti</w:t>
      </w:r>
      <w:r w:rsidR="00192A3A" w:rsidRPr="00915B64">
        <w:rPr>
          <w:rFonts w:ascii="Arial" w:eastAsia="Arial Unicode MS" w:hAnsi="Arial" w:cs="Arial"/>
          <w:color w:val="323E4F" w:themeColor="text2" w:themeShade="BF"/>
          <w:sz w:val="22"/>
          <w:szCs w:val="22"/>
        </w:rPr>
        <w:t>trés</w:t>
      </w:r>
      <w:r w:rsidR="00ED0A0E" w:rsidRPr="00915B64">
        <w:rPr>
          <w:rFonts w:ascii="Arial" w:eastAsia="Arial Unicode MS" w:hAnsi="Arial" w:cs="Arial"/>
          <w:color w:val="323E4F" w:themeColor="text2" w:themeShade="BF"/>
          <w:sz w:val="22"/>
          <w:szCs w:val="22"/>
        </w:rPr>
        <w:t xml:space="preserve"> el recurrente</w:t>
      </w:r>
      <w:r w:rsidR="00913F62" w:rsidRPr="00915B64">
        <w:rPr>
          <w:rFonts w:ascii="Arial" w:eastAsia="Arial Unicode MS" w:hAnsi="Arial" w:cs="Arial"/>
          <w:color w:val="323E4F" w:themeColor="text2" w:themeShade="BF"/>
          <w:sz w:val="22"/>
          <w:szCs w:val="22"/>
        </w:rPr>
        <w:t xml:space="preserve"> diri</w:t>
      </w:r>
      <w:r w:rsidR="00C66E62" w:rsidRPr="00915B64">
        <w:rPr>
          <w:rFonts w:ascii="Arial" w:eastAsia="Arial Unicode MS" w:hAnsi="Arial" w:cs="Arial"/>
          <w:color w:val="323E4F" w:themeColor="text2" w:themeShade="BF"/>
          <w:sz w:val="22"/>
          <w:szCs w:val="22"/>
        </w:rPr>
        <w:t>gió</w:t>
      </w:r>
      <w:r w:rsidR="00B062D9" w:rsidRPr="00915B64">
        <w:rPr>
          <w:rFonts w:ascii="Arial" w:eastAsia="Arial Unicode MS" w:hAnsi="Arial" w:cs="Arial"/>
          <w:color w:val="323E4F" w:themeColor="text2" w:themeShade="BF"/>
          <w:sz w:val="22"/>
          <w:szCs w:val="22"/>
        </w:rPr>
        <w:t xml:space="preserve"> una solicitud de información </w:t>
      </w:r>
      <w:r w:rsidR="005421E5" w:rsidRPr="00915B64">
        <w:rPr>
          <w:rFonts w:ascii="Arial" w:eastAsia="Arial Unicode MS" w:hAnsi="Arial" w:cs="Arial"/>
          <w:color w:val="323E4F" w:themeColor="text2" w:themeShade="BF"/>
          <w:sz w:val="22"/>
          <w:szCs w:val="22"/>
        </w:rPr>
        <w:t xml:space="preserve">a </w:t>
      </w:r>
      <w:r w:rsidRPr="00915B64">
        <w:rPr>
          <w:rFonts w:ascii="Arial" w:eastAsia="Arial Unicode MS" w:hAnsi="Arial" w:cs="Arial"/>
          <w:color w:val="323E4F" w:themeColor="text2" w:themeShade="BF"/>
          <w:sz w:val="22"/>
          <w:szCs w:val="22"/>
        </w:rPr>
        <w:t>la Secretaria General de Gobierno</w:t>
      </w:r>
      <w:r w:rsidR="005421E5" w:rsidRPr="00915B64">
        <w:rPr>
          <w:rFonts w:ascii="Arial" w:eastAsia="Arial Unicode MS" w:hAnsi="Arial" w:cs="Arial"/>
          <w:color w:val="323E4F" w:themeColor="text2" w:themeShade="BF"/>
          <w:sz w:val="22"/>
          <w:szCs w:val="22"/>
        </w:rPr>
        <w:t xml:space="preserve"> </w:t>
      </w:r>
      <w:r w:rsidR="007A3A8F" w:rsidRPr="00915B64">
        <w:rPr>
          <w:rFonts w:ascii="Arial" w:eastAsia="Arial Unicode MS" w:hAnsi="Arial" w:cs="Arial"/>
          <w:color w:val="323E4F" w:themeColor="text2" w:themeShade="BF"/>
          <w:sz w:val="22"/>
          <w:szCs w:val="22"/>
        </w:rPr>
        <w:t>a la</w:t>
      </w:r>
      <w:r w:rsidR="00913F62" w:rsidRPr="00915B64">
        <w:rPr>
          <w:rFonts w:ascii="Arial" w:eastAsia="Arial Unicode MS" w:hAnsi="Arial" w:cs="Arial"/>
          <w:color w:val="323E4F" w:themeColor="text2" w:themeShade="BF"/>
          <w:sz w:val="22"/>
          <w:szCs w:val="22"/>
        </w:rPr>
        <w:t xml:space="preserve"> cual se le asignó el número de folio</w:t>
      </w:r>
      <w:r w:rsidR="0052683D" w:rsidRPr="00915B64">
        <w:rPr>
          <w:rFonts w:ascii="Arial" w:eastAsia="Arial Unicode MS" w:hAnsi="Arial" w:cs="Arial"/>
          <w:color w:val="323E4F" w:themeColor="text2" w:themeShade="BF"/>
          <w:sz w:val="22"/>
          <w:szCs w:val="22"/>
        </w:rPr>
        <w:t xml:space="preserve"> </w:t>
      </w:r>
      <w:r w:rsidRPr="00915B64">
        <w:rPr>
          <w:rFonts w:ascii="Arial" w:eastAsia="Arial Unicode MS" w:hAnsi="Arial" w:cs="Arial"/>
          <w:color w:val="323E4F" w:themeColor="text2" w:themeShade="BF"/>
          <w:sz w:val="22"/>
          <w:szCs w:val="22"/>
        </w:rPr>
        <w:t>241230223000020</w:t>
      </w:r>
      <w:r w:rsidR="00913F62" w:rsidRPr="00915B64">
        <w:rPr>
          <w:rFonts w:ascii="Arial" w:eastAsia="Arial Unicode MS" w:hAnsi="Arial" w:cs="Arial"/>
          <w:color w:val="323E4F" w:themeColor="text2" w:themeShade="BF"/>
          <w:sz w:val="22"/>
          <w:szCs w:val="22"/>
        </w:rPr>
        <w:t xml:space="preserve">, requiriendo lo siguiente:  </w:t>
      </w:r>
    </w:p>
    <w:p w14:paraId="75C567A4" w14:textId="77777777" w:rsidR="005C265E" w:rsidRPr="00915B64" w:rsidRDefault="005C265E" w:rsidP="005C265E">
      <w:pPr>
        <w:pStyle w:val="Prrafodelista"/>
        <w:spacing w:line="360" w:lineRule="auto"/>
        <w:ind w:left="644"/>
        <w:jc w:val="both"/>
        <w:rPr>
          <w:rFonts w:ascii="Arial" w:hAnsi="Arial" w:cs="Arial"/>
          <w:b/>
          <w:color w:val="323E4F" w:themeColor="text2" w:themeShade="BF"/>
          <w:sz w:val="22"/>
          <w:szCs w:val="22"/>
          <w:lang w:eastAsia="es-MX"/>
        </w:rPr>
      </w:pPr>
    </w:p>
    <w:p w14:paraId="6C806F14" w14:textId="3C4A79B2" w:rsidR="00351413" w:rsidRPr="00915B64" w:rsidRDefault="00C151C1" w:rsidP="00915B64">
      <w:pPr>
        <w:ind w:left="1134" w:right="1183"/>
        <w:jc w:val="both"/>
        <w:rPr>
          <w:rFonts w:ascii="Arial" w:hAnsi="Arial" w:cs="Arial"/>
          <w:i/>
          <w:color w:val="323E4F" w:themeColor="text2" w:themeShade="BF"/>
          <w:sz w:val="20"/>
        </w:rPr>
      </w:pPr>
      <w:r w:rsidRPr="00915B64">
        <w:rPr>
          <w:rFonts w:ascii="Arial" w:hAnsi="Arial" w:cs="Arial"/>
          <w:i/>
          <w:color w:val="323E4F" w:themeColor="text2" w:themeShade="BF"/>
          <w:sz w:val="20"/>
        </w:rPr>
        <w:t>Considerando que, con base en la Ley en Materia de Desaparición Forzada, Desaparición cometida por Particulares y del Sistema Estatal de Búsqueda de Personas del Estado de San Luis Potosí, la Comisión Estatal de Búsqueda es un órgano desconcentrado de la Secretaría General de Gobierno, solicitamos la siguiente información:</w:t>
      </w:r>
      <w:r w:rsidRPr="00915B64">
        <w:rPr>
          <w:rFonts w:ascii="Arial" w:hAnsi="Arial" w:cs="Arial"/>
          <w:i/>
          <w:color w:val="323E4F" w:themeColor="text2" w:themeShade="BF"/>
          <w:sz w:val="20"/>
        </w:rPr>
        <w:br/>
      </w:r>
      <w:r w:rsidRPr="00915B64">
        <w:rPr>
          <w:rFonts w:ascii="Arial" w:hAnsi="Arial" w:cs="Arial"/>
          <w:i/>
          <w:color w:val="323E4F" w:themeColor="text2" w:themeShade="BF"/>
          <w:sz w:val="20"/>
        </w:rPr>
        <w:br/>
        <w:t>1. Atendiendo a las atribuciones señaladas en el artículo 26 de la Ley en Materia de Desaparición Forzada, Desaparición cometida por Particulares y del Sistema Estatal de Búsqueda de Personas del Estado de San Luis Potosí para la COMISIÓN ESTATAL DE BÚSQUEDA, solicito:</w:t>
      </w:r>
      <w:r w:rsidRPr="00915B64">
        <w:rPr>
          <w:rFonts w:ascii="Arial" w:hAnsi="Arial" w:cs="Arial"/>
          <w:i/>
          <w:color w:val="323E4F" w:themeColor="text2" w:themeShade="BF"/>
          <w:sz w:val="20"/>
        </w:rPr>
        <w:br/>
      </w:r>
      <w:r w:rsidRPr="00915B64">
        <w:rPr>
          <w:rFonts w:ascii="Arial" w:hAnsi="Arial" w:cs="Arial"/>
          <w:i/>
          <w:color w:val="323E4F" w:themeColor="text2" w:themeShade="BF"/>
          <w:sz w:val="20"/>
        </w:rPr>
        <w:br/>
        <w:t>a. El Programa Estatal de Búsqueda.</w:t>
      </w:r>
      <w:r w:rsidRPr="00915B64">
        <w:rPr>
          <w:rFonts w:ascii="Arial" w:hAnsi="Arial" w:cs="Arial"/>
          <w:i/>
          <w:color w:val="323E4F" w:themeColor="text2" w:themeShade="BF"/>
          <w:sz w:val="20"/>
        </w:rPr>
        <w:br/>
        <w:t>b. Con base en la fracción XXXVIII del artículo en mención, el último diagnóstico periódico sobre los modos de operación y prácticas de criminalidad que haya elaborado con motivo del diseño de acciones estratégicas de búsqueda.</w:t>
      </w:r>
      <w:r w:rsidRPr="00915B64">
        <w:rPr>
          <w:rFonts w:ascii="Arial" w:hAnsi="Arial" w:cs="Arial"/>
          <w:i/>
          <w:color w:val="323E4F" w:themeColor="text2" w:themeShade="BF"/>
          <w:sz w:val="20"/>
        </w:rPr>
        <w:br/>
      </w:r>
      <w:r w:rsidRPr="00915B64">
        <w:rPr>
          <w:rFonts w:ascii="Arial" w:hAnsi="Arial" w:cs="Arial"/>
          <w:i/>
          <w:color w:val="323E4F" w:themeColor="text2" w:themeShade="BF"/>
          <w:sz w:val="20"/>
        </w:rPr>
        <w:br/>
        <w:t>2. Atendiendo a las facultades señaladas en el artículo 28 de la Ley en Materia de Desaparición Forzada, Desaparición cometida por Particulares y del Sistema Estatal de Búsqueda de Personas del Estado de San Luis Potosí para el TITULAR DE LA COMISIÓN ESTATAL DE BÚSQUEDA solicito:</w:t>
      </w:r>
      <w:r w:rsidRPr="00915B64">
        <w:rPr>
          <w:rFonts w:ascii="Arial" w:hAnsi="Arial" w:cs="Arial"/>
          <w:i/>
          <w:color w:val="323E4F" w:themeColor="text2" w:themeShade="BF"/>
          <w:sz w:val="20"/>
        </w:rPr>
        <w:br/>
      </w:r>
      <w:r w:rsidRPr="00915B64">
        <w:rPr>
          <w:rFonts w:ascii="Arial" w:hAnsi="Arial" w:cs="Arial"/>
          <w:i/>
          <w:color w:val="323E4F" w:themeColor="text2" w:themeShade="BF"/>
          <w:sz w:val="20"/>
        </w:rPr>
        <w:br/>
        <w:t>a. Con base en lo dispuesto en la fracción VII del artículo en mención, presentar los indicadores que se utilizan para darle seguimiento a las funciones de la Comisión Estatal de Búsqueda.</w:t>
      </w:r>
      <w:r w:rsidRPr="00915B64">
        <w:rPr>
          <w:rFonts w:ascii="Arial" w:hAnsi="Arial" w:cs="Arial"/>
          <w:i/>
          <w:color w:val="323E4F" w:themeColor="text2" w:themeShade="BF"/>
          <w:sz w:val="20"/>
        </w:rPr>
        <w:br/>
      </w:r>
      <w:r w:rsidRPr="00915B64">
        <w:rPr>
          <w:rFonts w:ascii="Arial" w:hAnsi="Arial" w:cs="Arial"/>
          <w:i/>
          <w:color w:val="323E4F" w:themeColor="text2" w:themeShade="BF"/>
          <w:sz w:val="20"/>
        </w:rPr>
        <w:br/>
        <w:t xml:space="preserve">3. Atendiendo a las obligaciones señaladas en el artículo 30 de la Ley en Materia de Desaparición Forzada, Desaparición cometida por </w:t>
      </w:r>
      <w:r w:rsidRPr="00915B64">
        <w:rPr>
          <w:rFonts w:ascii="Arial" w:hAnsi="Arial" w:cs="Arial"/>
          <w:i/>
          <w:color w:val="323E4F" w:themeColor="text2" w:themeShade="BF"/>
          <w:sz w:val="20"/>
        </w:rPr>
        <w:lastRenderedPageBreak/>
        <w:t>Particulares y del Sistema Estatal de Búsqueda de Personas del Estado de San Luis Potosí para el ÁREA DE ANÁLISIS DE CONTEXTO Y PROCESAMIENTO DE INFORMACIÓN, solicito:</w:t>
      </w:r>
      <w:r w:rsidRPr="00915B64">
        <w:rPr>
          <w:rFonts w:ascii="Arial" w:hAnsi="Arial" w:cs="Arial"/>
          <w:i/>
          <w:color w:val="323E4F" w:themeColor="text2" w:themeShade="BF"/>
          <w:sz w:val="20"/>
        </w:rPr>
        <w:br/>
      </w:r>
      <w:r w:rsidRPr="00915B64">
        <w:rPr>
          <w:rFonts w:ascii="Arial" w:hAnsi="Arial" w:cs="Arial"/>
          <w:i/>
          <w:color w:val="323E4F" w:themeColor="text2" w:themeShade="BF"/>
          <w:sz w:val="20"/>
        </w:rPr>
        <w:br/>
        <w:t>a. Los informes semestrales correspondientes al año 2022 sobre la existencia de características y patrones de desaparición en el Estado.</w:t>
      </w:r>
      <w:r w:rsidRPr="00915B64">
        <w:rPr>
          <w:rFonts w:ascii="Arial" w:hAnsi="Arial" w:cs="Arial"/>
          <w:i/>
          <w:color w:val="323E4F" w:themeColor="text2" w:themeShade="BF"/>
          <w:sz w:val="20"/>
        </w:rPr>
        <w:br/>
        <w:t>b. Informes de análisis de contexto correspondientes al año 2022.</w:t>
      </w:r>
      <w:r w:rsidRPr="00915B64">
        <w:rPr>
          <w:rFonts w:ascii="Arial" w:hAnsi="Arial" w:cs="Arial"/>
          <w:i/>
          <w:color w:val="323E4F" w:themeColor="text2" w:themeShade="BF"/>
          <w:sz w:val="20"/>
        </w:rPr>
        <w:br/>
      </w:r>
      <w:r w:rsidRPr="00915B64">
        <w:rPr>
          <w:rFonts w:ascii="Arial" w:hAnsi="Arial" w:cs="Arial"/>
          <w:i/>
          <w:color w:val="323E4F" w:themeColor="text2" w:themeShade="BF"/>
          <w:sz w:val="20"/>
        </w:rPr>
        <w:br/>
        <w:t>4. Atendiendo a las obligaciones señaladas en el artículo 31 de la Ley en Materia de Desaparición Forzada, Desaparición cometida por Particulares y del Sistema Estatal de Búsqueda de Personas del Estado de San Luis Potosí para el ÁREA DE SEGUIMIENTO, ATENCIÓN CIUDADANA Y VINCULACIÓN, solicito:</w:t>
      </w:r>
      <w:r w:rsidRPr="00915B64">
        <w:rPr>
          <w:rFonts w:ascii="Arial" w:hAnsi="Arial" w:cs="Arial"/>
          <w:i/>
          <w:color w:val="323E4F" w:themeColor="text2" w:themeShade="BF"/>
          <w:sz w:val="20"/>
        </w:rPr>
        <w:br/>
      </w:r>
      <w:r w:rsidRPr="00915B64">
        <w:rPr>
          <w:rFonts w:ascii="Arial" w:hAnsi="Arial" w:cs="Arial"/>
          <w:i/>
          <w:color w:val="323E4F" w:themeColor="text2" w:themeShade="BF"/>
          <w:sz w:val="20"/>
        </w:rPr>
        <w:br/>
        <w:t>a. Información sobre los avances y acciones que han emprendido para dar seguimiento y atender las recomendaciones de derechos humanos, de la Comisión Nacional de Búsqueda y del Sistema Nacional de Búsqueda.</w:t>
      </w:r>
      <w:r w:rsidRPr="00915B64">
        <w:rPr>
          <w:rFonts w:ascii="Arial" w:hAnsi="Arial" w:cs="Arial"/>
          <w:i/>
          <w:color w:val="323E4F" w:themeColor="text2" w:themeShade="BF"/>
          <w:sz w:val="20"/>
        </w:rPr>
        <w:br/>
      </w:r>
      <w:r w:rsidRPr="00915B64">
        <w:rPr>
          <w:rFonts w:ascii="Arial" w:hAnsi="Arial" w:cs="Arial"/>
          <w:i/>
          <w:color w:val="323E4F" w:themeColor="text2" w:themeShade="BF"/>
          <w:sz w:val="20"/>
        </w:rPr>
        <w:br/>
        <w:t>5. Con base en lo dispuesto en el artículo 37 de la Ley en Materia de Desaparición Forzada, Desaparición cometida por Particulares y del Sistema Estatal de Búsqueda de Personas del Estado de San Luis Potosí relativo a los GRUPOS DE BÚSQUEDA, solicito:</w:t>
      </w:r>
      <w:r w:rsidRPr="00915B64">
        <w:rPr>
          <w:rFonts w:ascii="Arial" w:hAnsi="Arial" w:cs="Arial"/>
          <w:i/>
          <w:color w:val="323E4F" w:themeColor="text2" w:themeShade="BF"/>
          <w:sz w:val="20"/>
        </w:rPr>
        <w:br/>
      </w:r>
      <w:r w:rsidRPr="00915B64">
        <w:rPr>
          <w:rFonts w:ascii="Arial" w:hAnsi="Arial" w:cs="Arial"/>
          <w:i/>
          <w:color w:val="323E4F" w:themeColor="text2" w:themeShade="BF"/>
          <w:sz w:val="20"/>
        </w:rPr>
        <w:br/>
        <w:t>a. El número de grupos de búsqueda existentes a la fecha en cada una de las delegaciones, oficinas o unidades que esta Comisión Estatal tenga al interior del Estado.</w:t>
      </w:r>
    </w:p>
    <w:p w14:paraId="102B83C0" w14:textId="77777777" w:rsidR="00C151C1" w:rsidRPr="00C151C1" w:rsidRDefault="00C151C1" w:rsidP="00C151C1">
      <w:pPr>
        <w:ind w:left="1134" w:right="1183"/>
        <w:jc w:val="both"/>
        <w:rPr>
          <w:rFonts w:ascii="Arial" w:hAnsi="Arial" w:cs="Arial"/>
          <w:i/>
          <w:color w:val="323E4F" w:themeColor="text2" w:themeShade="BF"/>
          <w:sz w:val="22"/>
        </w:rPr>
      </w:pPr>
    </w:p>
    <w:p w14:paraId="5A76498E" w14:textId="6E4460A1" w:rsidR="00192A3A" w:rsidRPr="00915B64" w:rsidRDefault="00104745" w:rsidP="009C6E8D">
      <w:pPr>
        <w:pStyle w:val="Prrafodelista"/>
        <w:numPr>
          <w:ilvl w:val="0"/>
          <w:numId w:val="21"/>
        </w:numPr>
        <w:spacing w:line="360" w:lineRule="auto"/>
        <w:jc w:val="both"/>
        <w:rPr>
          <w:rFonts w:ascii="Arial" w:hAnsi="Arial" w:cs="Arial"/>
          <w:color w:val="323E4F" w:themeColor="text2" w:themeShade="BF"/>
          <w:sz w:val="22"/>
          <w:szCs w:val="22"/>
          <w:lang w:eastAsia="es-MX"/>
        </w:rPr>
      </w:pPr>
      <w:r w:rsidRPr="00915B64">
        <w:rPr>
          <w:rFonts w:ascii="Arial" w:hAnsi="Arial" w:cs="Arial"/>
          <w:color w:val="323E4F" w:themeColor="text2" w:themeShade="BF"/>
          <w:sz w:val="22"/>
          <w:szCs w:val="22"/>
        </w:rPr>
        <w:t xml:space="preserve">El </w:t>
      </w:r>
      <w:r w:rsidR="00C151C1" w:rsidRPr="00915B64">
        <w:rPr>
          <w:rFonts w:ascii="Arial" w:hAnsi="Arial" w:cs="Arial"/>
          <w:color w:val="323E4F" w:themeColor="text2" w:themeShade="BF"/>
          <w:sz w:val="22"/>
          <w:szCs w:val="22"/>
        </w:rPr>
        <w:t>03</w:t>
      </w:r>
      <w:r w:rsidR="00351413" w:rsidRPr="00915B64">
        <w:rPr>
          <w:rFonts w:ascii="Arial" w:hAnsi="Arial" w:cs="Arial"/>
          <w:color w:val="323E4F" w:themeColor="text2" w:themeShade="BF"/>
          <w:sz w:val="22"/>
          <w:szCs w:val="22"/>
        </w:rPr>
        <w:t xml:space="preserve"> </w:t>
      </w:r>
      <w:r w:rsidR="00C151C1" w:rsidRPr="00915B64">
        <w:rPr>
          <w:rFonts w:ascii="Arial" w:hAnsi="Arial" w:cs="Arial"/>
          <w:color w:val="323E4F" w:themeColor="text2" w:themeShade="BF"/>
          <w:sz w:val="22"/>
          <w:szCs w:val="22"/>
        </w:rPr>
        <w:t>tres</w:t>
      </w:r>
      <w:r w:rsidR="00960360" w:rsidRPr="00915B64">
        <w:rPr>
          <w:rFonts w:ascii="Arial" w:hAnsi="Arial" w:cs="Arial"/>
          <w:color w:val="323E4F" w:themeColor="text2" w:themeShade="BF"/>
          <w:sz w:val="22"/>
          <w:szCs w:val="22"/>
        </w:rPr>
        <w:t xml:space="preserve"> </w:t>
      </w:r>
      <w:r w:rsidR="00192A3A" w:rsidRPr="00915B64">
        <w:rPr>
          <w:rFonts w:ascii="Arial" w:hAnsi="Arial" w:cs="Arial"/>
          <w:color w:val="323E4F" w:themeColor="text2" w:themeShade="BF"/>
          <w:sz w:val="22"/>
          <w:szCs w:val="22"/>
        </w:rPr>
        <w:t xml:space="preserve">de </w:t>
      </w:r>
      <w:r w:rsidR="00C151C1" w:rsidRPr="00915B64">
        <w:rPr>
          <w:rFonts w:ascii="Arial" w:hAnsi="Arial" w:cs="Arial"/>
          <w:color w:val="323E4F" w:themeColor="text2" w:themeShade="BF"/>
          <w:sz w:val="22"/>
          <w:szCs w:val="22"/>
        </w:rPr>
        <w:t>febrero</w:t>
      </w:r>
      <w:r w:rsidR="00192A3A" w:rsidRPr="00915B64">
        <w:rPr>
          <w:rFonts w:ascii="Arial" w:hAnsi="Arial" w:cs="Arial"/>
          <w:color w:val="323E4F" w:themeColor="text2" w:themeShade="BF"/>
          <w:sz w:val="22"/>
          <w:szCs w:val="22"/>
        </w:rPr>
        <w:t xml:space="preserve"> de 2023 dos mil veintitrés, el Sujeto Obligado notificó su respuesta, a través de la Plataforma Nacional de Transparencia, en atención a la solicitud de información presentada. </w:t>
      </w:r>
    </w:p>
    <w:p w14:paraId="3FDAC865" w14:textId="77777777" w:rsidR="00192A3A" w:rsidRPr="00915B64" w:rsidRDefault="00192A3A" w:rsidP="007E655D">
      <w:pPr>
        <w:pStyle w:val="Prrafodelista"/>
        <w:ind w:left="1134" w:right="1185"/>
        <w:jc w:val="both"/>
        <w:rPr>
          <w:rFonts w:ascii="Arial" w:eastAsia="Arial Unicode MS" w:hAnsi="Arial" w:cs="Arial"/>
          <w:i/>
          <w:iCs/>
          <w:color w:val="323E4F" w:themeColor="text2" w:themeShade="BF"/>
          <w:sz w:val="20"/>
          <w:szCs w:val="22"/>
        </w:rPr>
      </w:pPr>
    </w:p>
    <w:p w14:paraId="4F799ED9" w14:textId="5C1E94FF" w:rsidR="009739D0" w:rsidRPr="00915B64" w:rsidRDefault="007A3A8F" w:rsidP="009C6E8D">
      <w:pPr>
        <w:pStyle w:val="Prrafodelista"/>
        <w:numPr>
          <w:ilvl w:val="0"/>
          <w:numId w:val="21"/>
        </w:numPr>
        <w:spacing w:line="360" w:lineRule="auto"/>
        <w:ind w:right="-91"/>
        <w:jc w:val="both"/>
        <w:rPr>
          <w:rFonts w:ascii="Arial" w:hAnsi="Arial" w:cs="Arial"/>
          <w:b/>
          <w:color w:val="323E4F" w:themeColor="text2" w:themeShade="BF"/>
          <w:sz w:val="22"/>
          <w:szCs w:val="22"/>
        </w:rPr>
      </w:pPr>
      <w:r w:rsidRPr="00915B64">
        <w:rPr>
          <w:rFonts w:ascii="Arial" w:hAnsi="Arial" w:cs="Arial"/>
          <w:color w:val="323E4F" w:themeColor="text2" w:themeShade="BF"/>
          <w:sz w:val="22"/>
          <w:szCs w:val="22"/>
        </w:rPr>
        <w:t xml:space="preserve">El </w:t>
      </w:r>
      <w:r w:rsidR="00C151C1" w:rsidRPr="00915B64">
        <w:rPr>
          <w:rFonts w:ascii="Arial" w:hAnsi="Arial" w:cs="Arial"/>
          <w:color w:val="323E4F" w:themeColor="text2" w:themeShade="BF"/>
          <w:sz w:val="22"/>
          <w:szCs w:val="22"/>
        </w:rPr>
        <w:t>17 diecisiete</w:t>
      </w:r>
      <w:r w:rsidR="005421E5" w:rsidRPr="00915B64">
        <w:rPr>
          <w:rFonts w:ascii="Arial" w:hAnsi="Arial" w:cs="Arial"/>
          <w:color w:val="323E4F" w:themeColor="text2" w:themeShade="BF"/>
          <w:sz w:val="22"/>
          <w:szCs w:val="22"/>
        </w:rPr>
        <w:t xml:space="preserve"> </w:t>
      </w:r>
      <w:r w:rsidR="00396F72" w:rsidRPr="00915B64">
        <w:rPr>
          <w:rFonts w:ascii="Arial" w:hAnsi="Arial" w:cs="Arial"/>
          <w:color w:val="323E4F" w:themeColor="text2" w:themeShade="BF"/>
          <w:sz w:val="22"/>
          <w:szCs w:val="22"/>
        </w:rPr>
        <w:t xml:space="preserve">de </w:t>
      </w:r>
      <w:r w:rsidR="00C151C1" w:rsidRPr="00915B64">
        <w:rPr>
          <w:rFonts w:ascii="Arial" w:hAnsi="Arial" w:cs="Arial"/>
          <w:color w:val="323E4F" w:themeColor="text2" w:themeShade="BF"/>
          <w:sz w:val="22"/>
          <w:szCs w:val="22"/>
        </w:rPr>
        <w:t>febrero</w:t>
      </w:r>
      <w:r w:rsidR="00857174" w:rsidRPr="00915B64">
        <w:rPr>
          <w:rFonts w:ascii="Arial" w:hAnsi="Arial" w:cs="Arial"/>
          <w:color w:val="323E4F" w:themeColor="text2" w:themeShade="BF"/>
          <w:sz w:val="22"/>
          <w:szCs w:val="22"/>
        </w:rPr>
        <w:t xml:space="preserve"> de 202</w:t>
      </w:r>
      <w:r w:rsidR="00192A3A" w:rsidRPr="00915B64">
        <w:rPr>
          <w:rFonts w:ascii="Arial" w:hAnsi="Arial" w:cs="Arial"/>
          <w:color w:val="323E4F" w:themeColor="text2" w:themeShade="BF"/>
          <w:sz w:val="22"/>
          <w:szCs w:val="22"/>
        </w:rPr>
        <w:t>3</w:t>
      </w:r>
      <w:r w:rsidR="000C3483" w:rsidRPr="00915B64">
        <w:rPr>
          <w:rFonts w:ascii="Arial" w:hAnsi="Arial" w:cs="Arial"/>
          <w:color w:val="323E4F" w:themeColor="text2" w:themeShade="BF"/>
          <w:sz w:val="22"/>
          <w:szCs w:val="22"/>
        </w:rPr>
        <w:t xml:space="preserve"> dos mil veinti</w:t>
      </w:r>
      <w:r w:rsidR="00192A3A" w:rsidRPr="00915B64">
        <w:rPr>
          <w:rFonts w:ascii="Arial" w:hAnsi="Arial" w:cs="Arial"/>
          <w:color w:val="323E4F" w:themeColor="text2" w:themeShade="BF"/>
          <w:sz w:val="22"/>
          <w:szCs w:val="22"/>
        </w:rPr>
        <w:t>trés</w:t>
      </w:r>
      <w:r w:rsidR="009739D0" w:rsidRPr="00915B64">
        <w:rPr>
          <w:rFonts w:ascii="Arial" w:hAnsi="Arial" w:cs="Arial"/>
          <w:color w:val="323E4F" w:themeColor="text2" w:themeShade="BF"/>
          <w:sz w:val="22"/>
          <w:szCs w:val="22"/>
        </w:rPr>
        <w:t>, se interpuso Recurso de Revisión en contra de la respuesta otorgada por el Sujeto Obligado.</w:t>
      </w:r>
      <w:r w:rsidR="009739D0" w:rsidRPr="00915B64">
        <w:rPr>
          <w:rFonts w:ascii="Arial" w:hAnsi="Arial" w:cs="Arial"/>
          <w:b/>
          <w:color w:val="323E4F" w:themeColor="text2" w:themeShade="BF"/>
          <w:sz w:val="22"/>
          <w:szCs w:val="22"/>
        </w:rPr>
        <w:t xml:space="preserve"> </w:t>
      </w:r>
    </w:p>
    <w:p w14:paraId="07CFDDB3" w14:textId="77777777" w:rsidR="009739D0" w:rsidRPr="00915B64" w:rsidRDefault="009739D0" w:rsidP="009739D0">
      <w:pPr>
        <w:ind w:left="720"/>
        <w:contextualSpacing/>
        <w:rPr>
          <w:rFonts w:ascii="Arial" w:hAnsi="Arial" w:cs="Arial"/>
          <w:b/>
          <w:color w:val="323E4F" w:themeColor="text2" w:themeShade="BF"/>
          <w:sz w:val="22"/>
          <w:szCs w:val="22"/>
        </w:rPr>
      </w:pPr>
    </w:p>
    <w:p w14:paraId="1FB1C5EC" w14:textId="03B0F1F6" w:rsidR="004D3676" w:rsidRPr="00915B64" w:rsidRDefault="00104745" w:rsidP="009C6E8D">
      <w:pPr>
        <w:pStyle w:val="Prrafodelista"/>
        <w:numPr>
          <w:ilvl w:val="0"/>
          <w:numId w:val="21"/>
        </w:numPr>
        <w:spacing w:line="360" w:lineRule="auto"/>
        <w:ind w:right="-91"/>
        <w:jc w:val="both"/>
        <w:rPr>
          <w:rFonts w:ascii="Arial" w:hAnsi="Arial" w:cs="Arial"/>
          <w:color w:val="323E4F" w:themeColor="text2" w:themeShade="BF"/>
          <w:sz w:val="20"/>
        </w:rPr>
      </w:pPr>
      <w:r w:rsidRPr="00915B64">
        <w:rPr>
          <w:rFonts w:ascii="Arial" w:hAnsi="Arial" w:cs="Arial"/>
          <w:color w:val="323E4F" w:themeColor="text2" w:themeShade="BF"/>
          <w:sz w:val="22"/>
          <w:szCs w:val="22"/>
        </w:rPr>
        <w:t>El 15</w:t>
      </w:r>
      <w:r w:rsidR="00864F43" w:rsidRPr="00915B64">
        <w:rPr>
          <w:rFonts w:ascii="Arial" w:hAnsi="Arial" w:cs="Arial"/>
          <w:color w:val="323E4F" w:themeColor="text2" w:themeShade="BF"/>
          <w:sz w:val="22"/>
          <w:szCs w:val="22"/>
        </w:rPr>
        <w:t xml:space="preserve"> </w:t>
      </w:r>
      <w:r w:rsidRPr="00915B64">
        <w:rPr>
          <w:rFonts w:ascii="Arial" w:hAnsi="Arial" w:cs="Arial"/>
          <w:color w:val="323E4F" w:themeColor="text2" w:themeShade="BF"/>
          <w:sz w:val="22"/>
          <w:szCs w:val="22"/>
        </w:rPr>
        <w:t>quince</w:t>
      </w:r>
      <w:r w:rsidR="005421E5" w:rsidRPr="00915B64">
        <w:rPr>
          <w:rFonts w:ascii="Arial" w:hAnsi="Arial" w:cs="Arial"/>
          <w:color w:val="323E4F" w:themeColor="text2" w:themeShade="BF"/>
          <w:sz w:val="22"/>
          <w:szCs w:val="22"/>
        </w:rPr>
        <w:t xml:space="preserve"> de </w:t>
      </w:r>
      <w:r w:rsidR="00D21EBD" w:rsidRPr="00915B64">
        <w:rPr>
          <w:rFonts w:ascii="Arial" w:hAnsi="Arial" w:cs="Arial"/>
          <w:color w:val="323E4F" w:themeColor="text2" w:themeShade="BF"/>
          <w:sz w:val="22"/>
          <w:szCs w:val="22"/>
        </w:rPr>
        <w:t>marzo</w:t>
      </w:r>
      <w:r w:rsidR="00192A3A" w:rsidRPr="00915B64">
        <w:rPr>
          <w:rFonts w:ascii="Arial" w:hAnsi="Arial" w:cs="Arial"/>
          <w:color w:val="323E4F" w:themeColor="text2" w:themeShade="BF"/>
          <w:sz w:val="22"/>
          <w:szCs w:val="22"/>
        </w:rPr>
        <w:t xml:space="preserve"> de 2023</w:t>
      </w:r>
      <w:r w:rsidR="009739D0" w:rsidRPr="00915B64">
        <w:rPr>
          <w:rFonts w:ascii="Arial" w:hAnsi="Arial" w:cs="Arial"/>
          <w:color w:val="323E4F" w:themeColor="text2" w:themeShade="BF"/>
          <w:sz w:val="22"/>
          <w:szCs w:val="22"/>
        </w:rPr>
        <w:t xml:space="preserve"> dos mil veinti</w:t>
      </w:r>
      <w:r w:rsidR="00192A3A" w:rsidRPr="00915B64">
        <w:rPr>
          <w:rFonts w:ascii="Arial" w:hAnsi="Arial" w:cs="Arial"/>
          <w:color w:val="323E4F" w:themeColor="text2" w:themeShade="BF"/>
          <w:sz w:val="22"/>
          <w:szCs w:val="22"/>
        </w:rPr>
        <w:t>trés</w:t>
      </w:r>
      <w:r w:rsidR="009739D0" w:rsidRPr="00915B64">
        <w:rPr>
          <w:rFonts w:ascii="Arial" w:hAnsi="Arial" w:cs="Arial"/>
          <w:color w:val="323E4F" w:themeColor="text2" w:themeShade="BF"/>
          <w:sz w:val="22"/>
          <w:szCs w:val="22"/>
        </w:rPr>
        <w:t xml:space="preserve"> este Órgano Garante dictó la resolución correspondiente en la cual se determinó</w:t>
      </w:r>
      <w:r w:rsidR="00396F72" w:rsidRPr="00915B64">
        <w:rPr>
          <w:rFonts w:ascii="Arial" w:hAnsi="Arial" w:cs="Arial"/>
          <w:color w:val="323E4F" w:themeColor="text2" w:themeShade="BF"/>
          <w:sz w:val="22"/>
          <w:szCs w:val="22"/>
        </w:rPr>
        <w:t xml:space="preserve"> </w:t>
      </w:r>
      <w:r w:rsidR="00D21EBD" w:rsidRPr="00915B64">
        <w:rPr>
          <w:rFonts w:ascii="Arial" w:hAnsi="Arial" w:cs="Arial"/>
          <w:b/>
          <w:color w:val="323E4F" w:themeColor="text2" w:themeShade="BF"/>
          <w:sz w:val="22"/>
          <w:szCs w:val="22"/>
        </w:rPr>
        <w:t>Revocar</w:t>
      </w:r>
      <w:r w:rsidR="00192A3A" w:rsidRPr="00915B64">
        <w:rPr>
          <w:rFonts w:ascii="Arial" w:hAnsi="Arial" w:cs="Arial"/>
          <w:b/>
          <w:color w:val="323E4F" w:themeColor="text2" w:themeShade="BF"/>
          <w:sz w:val="22"/>
          <w:szCs w:val="22"/>
        </w:rPr>
        <w:t xml:space="preserve"> </w:t>
      </w:r>
      <w:r w:rsidR="00192A3A" w:rsidRPr="00915B64">
        <w:rPr>
          <w:rFonts w:ascii="Arial" w:hAnsi="Arial" w:cs="Arial"/>
          <w:color w:val="323E4F" w:themeColor="text2" w:themeShade="BF"/>
          <w:sz w:val="22"/>
          <w:szCs w:val="22"/>
        </w:rPr>
        <w:t xml:space="preserve">la respuesta otorgada por el </w:t>
      </w:r>
      <w:r w:rsidR="004D3676" w:rsidRPr="00915B64">
        <w:rPr>
          <w:rFonts w:ascii="Arial" w:hAnsi="Arial" w:cs="Arial"/>
          <w:color w:val="323E4F" w:themeColor="text2" w:themeShade="BF"/>
          <w:sz w:val="20"/>
        </w:rPr>
        <w:t>sujeto obligado, conminándolo a:</w:t>
      </w:r>
    </w:p>
    <w:p w14:paraId="513E1557" w14:textId="77777777" w:rsidR="00955C31" w:rsidRPr="00192A3A" w:rsidRDefault="00955C31" w:rsidP="00192A3A">
      <w:pPr>
        <w:ind w:left="1134" w:right="1183"/>
        <w:jc w:val="both"/>
        <w:rPr>
          <w:rFonts w:ascii="Arial" w:eastAsiaTheme="minorHAnsi" w:hAnsi="Arial" w:cs="Arial"/>
          <w:i/>
          <w:color w:val="222A35" w:themeColor="text2" w:themeShade="80"/>
          <w:sz w:val="20"/>
          <w:lang w:eastAsia="en-US"/>
        </w:rPr>
      </w:pPr>
    </w:p>
    <w:p w14:paraId="236C2B46" w14:textId="6A4B6A07" w:rsidR="0028441A" w:rsidRDefault="0028441A" w:rsidP="00960360">
      <w:pPr>
        <w:ind w:left="1134" w:right="1183" w:firstLine="708"/>
        <w:jc w:val="both"/>
        <w:rPr>
          <w:rFonts w:ascii="Arial" w:eastAsiaTheme="minorHAnsi" w:hAnsi="Arial" w:cs="Arial"/>
          <w:i/>
          <w:color w:val="323E4F" w:themeColor="text2" w:themeShade="BF"/>
          <w:sz w:val="22"/>
          <w:lang w:eastAsia="en-US"/>
        </w:rPr>
      </w:pPr>
    </w:p>
    <w:p w14:paraId="6A2F8D52" w14:textId="12909F3A" w:rsidR="00F606EC" w:rsidRPr="00915B64" w:rsidRDefault="00D21EBD" w:rsidP="00960360">
      <w:pPr>
        <w:ind w:left="1134" w:right="1183" w:firstLine="708"/>
        <w:jc w:val="both"/>
        <w:rPr>
          <w:rFonts w:ascii="Arial" w:eastAsiaTheme="minorHAnsi" w:hAnsi="Arial" w:cs="Arial"/>
          <w:i/>
          <w:color w:val="323E4F" w:themeColor="text2" w:themeShade="BF"/>
          <w:sz w:val="20"/>
          <w:lang w:eastAsia="en-US"/>
        </w:rPr>
      </w:pPr>
      <w:r w:rsidRPr="00915B64">
        <w:rPr>
          <w:rFonts w:ascii="Arial" w:eastAsiaTheme="minorHAnsi" w:hAnsi="Arial" w:cs="Arial"/>
          <w:i/>
          <w:color w:val="323E4F" w:themeColor="text2" w:themeShade="BF"/>
          <w:sz w:val="20"/>
          <w:lang w:eastAsia="en-US"/>
        </w:rPr>
        <w:t xml:space="preserve">El sujeto obligado deberá de emitir una nueva respuesta, en apego a lo establecido por los diversos 26, fracciones I y XXXVIII, fracción VII, 30 fracciones I y II, 31, fracción IV y 37 de la Ley en materia de Desaparición Forzada de Personas, Desaparición Cometida por Particulares y del Sistema Estatal de Búsqueda de Personas del Estado de San Luis Potosí, en la que, en virtud de actualizarse la figura de reserva, tendrá que observar las disposiciones contenidas en los artículos 127,128,129,130, 131 y 132 de la Ley de Transparencia y Acceso a la Información Pública del Estado o bien, de actualizarse la figura de confidencialidad, realizar la versión publica que corresponda conforme lo establecido en el artículo 125 de la Ley de Transparencia Local, observando para su elaboración lo establecido en el artículo sexagésimo de los Lineamientos de Clasificación Desclasificación de la Información, así como la Elaboración de Versiones Publicas. </w:t>
      </w:r>
    </w:p>
    <w:p w14:paraId="2FEF63F5" w14:textId="0DDA6AC6" w:rsidR="00D21EBD" w:rsidRPr="00915B64" w:rsidRDefault="00D21EBD" w:rsidP="00960360">
      <w:pPr>
        <w:ind w:left="1134" w:right="1183" w:firstLine="708"/>
        <w:jc w:val="both"/>
        <w:rPr>
          <w:rFonts w:ascii="Arial" w:eastAsiaTheme="minorHAnsi" w:hAnsi="Arial" w:cs="Arial"/>
          <w:i/>
          <w:color w:val="323E4F" w:themeColor="text2" w:themeShade="BF"/>
          <w:sz w:val="20"/>
          <w:lang w:eastAsia="en-US"/>
        </w:rPr>
      </w:pPr>
    </w:p>
    <w:p w14:paraId="0F3EED53" w14:textId="2C6B99D2" w:rsidR="00D21EBD" w:rsidRPr="00915B64" w:rsidRDefault="00D21EBD" w:rsidP="00960360">
      <w:pPr>
        <w:ind w:left="1134" w:right="1183" w:firstLine="708"/>
        <w:jc w:val="both"/>
        <w:rPr>
          <w:rFonts w:ascii="Arial" w:eastAsia="Calibri" w:hAnsi="Arial" w:cs="Arial"/>
          <w:i/>
          <w:color w:val="323E4F" w:themeColor="text2" w:themeShade="BF"/>
          <w:sz w:val="20"/>
          <w:szCs w:val="22"/>
          <w:lang w:eastAsia="en-US"/>
        </w:rPr>
      </w:pPr>
      <w:r w:rsidRPr="00915B64">
        <w:rPr>
          <w:rFonts w:ascii="Arial" w:eastAsiaTheme="minorHAnsi" w:hAnsi="Arial" w:cs="Arial"/>
          <w:i/>
          <w:color w:val="323E4F" w:themeColor="text2" w:themeShade="BF"/>
          <w:sz w:val="20"/>
          <w:lang w:eastAsia="en-US"/>
        </w:rPr>
        <w:t xml:space="preserve">Así mismo deberá acompañar constancias de notificación efectuadas al recurrente con la información proporcionada. </w:t>
      </w:r>
    </w:p>
    <w:p w14:paraId="2D68E733" w14:textId="77777777" w:rsidR="003D6FD8" w:rsidRDefault="003D6FD8" w:rsidP="00DC1F71">
      <w:pPr>
        <w:spacing w:line="360" w:lineRule="auto"/>
        <w:jc w:val="center"/>
        <w:rPr>
          <w:rFonts w:ascii="Arial" w:hAnsi="Arial" w:cs="Arial"/>
          <w:b/>
          <w:color w:val="323E4F" w:themeColor="text2" w:themeShade="BF"/>
          <w:szCs w:val="22"/>
          <w:lang w:eastAsia="es-MX"/>
        </w:rPr>
      </w:pPr>
    </w:p>
    <w:p w14:paraId="26D47C1C" w14:textId="583CBE99" w:rsidR="00DC1F71" w:rsidRPr="00915B64" w:rsidRDefault="00DC1F71" w:rsidP="00DC1F71">
      <w:pPr>
        <w:spacing w:line="360" w:lineRule="auto"/>
        <w:jc w:val="center"/>
        <w:rPr>
          <w:rFonts w:ascii="Arial" w:hAnsi="Arial" w:cs="Arial"/>
          <w:b/>
          <w:color w:val="323E4F" w:themeColor="text2" w:themeShade="BF"/>
          <w:sz w:val="22"/>
          <w:szCs w:val="22"/>
          <w:lang w:eastAsia="es-MX"/>
        </w:rPr>
      </w:pPr>
      <w:r w:rsidRPr="00915B64">
        <w:rPr>
          <w:rFonts w:ascii="Arial" w:hAnsi="Arial" w:cs="Arial"/>
          <w:b/>
          <w:color w:val="323E4F" w:themeColor="text2" w:themeShade="BF"/>
          <w:sz w:val="22"/>
          <w:szCs w:val="22"/>
          <w:lang w:eastAsia="es-MX"/>
        </w:rPr>
        <w:t>CONSIDERANDOS</w:t>
      </w:r>
    </w:p>
    <w:p w14:paraId="40A9F40C" w14:textId="5B215ECC" w:rsidR="00DC1F71" w:rsidRPr="00915B64" w:rsidRDefault="00DC1F71" w:rsidP="00DC1F71">
      <w:pPr>
        <w:spacing w:line="360" w:lineRule="auto"/>
        <w:ind w:firstLine="708"/>
        <w:jc w:val="both"/>
        <w:rPr>
          <w:rFonts w:ascii="Arial" w:hAnsi="Arial" w:cs="Arial"/>
          <w:color w:val="323E4F" w:themeColor="text2" w:themeShade="BF"/>
          <w:sz w:val="22"/>
          <w:szCs w:val="22"/>
        </w:rPr>
      </w:pPr>
      <w:r w:rsidRPr="00915B64">
        <w:rPr>
          <w:rFonts w:ascii="Arial" w:hAnsi="Arial" w:cs="Arial"/>
          <w:b/>
          <w:color w:val="323E4F" w:themeColor="text2" w:themeShade="BF"/>
          <w:sz w:val="22"/>
          <w:szCs w:val="22"/>
          <w:lang w:eastAsia="es-MX"/>
        </w:rPr>
        <w:t xml:space="preserve">PRIMERO. </w:t>
      </w:r>
      <w:r w:rsidRPr="00915B64">
        <w:rPr>
          <w:rFonts w:ascii="Arial" w:hAnsi="Arial" w:cs="Arial"/>
          <w:color w:val="323E4F" w:themeColor="text2" w:themeShade="BF"/>
          <w:sz w:val="22"/>
          <w:szCs w:val="22"/>
        </w:rPr>
        <w:t>La Comisionada Ponente es competente dictar el presente proveído, con fundamento en los artículos 34, fracciones I y II, 35 fracciones I y VIII y 185 de la Ley de Transparencia y Acceso a la Información Pública del Estado de San Luis Potosí, así como de los numerales 8 fracción II; y 30 fracciones XII y XIII, del Reglamento Interior de la Comisión Estatal de Garantía de Acceso a la Información Pública de San Luis Potosí.</w:t>
      </w:r>
    </w:p>
    <w:p w14:paraId="7FC33433" w14:textId="77777777" w:rsidR="00D903A6" w:rsidRPr="00915B64" w:rsidRDefault="00D903A6" w:rsidP="00D903A6">
      <w:pPr>
        <w:spacing w:line="360" w:lineRule="auto"/>
        <w:ind w:firstLine="708"/>
        <w:jc w:val="both"/>
        <w:rPr>
          <w:rFonts w:ascii="Arial" w:hAnsi="Arial" w:cs="Arial"/>
          <w:sz w:val="22"/>
        </w:rPr>
      </w:pPr>
    </w:p>
    <w:p w14:paraId="3E328BC0" w14:textId="34280E8E" w:rsidR="00D903A6" w:rsidRPr="00915B64" w:rsidRDefault="00D903A6" w:rsidP="00D903A6">
      <w:pPr>
        <w:spacing w:line="360" w:lineRule="auto"/>
        <w:ind w:firstLine="708"/>
        <w:jc w:val="both"/>
        <w:rPr>
          <w:rFonts w:ascii="Arial" w:hAnsi="Arial" w:cs="Arial"/>
          <w:color w:val="323E4F" w:themeColor="text2" w:themeShade="BF"/>
          <w:sz w:val="22"/>
        </w:rPr>
      </w:pPr>
      <w:r w:rsidRPr="00915B64">
        <w:rPr>
          <w:rFonts w:ascii="Arial" w:hAnsi="Arial" w:cs="Arial"/>
          <w:color w:val="323E4F" w:themeColor="text2" w:themeShade="BF"/>
          <w:sz w:val="22"/>
        </w:rPr>
        <w:t xml:space="preserve">La suscrita es competente para dictar el presente Acuerdo, de conformidad con lo establecido en los artículos 27 y </w:t>
      </w:r>
      <w:r w:rsidRPr="00915B64">
        <w:rPr>
          <w:rFonts w:ascii="Arial" w:hAnsi="Arial" w:cs="Arial"/>
          <w:color w:val="323E4F" w:themeColor="text2" w:themeShade="BF"/>
          <w:sz w:val="22"/>
          <w:shd w:val="clear" w:color="auto" w:fill="FFFFFF"/>
        </w:rPr>
        <w:t xml:space="preserve">34 fracción I y II de la Ley de Transparencia y Acceso a la Información Pública del Estado de San Luis Potosí; así como los artículos 2°, 5º, </w:t>
      </w:r>
      <w:r w:rsidRPr="00915B64">
        <w:rPr>
          <w:rFonts w:ascii="Arial" w:hAnsi="Arial" w:cs="Arial"/>
          <w:color w:val="323E4F" w:themeColor="text2" w:themeShade="BF"/>
          <w:sz w:val="22"/>
        </w:rPr>
        <w:t xml:space="preserve">8º fracción II y </w:t>
      </w:r>
      <w:r w:rsidRPr="00915B64">
        <w:rPr>
          <w:rFonts w:ascii="Arial" w:eastAsia="Calibri" w:hAnsi="Arial" w:cs="Arial"/>
          <w:color w:val="323E4F" w:themeColor="text2" w:themeShade="BF"/>
          <w:sz w:val="22"/>
        </w:rPr>
        <w:t xml:space="preserve">51 fracción VII del Reglamento Interno de la Comisión Estatal de Garantía de Acceso a la Información Pública, en correlación con el Acuerdo CEGAIP-738/2023, emitido por el Pleno de este Órgano Garante el 03 tres de octubre de 2023 dos mil </w:t>
      </w:r>
      <w:r w:rsidRPr="00915B64">
        <w:rPr>
          <w:rFonts w:ascii="Arial" w:eastAsia="Calibri" w:hAnsi="Arial" w:cs="Arial"/>
          <w:color w:val="323E4F" w:themeColor="text2" w:themeShade="BF"/>
          <w:sz w:val="22"/>
        </w:rPr>
        <w:lastRenderedPageBreak/>
        <w:t xml:space="preserve">veintitrés y publicado en el Periódico Oficial del Estado el 01 primero de noviembre del mismo año.  </w:t>
      </w:r>
    </w:p>
    <w:p w14:paraId="53043AD6" w14:textId="77777777" w:rsidR="00DC1F71" w:rsidRPr="00915B64" w:rsidRDefault="00DC1F71" w:rsidP="00DC1F71">
      <w:pPr>
        <w:spacing w:line="360" w:lineRule="auto"/>
        <w:jc w:val="both"/>
        <w:rPr>
          <w:rFonts w:ascii="Arial" w:hAnsi="Arial" w:cs="Arial"/>
          <w:color w:val="323E4F" w:themeColor="text2" w:themeShade="BF"/>
          <w:sz w:val="22"/>
          <w:szCs w:val="22"/>
        </w:rPr>
      </w:pPr>
    </w:p>
    <w:p w14:paraId="645212B6" w14:textId="77777777" w:rsidR="00DC1F71" w:rsidRPr="00915B64" w:rsidRDefault="00DC1F71" w:rsidP="00DC1F71">
      <w:pPr>
        <w:spacing w:line="360" w:lineRule="auto"/>
        <w:ind w:firstLine="708"/>
        <w:jc w:val="both"/>
        <w:rPr>
          <w:rFonts w:ascii="Arial" w:hAnsi="Arial" w:cs="Arial"/>
          <w:color w:val="323E4F" w:themeColor="text2" w:themeShade="BF"/>
          <w:sz w:val="22"/>
          <w:szCs w:val="22"/>
          <w:lang w:eastAsia="es-MX"/>
        </w:rPr>
      </w:pPr>
      <w:r w:rsidRPr="00915B64">
        <w:rPr>
          <w:rFonts w:ascii="Arial" w:hAnsi="Arial" w:cs="Arial"/>
          <w:b/>
          <w:color w:val="323E4F" w:themeColor="text2" w:themeShade="BF"/>
          <w:sz w:val="22"/>
          <w:szCs w:val="22"/>
          <w:lang w:eastAsia="es-MX"/>
        </w:rPr>
        <w:t>SEGUNDO.</w:t>
      </w:r>
      <w:r w:rsidRPr="00915B64">
        <w:rPr>
          <w:rFonts w:ascii="Arial" w:hAnsi="Arial" w:cs="Arial"/>
          <w:color w:val="323E4F" w:themeColor="text2" w:themeShade="BF"/>
          <w:sz w:val="22"/>
          <w:szCs w:val="22"/>
          <w:lang w:eastAsia="es-MX"/>
        </w:rPr>
        <w:t xml:space="preserve"> </w:t>
      </w:r>
      <w:r w:rsidRPr="00915B64">
        <w:rPr>
          <w:rFonts w:ascii="Arial" w:eastAsia="Arial" w:hAnsi="Arial" w:cs="Arial"/>
          <w:color w:val="323E4F" w:themeColor="text2" w:themeShade="BF"/>
          <w:spacing w:val="1"/>
          <w:sz w:val="22"/>
          <w:szCs w:val="22"/>
          <w:lang w:val="es-ES"/>
        </w:rPr>
        <w:t>Una vez precisados los Antecedentes, con fundamento en lo establecido en el artículo 185 de la Ley de Transparencia y Acceso a la Información Pública del Estado, esta Comisión entrará al estudio de las constancias aportadas por el Sujeto Obligado, en cumplimiento a la resolución de mérito:</w:t>
      </w:r>
    </w:p>
    <w:p w14:paraId="3BA4AA55" w14:textId="77777777" w:rsidR="00DC1F71" w:rsidRPr="00915B64" w:rsidRDefault="00DC1F71" w:rsidP="00DC1F71">
      <w:pPr>
        <w:pStyle w:val="Textoindependienteprimerasangra"/>
        <w:spacing w:before="100" w:beforeAutospacing="1" w:after="100" w:afterAutospacing="1"/>
        <w:ind w:firstLine="708"/>
        <w:rPr>
          <w:rFonts w:ascii="Arial" w:hAnsi="Arial" w:cs="Arial"/>
          <w:color w:val="323E4F" w:themeColor="text2" w:themeShade="BF"/>
          <w:sz w:val="22"/>
          <w:szCs w:val="22"/>
        </w:rPr>
      </w:pPr>
      <w:r w:rsidRPr="00915B64">
        <w:rPr>
          <w:rFonts w:ascii="Arial" w:hAnsi="Arial" w:cs="Arial"/>
          <w:color w:val="323E4F" w:themeColor="text2" w:themeShade="BF"/>
          <w:sz w:val="22"/>
          <w:szCs w:val="22"/>
        </w:rPr>
        <w:t xml:space="preserve">Es menester señalar que, del análisis de los motivos de inconformidad, se desprende que el recurrente no presenta queja en virtud de la información que le fue notificada y entregada al medio señalado para tal efecto, por lo que se colige que se muestra conforme con el contenido de la respuesta sus demás extremos al no inconformarse al respecto. Sirve de apoyo la Tesis de VI.3o.C. J/60, Seminario Judicial de la Federación y su Gaceta, Novena Época, t. XXII, diciembre de 2005, p. 2365, cuyo rubro y texto señalan: </w:t>
      </w:r>
    </w:p>
    <w:p w14:paraId="37274D08" w14:textId="316AD915" w:rsidR="00DC1F71" w:rsidRPr="00915B64" w:rsidRDefault="00DC1F71" w:rsidP="00DC1F71">
      <w:pPr>
        <w:spacing w:after="240"/>
        <w:ind w:left="1134" w:right="1183"/>
        <w:jc w:val="both"/>
        <w:rPr>
          <w:rFonts w:ascii="Arial" w:hAnsi="Arial" w:cs="Arial"/>
          <w:color w:val="323E4F" w:themeColor="text2" w:themeShade="BF"/>
          <w:sz w:val="20"/>
          <w:szCs w:val="22"/>
        </w:rPr>
      </w:pPr>
      <w:r w:rsidRPr="00915B64">
        <w:rPr>
          <w:rFonts w:ascii="Arial" w:hAnsi="Arial" w:cs="Arial"/>
          <w:b/>
          <w:color w:val="323E4F" w:themeColor="text2" w:themeShade="BF"/>
          <w:sz w:val="20"/>
          <w:szCs w:val="22"/>
        </w:rPr>
        <w:t>ACTOS CONSENTIDOS. SON LOS QUE NO SE IMPUGNAN MEDIANTE EL RECURSO IDÓNEO.</w:t>
      </w:r>
      <w:r w:rsidRPr="00915B64">
        <w:rPr>
          <w:rFonts w:ascii="Arial" w:hAnsi="Arial" w:cs="Arial"/>
          <w:color w:val="323E4F" w:themeColor="text2" w:themeShade="BF"/>
          <w:sz w:val="20"/>
          <w:szCs w:val="22"/>
        </w:rPr>
        <w:t xml:space="preserve"> Debe reputarse como consentido el acto que no se impugnó por el medio establecido por la ley, </w:t>
      </w:r>
      <w:r w:rsidR="00FA7782" w:rsidRPr="00915B64">
        <w:rPr>
          <w:rFonts w:ascii="Arial" w:hAnsi="Arial" w:cs="Arial"/>
          <w:color w:val="323E4F" w:themeColor="text2" w:themeShade="BF"/>
          <w:sz w:val="20"/>
          <w:szCs w:val="22"/>
        </w:rPr>
        <w:t>ya que,</w:t>
      </w:r>
      <w:r w:rsidRPr="00915B64">
        <w:rPr>
          <w:rFonts w:ascii="Arial" w:hAnsi="Arial" w:cs="Arial"/>
          <w:color w:val="323E4F" w:themeColor="text2" w:themeShade="BF"/>
          <w:sz w:val="20"/>
          <w:szCs w:val="22"/>
        </w:rPr>
        <w:t xml:space="preserve"> si se hizo uso de otro no previsto por ella o si se hace una simple manifestación de inconformidad, tales actuaciones no producen efectos jurídicos tendientes a revocar, confirmar o modificar el acto reclamado en amparo, lo que significa consentimiento del mismo por falta de impugnación eficaz. </w:t>
      </w:r>
    </w:p>
    <w:p w14:paraId="79C2F0B0" w14:textId="77777777" w:rsidR="00DC1F71" w:rsidRPr="00915B64" w:rsidRDefault="00DC1F71" w:rsidP="00DC1F71">
      <w:pPr>
        <w:spacing w:line="360" w:lineRule="auto"/>
        <w:ind w:firstLine="708"/>
        <w:jc w:val="both"/>
        <w:rPr>
          <w:rFonts w:ascii="Arial" w:hAnsi="Arial" w:cs="Arial"/>
          <w:color w:val="323E4F" w:themeColor="text2" w:themeShade="BF"/>
          <w:sz w:val="22"/>
          <w:szCs w:val="22"/>
        </w:rPr>
      </w:pPr>
      <w:r w:rsidRPr="00915B64">
        <w:rPr>
          <w:rFonts w:ascii="Arial" w:hAnsi="Arial" w:cs="Arial"/>
          <w:color w:val="323E4F" w:themeColor="text2" w:themeShade="BF"/>
          <w:sz w:val="22"/>
          <w:szCs w:val="22"/>
        </w:rPr>
        <w:t xml:space="preserve">La manifestación de conformidad representa que se le puso a disposición la información que solicitó, por conducto del área administrativa que posee la documentación que corresponde a su petición; sirve para robustecer lo anterior el criterio 01/2020 emitido por el Instituto Nacional de Transparencia y Acceso a la Información y Protección de Datos Personales (INAI), que señala: </w:t>
      </w:r>
    </w:p>
    <w:p w14:paraId="46988666" w14:textId="77777777" w:rsidR="00DC1F71" w:rsidRPr="00192A3A" w:rsidRDefault="00DC1F71" w:rsidP="00DC1F71">
      <w:pPr>
        <w:rPr>
          <w:rFonts w:ascii="Arial" w:hAnsi="Arial" w:cs="Arial"/>
          <w:color w:val="323E4F" w:themeColor="text2" w:themeShade="BF"/>
          <w:szCs w:val="22"/>
        </w:rPr>
      </w:pPr>
    </w:p>
    <w:p w14:paraId="6468D7A3" w14:textId="77777777" w:rsidR="00DC1F71" w:rsidRPr="00915B64" w:rsidRDefault="00DC1F71" w:rsidP="00DC1F71">
      <w:pPr>
        <w:ind w:left="1134" w:right="1185"/>
        <w:jc w:val="both"/>
        <w:rPr>
          <w:rFonts w:ascii="Arial" w:hAnsi="Arial" w:cs="Arial"/>
          <w:color w:val="323E4F" w:themeColor="text2" w:themeShade="BF"/>
          <w:sz w:val="20"/>
          <w:szCs w:val="22"/>
        </w:rPr>
      </w:pPr>
      <w:r w:rsidRPr="00915B64">
        <w:rPr>
          <w:rFonts w:ascii="Arial" w:hAnsi="Arial" w:cs="Arial"/>
          <w:b/>
          <w:bCs/>
          <w:color w:val="323E4F" w:themeColor="text2" w:themeShade="BF"/>
          <w:sz w:val="20"/>
          <w:szCs w:val="22"/>
        </w:rPr>
        <w:t>Actos consentidos tácitamente.  Improcedencia de su análisis.</w:t>
      </w:r>
      <w:r w:rsidRPr="00915B64">
        <w:rPr>
          <w:rFonts w:ascii="Arial" w:hAnsi="Arial" w:cs="Arial"/>
          <w:color w:val="323E4F" w:themeColor="text2" w:themeShade="BF"/>
          <w:sz w:val="20"/>
          <w:szCs w:val="22"/>
        </w:rPr>
        <w:t xml:space="preserve">  Si en su recurso de revisión, la persona recurrente no expresó inconformidad alguna con ciertas partes de la respuesta otorgada, se entienden tácitamente consentidas, por ende, no deben formar parte del estudio de fondo de la resolución que emite el Instituto.   </w:t>
      </w:r>
    </w:p>
    <w:p w14:paraId="2525673A" w14:textId="77777777" w:rsidR="00DC1F71" w:rsidRPr="00915B64" w:rsidRDefault="00DC1F71" w:rsidP="00DC1F71">
      <w:pPr>
        <w:rPr>
          <w:rFonts w:ascii="Arial" w:hAnsi="Arial" w:cs="Arial"/>
          <w:color w:val="323E4F" w:themeColor="text2" w:themeShade="BF"/>
          <w:sz w:val="20"/>
          <w:szCs w:val="22"/>
        </w:rPr>
      </w:pPr>
    </w:p>
    <w:p w14:paraId="26F5DBD6" w14:textId="5240B69B" w:rsidR="00DC1F71" w:rsidRPr="00915B64" w:rsidRDefault="00DC1F71" w:rsidP="00DC1F71">
      <w:pPr>
        <w:spacing w:after="240" w:line="360" w:lineRule="auto"/>
        <w:ind w:firstLine="708"/>
        <w:jc w:val="both"/>
        <w:rPr>
          <w:rFonts w:ascii="Arial" w:hAnsi="Arial" w:cs="Arial"/>
          <w:color w:val="323E4F" w:themeColor="text2" w:themeShade="BF"/>
          <w:sz w:val="22"/>
          <w:szCs w:val="22"/>
          <w:lang w:eastAsia="es-MX"/>
        </w:rPr>
      </w:pPr>
      <w:r w:rsidRPr="00915B64">
        <w:rPr>
          <w:rFonts w:ascii="Arial" w:hAnsi="Arial" w:cs="Arial"/>
          <w:color w:val="323E4F" w:themeColor="text2" w:themeShade="BF"/>
          <w:sz w:val="22"/>
          <w:szCs w:val="22"/>
        </w:rPr>
        <w:t xml:space="preserve">Por lo anterior, a fin de comprender la respuesta que el Sujeto Obligado emitió para efecto de subsanar la anotada omisión que se generó en la respuesta otorgada, es menester señalar que </w:t>
      </w:r>
      <w:r w:rsidR="00192A3A" w:rsidRPr="00915B64">
        <w:rPr>
          <w:rFonts w:ascii="Arial" w:hAnsi="Arial" w:cs="Arial"/>
          <w:color w:val="323E4F" w:themeColor="text2" w:themeShade="BF"/>
          <w:sz w:val="22"/>
          <w:szCs w:val="22"/>
        </w:rPr>
        <w:t xml:space="preserve">la Titular </w:t>
      </w:r>
      <w:r w:rsidR="00043054" w:rsidRPr="00915B64">
        <w:rPr>
          <w:rFonts w:ascii="Arial" w:hAnsi="Arial" w:cs="Arial"/>
          <w:color w:val="323E4F" w:themeColor="text2" w:themeShade="BF"/>
          <w:sz w:val="22"/>
          <w:szCs w:val="22"/>
        </w:rPr>
        <w:t xml:space="preserve">de la Unidad de Transparencia </w:t>
      </w:r>
      <w:r w:rsidR="00723EFB" w:rsidRPr="00915B64">
        <w:rPr>
          <w:rFonts w:ascii="Arial" w:hAnsi="Arial" w:cs="Arial"/>
          <w:color w:val="323E4F" w:themeColor="text2" w:themeShade="BF"/>
          <w:sz w:val="22"/>
          <w:szCs w:val="22"/>
        </w:rPr>
        <w:t xml:space="preserve">de </w:t>
      </w:r>
      <w:r w:rsidR="003A7F26" w:rsidRPr="00915B64">
        <w:rPr>
          <w:rFonts w:ascii="Arial" w:hAnsi="Arial" w:cs="Arial"/>
          <w:color w:val="323E4F" w:themeColor="text2" w:themeShade="BF"/>
          <w:sz w:val="22"/>
          <w:szCs w:val="22"/>
        </w:rPr>
        <w:t xml:space="preserve">la </w:t>
      </w:r>
      <w:r w:rsidR="00A00071" w:rsidRPr="00915B64">
        <w:rPr>
          <w:rFonts w:ascii="Arial" w:hAnsi="Arial" w:cs="Arial"/>
          <w:color w:val="323E4F" w:themeColor="text2" w:themeShade="BF"/>
          <w:sz w:val="22"/>
          <w:szCs w:val="22"/>
        </w:rPr>
        <w:t>Secretaria General de Gobierno</w:t>
      </w:r>
      <w:r w:rsidR="00004EB9" w:rsidRPr="00915B64">
        <w:rPr>
          <w:rFonts w:ascii="Arial" w:hAnsi="Arial" w:cs="Arial"/>
          <w:color w:val="323E4F" w:themeColor="text2" w:themeShade="BF"/>
          <w:sz w:val="22"/>
          <w:szCs w:val="22"/>
        </w:rPr>
        <w:t xml:space="preserve"> </w:t>
      </w:r>
      <w:r w:rsidR="00FA7782" w:rsidRPr="00915B64">
        <w:rPr>
          <w:rFonts w:ascii="Arial" w:hAnsi="Arial" w:cs="Arial"/>
          <w:color w:val="323E4F" w:themeColor="text2" w:themeShade="BF"/>
          <w:sz w:val="22"/>
          <w:szCs w:val="22"/>
        </w:rPr>
        <w:t>aduce</w:t>
      </w:r>
      <w:r w:rsidRPr="00915B64">
        <w:rPr>
          <w:rFonts w:ascii="Arial" w:hAnsi="Arial" w:cs="Arial"/>
          <w:color w:val="323E4F" w:themeColor="text2" w:themeShade="BF"/>
          <w:sz w:val="22"/>
          <w:szCs w:val="22"/>
          <w:lang w:eastAsia="es-MX"/>
        </w:rPr>
        <w:t xml:space="preserve"> haber hecho las gestiones, a fin de dar cumplimiento al fallo de mérito, de conformidad con lo estipulado por el artículo 153 de la Ley de Transparencia y Acceso a la Información Pública en el Estado. </w:t>
      </w:r>
    </w:p>
    <w:p w14:paraId="0DCB1946" w14:textId="77777777" w:rsidR="007A3A8F" w:rsidRPr="00915B64" w:rsidRDefault="00DC1F71" w:rsidP="007A3A8F">
      <w:pPr>
        <w:spacing w:after="240" w:line="360" w:lineRule="auto"/>
        <w:ind w:firstLine="708"/>
        <w:jc w:val="both"/>
        <w:rPr>
          <w:rFonts w:ascii="Arial" w:hAnsi="Arial" w:cs="Arial"/>
          <w:color w:val="323E4F" w:themeColor="text2" w:themeShade="BF"/>
          <w:sz w:val="22"/>
          <w:szCs w:val="22"/>
        </w:rPr>
      </w:pPr>
      <w:r w:rsidRPr="00915B64">
        <w:rPr>
          <w:rFonts w:ascii="Arial" w:hAnsi="Arial" w:cs="Arial"/>
          <w:color w:val="323E4F" w:themeColor="text2" w:themeShade="BF"/>
          <w:sz w:val="22"/>
          <w:szCs w:val="22"/>
        </w:rPr>
        <w:t>En este sentido, se estima que la respuesta otorgada por el sujeto obligado atiende los efectos señalados en la determinación adoptada por el Pleno de esta comisión, ello así en virtud de que se atienden los puntos form</w:t>
      </w:r>
      <w:r w:rsidR="007A3A8F" w:rsidRPr="00915B64">
        <w:rPr>
          <w:rFonts w:ascii="Arial" w:hAnsi="Arial" w:cs="Arial"/>
          <w:color w:val="323E4F" w:themeColor="text2" w:themeShade="BF"/>
          <w:sz w:val="22"/>
          <w:szCs w:val="22"/>
        </w:rPr>
        <w:t>ulados en la referida solicitud.</w:t>
      </w:r>
    </w:p>
    <w:p w14:paraId="219EB3DE" w14:textId="015AA726" w:rsidR="00DC1F71" w:rsidRPr="00915B64" w:rsidRDefault="00DC1F71" w:rsidP="007A3A8F">
      <w:pPr>
        <w:spacing w:after="240" w:line="360" w:lineRule="auto"/>
        <w:ind w:firstLine="708"/>
        <w:jc w:val="both"/>
        <w:rPr>
          <w:rFonts w:ascii="Arial" w:hAnsi="Arial" w:cs="Arial"/>
          <w:color w:val="323E4F" w:themeColor="text2" w:themeShade="BF"/>
          <w:sz w:val="22"/>
          <w:szCs w:val="22"/>
          <w:lang w:val="es-ES"/>
        </w:rPr>
      </w:pPr>
      <w:r w:rsidRPr="00915B64">
        <w:rPr>
          <w:rFonts w:ascii="Arial" w:hAnsi="Arial" w:cs="Arial"/>
          <w:color w:val="323E4F" w:themeColor="text2" w:themeShade="BF"/>
          <w:sz w:val="22"/>
          <w:szCs w:val="22"/>
          <w:lang w:val="es-ES"/>
        </w:rPr>
        <w:t xml:space="preserve">Por otra parte, es necesario precisar que la notificación que acredita la autoridad es de naturaleza electrónica, misma que debe ser entendida como el acto mediante el cual se da a conocer al interesado a través de un medio remoto una decisión administrativa, y por ello debe contar con un documento que de manera fehaciente demuestre la notificación al destinario, ya que de otro modo se violentaría en perjuicio del solicitante la garantía de seguridad jurídica que le asiste. </w:t>
      </w:r>
    </w:p>
    <w:p w14:paraId="60670A96" w14:textId="77777777" w:rsidR="00DC1F71" w:rsidRPr="00915B64" w:rsidRDefault="00DC1F71" w:rsidP="00DC1F71">
      <w:pPr>
        <w:spacing w:line="360" w:lineRule="auto"/>
        <w:ind w:firstLine="708"/>
        <w:jc w:val="both"/>
        <w:rPr>
          <w:rFonts w:ascii="Arial" w:hAnsi="Arial" w:cs="Arial"/>
          <w:color w:val="323E4F" w:themeColor="text2" w:themeShade="BF"/>
          <w:sz w:val="22"/>
          <w:szCs w:val="22"/>
          <w:lang w:val="es-ES"/>
        </w:rPr>
      </w:pPr>
      <w:r w:rsidRPr="00915B64">
        <w:rPr>
          <w:rFonts w:ascii="Arial" w:hAnsi="Arial" w:cs="Arial"/>
          <w:color w:val="323E4F" w:themeColor="text2" w:themeShade="BF"/>
          <w:sz w:val="22"/>
          <w:szCs w:val="22"/>
          <w:lang w:val="es-ES"/>
        </w:rPr>
        <w:t>En ese sentido, el Tribunal Colegiado en Materias de Trabajo y Administrativa del Décimo Tercer Circuito, emitió un criterio relacionado con la cuestión que nos ocupa, mismo que se identifica con el número XIII.T.A.3 A (10a.), y que establece:</w:t>
      </w:r>
    </w:p>
    <w:p w14:paraId="6C0E0C82" w14:textId="77777777" w:rsidR="00DC1F71" w:rsidRPr="00192A3A" w:rsidRDefault="00DC1F71" w:rsidP="00DC1F71">
      <w:pPr>
        <w:spacing w:line="360" w:lineRule="auto"/>
        <w:jc w:val="both"/>
        <w:rPr>
          <w:rFonts w:ascii="Arial" w:hAnsi="Arial" w:cs="Arial"/>
          <w:color w:val="323E4F" w:themeColor="text2" w:themeShade="BF"/>
          <w:szCs w:val="22"/>
          <w:lang w:val="es-ES"/>
        </w:rPr>
      </w:pPr>
    </w:p>
    <w:p w14:paraId="7202C644" w14:textId="77777777" w:rsidR="00DC1F71" w:rsidRPr="00915B64" w:rsidRDefault="00DC1F71" w:rsidP="00DC1F71">
      <w:pPr>
        <w:ind w:left="1134" w:right="1072"/>
        <w:jc w:val="both"/>
        <w:rPr>
          <w:rFonts w:ascii="Arial" w:hAnsi="Arial" w:cs="Arial"/>
          <w:color w:val="323E4F" w:themeColor="text2" w:themeShade="BF"/>
          <w:sz w:val="20"/>
          <w:szCs w:val="20"/>
          <w:lang w:val="es-ES"/>
        </w:rPr>
      </w:pPr>
      <w:r w:rsidRPr="00915B64">
        <w:rPr>
          <w:rFonts w:ascii="Arial" w:hAnsi="Arial" w:cs="Arial"/>
          <w:b/>
          <w:bCs/>
          <w:color w:val="323E4F" w:themeColor="text2" w:themeShade="BF"/>
          <w:sz w:val="20"/>
          <w:szCs w:val="20"/>
          <w:lang w:val="es-ES"/>
        </w:rPr>
        <w:lastRenderedPageBreak/>
        <w:t xml:space="preserve">“NOTIFICACIÓN ELECTRÓNICA. AL PRACTICARLA, LA AUTORIDAD DEBE ANEXAR EN AUTOS DEL EXPEDIENTE ADMINISTRATIVO O JUDICIAL DEL QUE DERIVE, LA CONSTANCIA FEHACIENTE DE RECEPCIÓN POR SU DESTINATARIO. </w:t>
      </w:r>
      <w:r w:rsidRPr="00915B64">
        <w:rPr>
          <w:rFonts w:ascii="Arial" w:hAnsi="Arial" w:cs="Arial"/>
          <w:color w:val="323E4F" w:themeColor="text2" w:themeShade="BF"/>
          <w:sz w:val="20"/>
          <w:szCs w:val="20"/>
          <w:lang w:val="es-ES"/>
        </w:rPr>
        <w:t>La </w:t>
      </w:r>
      <w:r w:rsidRPr="00915B64">
        <w:rPr>
          <w:rFonts w:ascii="Arial" w:hAnsi="Arial" w:cs="Arial"/>
          <w:bCs/>
          <w:color w:val="323E4F" w:themeColor="text2" w:themeShade="BF"/>
          <w:sz w:val="20"/>
          <w:szCs w:val="20"/>
          <w:lang w:val="es-ES"/>
        </w:rPr>
        <w:t>notificación</w:t>
      </w:r>
      <w:r w:rsidRPr="00915B64">
        <w:rPr>
          <w:rFonts w:ascii="Arial" w:hAnsi="Arial" w:cs="Arial"/>
          <w:color w:val="323E4F" w:themeColor="text2" w:themeShade="BF"/>
          <w:sz w:val="20"/>
          <w:szCs w:val="20"/>
          <w:lang w:val="es-ES"/>
        </w:rPr>
        <w:t> </w:t>
      </w:r>
      <w:r w:rsidRPr="00915B64">
        <w:rPr>
          <w:rFonts w:ascii="Arial" w:hAnsi="Arial" w:cs="Arial"/>
          <w:bCs/>
          <w:color w:val="323E4F" w:themeColor="text2" w:themeShade="BF"/>
          <w:sz w:val="20"/>
          <w:szCs w:val="20"/>
          <w:lang w:val="es-ES"/>
        </w:rPr>
        <w:t>electrónica</w:t>
      </w:r>
      <w:r w:rsidRPr="00915B64">
        <w:rPr>
          <w:rFonts w:ascii="Arial" w:hAnsi="Arial" w:cs="Arial"/>
          <w:color w:val="323E4F" w:themeColor="text2" w:themeShade="BF"/>
          <w:sz w:val="20"/>
          <w:szCs w:val="20"/>
          <w:lang w:val="es-ES"/>
        </w:rPr>
        <w:t> es el acto mediante el cual, con las formalidades legales preestablecidas, se da a conocer a los interesados a través de medios electrónicos y telemáticos, tales como una página web o correo electrónico, un acuerdo administrativo o resolución judicial, por lo que, al practicarla, la autoridad debe anexar en autos del expediente administrativo o judicial del que derive, la constancia fehaciente de recepción por su destinatario, sin que baste la razón actuarial de que se realizó de esa manera, pues la omisión de esa constancia constituye una violación que transgrede las leyes del procedimiento y afecta las defensas del quejoso, la cual actualiza el supuesto previsto en la </w:t>
      </w:r>
      <w:hyperlink r:id="rId8" w:history="1">
        <w:r w:rsidRPr="00915B64">
          <w:rPr>
            <w:rStyle w:val="Hipervnculo"/>
            <w:color w:val="323E4F" w:themeColor="text2" w:themeShade="BF"/>
            <w:sz w:val="20"/>
            <w:szCs w:val="20"/>
            <w:lang w:val="es-ES"/>
          </w:rPr>
          <w:t>fracción I del artículo 172 de la Ley de Amparo</w:t>
        </w:r>
      </w:hyperlink>
      <w:r w:rsidRPr="00915B64">
        <w:rPr>
          <w:rFonts w:ascii="Arial" w:hAnsi="Arial" w:cs="Arial"/>
          <w:color w:val="323E4F" w:themeColor="text2" w:themeShade="BF"/>
          <w:sz w:val="20"/>
          <w:szCs w:val="20"/>
          <w:lang w:val="es-ES"/>
        </w:rPr>
        <w:t>, vigente a partir del 3 de abril de 2013”.</w:t>
      </w:r>
    </w:p>
    <w:p w14:paraId="6F7D2665" w14:textId="77777777" w:rsidR="00DC1F71" w:rsidRPr="00192A3A" w:rsidRDefault="00DC1F71" w:rsidP="00DC1F71">
      <w:pPr>
        <w:spacing w:line="360" w:lineRule="auto"/>
        <w:ind w:firstLine="708"/>
        <w:jc w:val="both"/>
        <w:rPr>
          <w:rFonts w:ascii="Arial" w:hAnsi="Arial" w:cs="Arial"/>
          <w:color w:val="323E4F" w:themeColor="text2" w:themeShade="BF"/>
          <w:sz w:val="22"/>
          <w:szCs w:val="22"/>
          <w:lang w:val="es-ES"/>
        </w:rPr>
      </w:pPr>
    </w:p>
    <w:p w14:paraId="2F36EF19" w14:textId="42E8B5A8" w:rsidR="00DC1F71" w:rsidRPr="00915B64" w:rsidRDefault="00DC1F71" w:rsidP="00DC1F71">
      <w:pPr>
        <w:spacing w:line="360" w:lineRule="auto"/>
        <w:ind w:firstLine="708"/>
        <w:jc w:val="both"/>
        <w:rPr>
          <w:rFonts w:ascii="Arial" w:hAnsi="Arial" w:cs="Arial"/>
          <w:color w:val="323E4F" w:themeColor="text2" w:themeShade="BF"/>
          <w:sz w:val="22"/>
          <w:szCs w:val="22"/>
          <w:lang w:val="es-ES"/>
        </w:rPr>
      </w:pPr>
      <w:r w:rsidRPr="00915B64">
        <w:rPr>
          <w:rFonts w:ascii="Arial" w:hAnsi="Arial" w:cs="Arial"/>
          <w:color w:val="323E4F" w:themeColor="text2" w:themeShade="BF"/>
          <w:sz w:val="22"/>
          <w:szCs w:val="22"/>
          <w:lang w:val="es-ES"/>
        </w:rPr>
        <w:t>En razón de la tesis invocada y del análisis de las constancias que acompañó el sujeto obligado, se pued</w:t>
      </w:r>
      <w:r w:rsidR="00CA3E68" w:rsidRPr="00915B64">
        <w:rPr>
          <w:rFonts w:ascii="Arial" w:hAnsi="Arial" w:cs="Arial"/>
          <w:color w:val="323E4F" w:themeColor="text2" w:themeShade="BF"/>
          <w:sz w:val="22"/>
          <w:szCs w:val="22"/>
          <w:lang w:val="es-ES"/>
        </w:rPr>
        <w:t>e verificar a</w:t>
      </w:r>
      <w:r w:rsidR="00364D66" w:rsidRPr="00915B64">
        <w:rPr>
          <w:rFonts w:ascii="Arial" w:hAnsi="Arial" w:cs="Arial"/>
          <w:color w:val="323E4F" w:themeColor="text2" w:themeShade="BF"/>
          <w:sz w:val="22"/>
          <w:szCs w:val="22"/>
          <w:lang w:val="es-ES"/>
        </w:rPr>
        <w:t xml:space="preserve"> foja</w:t>
      </w:r>
      <w:r w:rsidR="000D02E3" w:rsidRPr="00915B64">
        <w:rPr>
          <w:rFonts w:ascii="Arial" w:hAnsi="Arial" w:cs="Arial"/>
          <w:color w:val="323E4F" w:themeColor="text2" w:themeShade="BF"/>
          <w:sz w:val="22"/>
          <w:szCs w:val="22"/>
          <w:lang w:val="es-ES"/>
        </w:rPr>
        <w:t xml:space="preserve"> </w:t>
      </w:r>
      <w:r w:rsidR="00535947" w:rsidRPr="00915B64">
        <w:rPr>
          <w:rFonts w:ascii="Arial" w:hAnsi="Arial" w:cs="Arial"/>
          <w:color w:val="323E4F" w:themeColor="text2" w:themeShade="BF"/>
          <w:sz w:val="22"/>
          <w:szCs w:val="22"/>
          <w:lang w:val="es-ES"/>
        </w:rPr>
        <w:t>ochenta</w:t>
      </w:r>
      <w:r w:rsidR="001C18F4" w:rsidRPr="00915B64">
        <w:rPr>
          <w:rFonts w:ascii="Arial" w:hAnsi="Arial" w:cs="Arial"/>
          <w:color w:val="323E4F" w:themeColor="text2" w:themeShade="BF"/>
          <w:sz w:val="22"/>
          <w:szCs w:val="22"/>
          <w:lang w:val="es-ES"/>
        </w:rPr>
        <w:t>,</w:t>
      </w:r>
      <w:r w:rsidR="00364D66" w:rsidRPr="00915B64">
        <w:rPr>
          <w:rFonts w:ascii="Arial" w:hAnsi="Arial" w:cs="Arial"/>
          <w:color w:val="323E4F" w:themeColor="text2" w:themeShade="BF"/>
          <w:sz w:val="22"/>
          <w:szCs w:val="22"/>
          <w:lang w:val="es-ES"/>
        </w:rPr>
        <w:t xml:space="preserve"> </w:t>
      </w:r>
      <w:r w:rsidRPr="00915B64">
        <w:rPr>
          <w:rFonts w:ascii="Arial" w:hAnsi="Arial" w:cs="Arial"/>
          <w:color w:val="323E4F" w:themeColor="text2" w:themeShade="BF"/>
          <w:sz w:val="22"/>
          <w:szCs w:val="22"/>
          <w:lang w:val="es-ES"/>
        </w:rPr>
        <w:t xml:space="preserve">que notificó la información generada al particular a través del correo electrónico que designó para tal </w:t>
      </w:r>
      <w:r w:rsidR="007A3A8F" w:rsidRPr="00915B64">
        <w:rPr>
          <w:rFonts w:ascii="Arial" w:hAnsi="Arial" w:cs="Arial"/>
          <w:color w:val="323E4F" w:themeColor="text2" w:themeShade="BF"/>
          <w:sz w:val="22"/>
          <w:szCs w:val="22"/>
          <w:lang w:val="es-ES"/>
        </w:rPr>
        <w:t xml:space="preserve">efecto, en fecha </w:t>
      </w:r>
      <w:r w:rsidR="003840C3" w:rsidRPr="00915B64">
        <w:rPr>
          <w:rFonts w:ascii="Arial" w:hAnsi="Arial" w:cs="Arial"/>
          <w:color w:val="323E4F" w:themeColor="text2" w:themeShade="BF"/>
          <w:sz w:val="22"/>
          <w:szCs w:val="22"/>
          <w:lang w:val="es-ES"/>
        </w:rPr>
        <w:t>0</w:t>
      </w:r>
      <w:r w:rsidR="00535947" w:rsidRPr="00915B64">
        <w:rPr>
          <w:rFonts w:ascii="Arial" w:hAnsi="Arial" w:cs="Arial"/>
          <w:color w:val="323E4F" w:themeColor="text2" w:themeShade="BF"/>
          <w:sz w:val="22"/>
          <w:szCs w:val="22"/>
          <w:lang w:val="es-ES"/>
        </w:rPr>
        <w:t>2</w:t>
      </w:r>
      <w:r w:rsidR="003A7F26" w:rsidRPr="00915B64">
        <w:rPr>
          <w:rFonts w:ascii="Arial" w:hAnsi="Arial" w:cs="Arial"/>
          <w:color w:val="323E4F" w:themeColor="text2" w:themeShade="BF"/>
          <w:sz w:val="22"/>
          <w:szCs w:val="22"/>
          <w:lang w:val="es-ES"/>
        </w:rPr>
        <w:t xml:space="preserve"> </w:t>
      </w:r>
      <w:r w:rsidR="00535947" w:rsidRPr="00915B64">
        <w:rPr>
          <w:rFonts w:ascii="Arial" w:hAnsi="Arial" w:cs="Arial"/>
          <w:color w:val="323E4F" w:themeColor="text2" w:themeShade="BF"/>
          <w:sz w:val="22"/>
          <w:szCs w:val="22"/>
          <w:lang w:val="es-ES"/>
        </w:rPr>
        <w:t>dos</w:t>
      </w:r>
      <w:r w:rsidR="005C265E" w:rsidRPr="00915B64">
        <w:rPr>
          <w:rFonts w:ascii="Arial" w:hAnsi="Arial" w:cs="Arial"/>
          <w:color w:val="323E4F" w:themeColor="text2" w:themeShade="BF"/>
          <w:sz w:val="22"/>
          <w:szCs w:val="22"/>
          <w:lang w:val="es-ES"/>
        </w:rPr>
        <w:t xml:space="preserve"> de </w:t>
      </w:r>
      <w:r w:rsidR="00535947" w:rsidRPr="00915B64">
        <w:rPr>
          <w:rFonts w:ascii="Arial" w:hAnsi="Arial" w:cs="Arial"/>
          <w:color w:val="323E4F" w:themeColor="text2" w:themeShade="BF"/>
          <w:sz w:val="22"/>
          <w:szCs w:val="22"/>
          <w:lang w:val="es-ES"/>
        </w:rPr>
        <w:t>agosto</w:t>
      </w:r>
      <w:r w:rsidR="008C46EC" w:rsidRPr="00915B64">
        <w:rPr>
          <w:rFonts w:ascii="Arial" w:hAnsi="Arial" w:cs="Arial"/>
          <w:color w:val="323E4F" w:themeColor="text2" w:themeShade="BF"/>
          <w:sz w:val="22"/>
          <w:szCs w:val="22"/>
          <w:lang w:val="es-ES"/>
        </w:rPr>
        <w:t xml:space="preserve"> de 2023 dos mil veintitrés. </w:t>
      </w:r>
    </w:p>
    <w:p w14:paraId="697F560A" w14:textId="77777777" w:rsidR="00DC1F71" w:rsidRPr="00915B64" w:rsidRDefault="00DC1F71" w:rsidP="00DC1F71">
      <w:pPr>
        <w:spacing w:line="360" w:lineRule="auto"/>
        <w:jc w:val="both"/>
        <w:rPr>
          <w:rFonts w:ascii="Arial" w:hAnsi="Arial" w:cs="Arial"/>
          <w:color w:val="323E4F" w:themeColor="text2" w:themeShade="BF"/>
          <w:sz w:val="22"/>
          <w:szCs w:val="22"/>
          <w:lang w:val="es-ES"/>
        </w:rPr>
      </w:pPr>
    </w:p>
    <w:p w14:paraId="5514B42B" w14:textId="77777777" w:rsidR="00DC1F71" w:rsidRPr="00915B64" w:rsidRDefault="00DC1F71" w:rsidP="00DC1F71">
      <w:pPr>
        <w:spacing w:line="360" w:lineRule="auto"/>
        <w:ind w:firstLine="708"/>
        <w:jc w:val="both"/>
        <w:rPr>
          <w:rFonts w:ascii="Arial" w:hAnsi="Arial" w:cs="Arial"/>
          <w:color w:val="323E4F" w:themeColor="text2" w:themeShade="BF"/>
          <w:sz w:val="22"/>
          <w:szCs w:val="22"/>
          <w:lang w:val="es-ES"/>
        </w:rPr>
      </w:pPr>
      <w:r w:rsidRPr="00915B64">
        <w:rPr>
          <w:rFonts w:ascii="Arial" w:hAnsi="Arial" w:cs="Arial"/>
          <w:color w:val="323E4F" w:themeColor="text2" w:themeShade="BF"/>
          <w:sz w:val="22"/>
          <w:szCs w:val="22"/>
          <w:lang w:val="es-ES"/>
        </w:rPr>
        <w:t xml:space="preserve">Asimismo, de las constancias aportadas al presente sumario, se advierte que el particular no realizo manifestaciones, por lo que es </w:t>
      </w:r>
      <w:r w:rsidRPr="00915B64">
        <w:rPr>
          <w:rFonts w:ascii="Arial" w:hAnsi="Arial" w:cs="Arial"/>
          <w:color w:val="323E4F" w:themeColor="text2" w:themeShade="BF"/>
          <w:sz w:val="22"/>
          <w:szCs w:val="22"/>
        </w:rPr>
        <w:t>necesario señalar que el inconforme no se duele del contenido de la información entregada, por lo que se colige que se mostraba conforme con la respuesta emitida por el sujeto obligado respecto de aquello que requirió y por la otra, no se inconformó del contenido de aquello que se le entregó.</w:t>
      </w:r>
    </w:p>
    <w:p w14:paraId="1650BD1A" w14:textId="77777777" w:rsidR="00DC1F71" w:rsidRPr="00915B64" w:rsidRDefault="00DC1F71" w:rsidP="00DC1F71">
      <w:pPr>
        <w:spacing w:before="240" w:after="240" w:line="360" w:lineRule="auto"/>
        <w:ind w:firstLine="708"/>
        <w:jc w:val="both"/>
        <w:rPr>
          <w:rFonts w:ascii="Arial" w:hAnsi="Arial" w:cs="Arial"/>
          <w:color w:val="323E4F" w:themeColor="text2" w:themeShade="BF"/>
          <w:sz w:val="22"/>
          <w:szCs w:val="22"/>
        </w:rPr>
      </w:pPr>
      <w:r w:rsidRPr="00915B64">
        <w:rPr>
          <w:rFonts w:ascii="Arial" w:hAnsi="Arial" w:cs="Arial"/>
          <w:color w:val="323E4F" w:themeColor="text2" w:themeShade="BF"/>
          <w:sz w:val="22"/>
          <w:szCs w:val="22"/>
        </w:rPr>
        <w:t xml:space="preserve">En razón de lo expuesto, quedó acreditado que el sujeto obligado dio cumplimiento a la resolución que nos ocupa, ya que notificó la respuesta mediante la cual justificó la causa o razón que sustentara la omisión de la respuesta primigenia; consecuentemente, con fundamento en lo dispuesto por el artículo 185 de la citada, se declara </w:t>
      </w:r>
      <w:r w:rsidRPr="00915B64">
        <w:rPr>
          <w:rFonts w:ascii="Arial" w:hAnsi="Arial" w:cs="Arial"/>
          <w:b/>
          <w:color w:val="323E4F" w:themeColor="text2" w:themeShade="BF"/>
          <w:sz w:val="22"/>
          <w:szCs w:val="22"/>
          <w:u w:val="single"/>
        </w:rPr>
        <w:t>cumplida</w:t>
      </w:r>
      <w:r w:rsidRPr="00915B64">
        <w:rPr>
          <w:rFonts w:ascii="Arial" w:hAnsi="Arial" w:cs="Arial"/>
          <w:b/>
          <w:color w:val="323E4F" w:themeColor="text2" w:themeShade="BF"/>
          <w:sz w:val="22"/>
          <w:szCs w:val="22"/>
        </w:rPr>
        <w:t xml:space="preserve"> </w:t>
      </w:r>
      <w:r w:rsidRPr="00915B64">
        <w:rPr>
          <w:rFonts w:ascii="Arial" w:hAnsi="Arial" w:cs="Arial"/>
          <w:color w:val="323E4F" w:themeColor="text2" w:themeShade="BF"/>
          <w:sz w:val="22"/>
          <w:szCs w:val="22"/>
        </w:rPr>
        <w:t xml:space="preserve">la presente resolución. </w:t>
      </w:r>
    </w:p>
    <w:p w14:paraId="32733C01" w14:textId="77777777" w:rsidR="00DC1F71" w:rsidRPr="00915B64" w:rsidRDefault="00DC1F71" w:rsidP="00DC1F71">
      <w:pPr>
        <w:ind w:firstLine="708"/>
        <w:rPr>
          <w:rFonts w:ascii="Arial" w:hAnsi="Arial" w:cs="Arial"/>
          <w:color w:val="323E4F" w:themeColor="text2" w:themeShade="BF"/>
          <w:sz w:val="22"/>
          <w:szCs w:val="22"/>
        </w:rPr>
      </w:pPr>
      <w:r w:rsidRPr="00915B64">
        <w:rPr>
          <w:rFonts w:ascii="Arial" w:hAnsi="Arial" w:cs="Arial"/>
          <w:color w:val="323E4F" w:themeColor="text2" w:themeShade="BF"/>
          <w:sz w:val="22"/>
          <w:szCs w:val="22"/>
        </w:rPr>
        <w:lastRenderedPageBreak/>
        <w:t>Por lo anteriormente expuesto y fundado, se emite el siguiente:</w:t>
      </w:r>
    </w:p>
    <w:p w14:paraId="09D1B6A0" w14:textId="77777777" w:rsidR="00DC1F71" w:rsidRPr="00915B64" w:rsidRDefault="00DC1F71" w:rsidP="00DC1F71">
      <w:pPr>
        <w:spacing w:line="360" w:lineRule="auto"/>
        <w:jc w:val="center"/>
        <w:rPr>
          <w:rFonts w:ascii="Arial" w:hAnsi="Arial" w:cs="Arial"/>
          <w:b/>
          <w:color w:val="323E4F" w:themeColor="text2" w:themeShade="BF"/>
          <w:sz w:val="22"/>
          <w:szCs w:val="22"/>
        </w:rPr>
      </w:pPr>
    </w:p>
    <w:p w14:paraId="4D57DDCF" w14:textId="77777777" w:rsidR="00DC1F71" w:rsidRPr="00915B64" w:rsidRDefault="00DC1F71" w:rsidP="00DC1F71">
      <w:pPr>
        <w:spacing w:line="360" w:lineRule="auto"/>
        <w:jc w:val="center"/>
        <w:rPr>
          <w:rFonts w:ascii="Arial" w:hAnsi="Arial" w:cs="Arial"/>
          <w:b/>
          <w:color w:val="323E4F" w:themeColor="text2" w:themeShade="BF"/>
          <w:sz w:val="22"/>
          <w:szCs w:val="22"/>
        </w:rPr>
      </w:pPr>
      <w:r w:rsidRPr="00915B64">
        <w:rPr>
          <w:rFonts w:ascii="Arial" w:hAnsi="Arial" w:cs="Arial"/>
          <w:b/>
          <w:color w:val="323E4F" w:themeColor="text2" w:themeShade="BF"/>
          <w:sz w:val="22"/>
          <w:szCs w:val="22"/>
        </w:rPr>
        <w:t>ACUERDO</w:t>
      </w:r>
    </w:p>
    <w:p w14:paraId="3EE52531" w14:textId="77777777" w:rsidR="00DC1F71" w:rsidRPr="00915B64" w:rsidRDefault="00DC1F71" w:rsidP="00DC1F71">
      <w:pPr>
        <w:spacing w:line="360" w:lineRule="auto"/>
        <w:ind w:right="111" w:firstLine="708"/>
        <w:jc w:val="both"/>
        <w:rPr>
          <w:rFonts w:ascii="Arial" w:hAnsi="Arial" w:cs="Arial"/>
          <w:color w:val="323E4F" w:themeColor="text2" w:themeShade="BF"/>
          <w:spacing w:val="1"/>
          <w:sz w:val="22"/>
          <w:szCs w:val="22"/>
        </w:rPr>
      </w:pPr>
      <w:r w:rsidRPr="00915B64">
        <w:rPr>
          <w:rFonts w:ascii="Arial" w:hAnsi="Arial" w:cs="Arial"/>
          <w:b/>
          <w:color w:val="323E4F" w:themeColor="text2" w:themeShade="BF"/>
          <w:spacing w:val="1"/>
          <w:sz w:val="22"/>
          <w:szCs w:val="22"/>
        </w:rPr>
        <w:t xml:space="preserve">PRIMERO. </w:t>
      </w:r>
      <w:r w:rsidRPr="00915B64">
        <w:rPr>
          <w:rFonts w:ascii="Arial" w:hAnsi="Arial" w:cs="Arial"/>
          <w:color w:val="323E4F" w:themeColor="text2" w:themeShade="BF"/>
          <w:spacing w:val="1"/>
          <w:sz w:val="22"/>
          <w:szCs w:val="22"/>
        </w:rPr>
        <w:t xml:space="preserve">Con base en el artículo 185 de la Ley de Transparencia y Acceso a la Información Pública del Estado, declara </w:t>
      </w:r>
      <w:r w:rsidRPr="00915B64">
        <w:rPr>
          <w:rFonts w:ascii="Arial" w:hAnsi="Arial" w:cs="Arial"/>
          <w:b/>
          <w:color w:val="323E4F" w:themeColor="text2" w:themeShade="BF"/>
          <w:spacing w:val="1"/>
          <w:sz w:val="22"/>
          <w:szCs w:val="22"/>
          <w:u w:val="single"/>
        </w:rPr>
        <w:t>cumplida</w:t>
      </w:r>
      <w:r w:rsidRPr="00915B64">
        <w:rPr>
          <w:rFonts w:ascii="Arial" w:hAnsi="Arial" w:cs="Arial"/>
          <w:color w:val="323E4F" w:themeColor="text2" w:themeShade="BF"/>
          <w:spacing w:val="1"/>
          <w:sz w:val="22"/>
          <w:szCs w:val="22"/>
        </w:rPr>
        <w:t xml:space="preserve"> la resolución que en definitiva se dictó en el presente asunto.</w:t>
      </w:r>
    </w:p>
    <w:p w14:paraId="77D09E37" w14:textId="77777777" w:rsidR="00DC1F71" w:rsidRPr="00915B64" w:rsidRDefault="00DC1F71" w:rsidP="00DC1F71">
      <w:pPr>
        <w:spacing w:line="360" w:lineRule="auto"/>
        <w:jc w:val="center"/>
        <w:rPr>
          <w:rFonts w:ascii="Arial" w:hAnsi="Arial" w:cs="Arial"/>
          <w:color w:val="323E4F" w:themeColor="text2" w:themeShade="BF"/>
          <w:sz w:val="22"/>
          <w:szCs w:val="22"/>
        </w:rPr>
      </w:pPr>
    </w:p>
    <w:p w14:paraId="1952A6E2" w14:textId="77777777" w:rsidR="00DC1F71" w:rsidRPr="00915B64" w:rsidRDefault="00DC1F71" w:rsidP="00DC1F71">
      <w:pPr>
        <w:spacing w:line="360" w:lineRule="auto"/>
        <w:ind w:firstLine="708"/>
        <w:jc w:val="both"/>
        <w:rPr>
          <w:rFonts w:ascii="Arial" w:hAnsi="Arial" w:cs="Arial"/>
          <w:color w:val="323E4F" w:themeColor="text2" w:themeShade="BF"/>
          <w:sz w:val="22"/>
          <w:szCs w:val="22"/>
        </w:rPr>
      </w:pPr>
      <w:r w:rsidRPr="00915B64">
        <w:rPr>
          <w:rFonts w:ascii="Arial" w:hAnsi="Arial" w:cs="Arial"/>
          <w:b/>
          <w:color w:val="323E4F" w:themeColor="text2" w:themeShade="BF"/>
          <w:sz w:val="22"/>
          <w:szCs w:val="22"/>
          <w:highlight w:val="white"/>
        </w:rPr>
        <w:t>SEGUNDO.</w:t>
      </w:r>
      <w:r w:rsidRPr="00915B64">
        <w:rPr>
          <w:rFonts w:ascii="Arial" w:hAnsi="Arial" w:cs="Arial"/>
          <w:b/>
          <w:color w:val="323E4F" w:themeColor="text2" w:themeShade="BF"/>
          <w:sz w:val="22"/>
          <w:szCs w:val="22"/>
        </w:rPr>
        <w:t xml:space="preserve"> </w:t>
      </w:r>
      <w:r w:rsidRPr="00915B64">
        <w:rPr>
          <w:rFonts w:ascii="Arial" w:hAnsi="Arial" w:cs="Arial"/>
          <w:color w:val="323E4F" w:themeColor="text2" w:themeShade="BF"/>
          <w:sz w:val="22"/>
          <w:szCs w:val="22"/>
        </w:rPr>
        <w:t>Con fundamento en los artículos 2 fracción XII y 9 de los Lineamientos para la Gestión de Archivos Administrativos y Resguardo de la Información Pública del Estado de San Luis Potosí, emitidos por esta Comisión,</w:t>
      </w:r>
      <w:r w:rsidRPr="00915B64">
        <w:rPr>
          <w:rFonts w:ascii="Arial" w:hAnsi="Arial" w:cs="Arial"/>
          <w:b/>
          <w:color w:val="323E4F" w:themeColor="text2" w:themeShade="BF"/>
          <w:sz w:val="22"/>
          <w:szCs w:val="22"/>
        </w:rPr>
        <w:t xml:space="preserve"> se remite el presente asunto al Archivo de Concentración de este Órgano Garante, </w:t>
      </w:r>
      <w:r w:rsidRPr="00915B64">
        <w:rPr>
          <w:rFonts w:ascii="Arial" w:hAnsi="Arial" w:cs="Arial"/>
          <w:color w:val="323E4F" w:themeColor="text2" w:themeShade="BF"/>
          <w:sz w:val="22"/>
          <w:szCs w:val="22"/>
        </w:rPr>
        <w:t>como asunto concluido.</w:t>
      </w:r>
    </w:p>
    <w:p w14:paraId="12D8EC2B" w14:textId="77777777" w:rsidR="00DC1F71" w:rsidRPr="00915B64" w:rsidRDefault="00DC1F71" w:rsidP="00DC1F71">
      <w:pPr>
        <w:spacing w:line="360" w:lineRule="auto"/>
        <w:jc w:val="both"/>
        <w:rPr>
          <w:rFonts w:ascii="Arial" w:hAnsi="Arial" w:cs="Arial"/>
          <w:b/>
          <w:color w:val="323E4F" w:themeColor="text2" w:themeShade="BF"/>
          <w:sz w:val="22"/>
          <w:szCs w:val="22"/>
        </w:rPr>
      </w:pPr>
    </w:p>
    <w:p w14:paraId="26E8ECB6" w14:textId="77777777" w:rsidR="00DC1F71" w:rsidRPr="00915B64" w:rsidRDefault="00DC1F71" w:rsidP="00DC1F71">
      <w:pPr>
        <w:spacing w:line="360" w:lineRule="auto"/>
        <w:ind w:firstLine="708"/>
        <w:jc w:val="both"/>
        <w:rPr>
          <w:rFonts w:ascii="Arial" w:hAnsi="Arial" w:cs="Arial"/>
          <w:color w:val="323E4F" w:themeColor="text2" w:themeShade="BF"/>
          <w:sz w:val="22"/>
          <w:szCs w:val="22"/>
        </w:rPr>
      </w:pPr>
      <w:r w:rsidRPr="00915B64">
        <w:rPr>
          <w:rFonts w:ascii="Arial" w:hAnsi="Arial" w:cs="Arial"/>
          <w:b/>
          <w:color w:val="323E4F" w:themeColor="text2" w:themeShade="BF"/>
          <w:sz w:val="22"/>
          <w:szCs w:val="22"/>
        </w:rPr>
        <w:t>TERCERO.</w:t>
      </w:r>
      <w:r w:rsidRPr="00915B64">
        <w:rPr>
          <w:rFonts w:ascii="Arial" w:hAnsi="Arial" w:cs="Arial"/>
          <w:color w:val="323E4F" w:themeColor="text2" w:themeShade="BF"/>
          <w:sz w:val="22"/>
          <w:szCs w:val="22"/>
        </w:rPr>
        <w:t xml:space="preserve"> Notifíquese a ambas partes. </w:t>
      </w:r>
    </w:p>
    <w:p w14:paraId="50CDD9B5" w14:textId="77777777" w:rsidR="00DC1F71" w:rsidRPr="00915B64" w:rsidRDefault="00DC1F71" w:rsidP="00DC1F71">
      <w:pPr>
        <w:ind w:left="284"/>
        <w:jc w:val="both"/>
        <w:rPr>
          <w:rFonts w:ascii="Arial" w:hAnsi="Arial" w:cs="Arial"/>
          <w:i/>
          <w:color w:val="323E4F" w:themeColor="text2" w:themeShade="BF"/>
          <w:sz w:val="22"/>
          <w:szCs w:val="22"/>
        </w:rPr>
      </w:pPr>
    </w:p>
    <w:p w14:paraId="7A44BE62" w14:textId="02D33649" w:rsidR="005C265E" w:rsidRPr="00915B64" w:rsidRDefault="005C265E" w:rsidP="005C265E">
      <w:pPr>
        <w:spacing w:line="360" w:lineRule="auto"/>
        <w:ind w:firstLine="567"/>
        <w:jc w:val="both"/>
        <w:rPr>
          <w:rFonts w:ascii="Arial" w:eastAsia="Calibri" w:hAnsi="Arial" w:cs="Arial"/>
          <w:color w:val="323E4F" w:themeColor="text2" w:themeShade="BF"/>
          <w:sz w:val="22"/>
          <w:szCs w:val="22"/>
          <w:lang w:eastAsia="en-US"/>
        </w:rPr>
      </w:pPr>
      <w:r w:rsidRPr="00915B64">
        <w:rPr>
          <w:rFonts w:ascii="Arial" w:eastAsia="Calibri" w:hAnsi="Arial" w:cs="Arial"/>
          <w:color w:val="323E4F" w:themeColor="text2" w:themeShade="BF"/>
          <w:sz w:val="22"/>
          <w:szCs w:val="22"/>
          <w:lang w:eastAsia="en-US"/>
        </w:rPr>
        <w:t>Así lo proveyó y firma Adriana Berenice Capetillo Reyes, Proyectista Adscrita a la Ponencia 3 de la Comisión Estatal de Garantía de Acceso a la Información Pública, quien actúa de conformidad con lo establecido en el artículo 51, fracción VII del Reglamento Interno de la Comisión Estatal de Garantía de Acceso a la Información Pública, en correlación con el Acuerdo CEGAIP-738/2023, emitido por el Pleno de este Órgano Garante el 03 tres de octubre de 2023 dos mil veintitrés y publicado en el Periódico Oficial del Estado el 01 primero de noviembre del mismo año; en San Luis Potosí, S. L. P.</w:t>
      </w:r>
      <w:r w:rsidR="00535947" w:rsidRPr="00915B64">
        <w:rPr>
          <w:rFonts w:ascii="Arial" w:eastAsia="Calibri" w:hAnsi="Arial" w:cs="Arial"/>
          <w:color w:val="323E4F" w:themeColor="text2" w:themeShade="BF"/>
          <w:sz w:val="22"/>
          <w:szCs w:val="22"/>
          <w:lang w:eastAsia="en-US"/>
        </w:rPr>
        <w:t>, a 17 diec</w:t>
      </w:r>
      <w:r w:rsidRPr="00915B64">
        <w:rPr>
          <w:rFonts w:ascii="Arial" w:eastAsia="Calibri" w:hAnsi="Arial" w:cs="Arial"/>
          <w:color w:val="323E4F" w:themeColor="text2" w:themeShade="BF"/>
          <w:sz w:val="22"/>
          <w:szCs w:val="22"/>
          <w:lang w:eastAsia="en-US"/>
        </w:rPr>
        <w:t>i</w:t>
      </w:r>
      <w:r w:rsidR="00535947" w:rsidRPr="00915B64">
        <w:rPr>
          <w:rFonts w:ascii="Arial" w:eastAsia="Calibri" w:hAnsi="Arial" w:cs="Arial"/>
          <w:color w:val="323E4F" w:themeColor="text2" w:themeShade="BF"/>
          <w:sz w:val="22"/>
          <w:szCs w:val="22"/>
          <w:lang w:eastAsia="en-US"/>
        </w:rPr>
        <w:t>siete</w:t>
      </w:r>
      <w:r w:rsidRPr="00915B64">
        <w:rPr>
          <w:rFonts w:ascii="Arial" w:eastAsia="Calibri" w:hAnsi="Arial" w:cs="Arial"/>
          <w:color w:val="323E4F" w:themeColor="text2" w:themeShade="BF"/>
          <w:sz w:val="22"/>
          <w:szCs w:val="22"/>
          <w:lang w:eastAsia="en-US"/>
        </w:rPr>
        <w:t xml:space="preserve"> de </w:t>
      </w:r>
      <w:r w:rsidR="00A42E9E">
        <w:rPr>
          <w:rFonts w:ascii="Arial" w:eastAsia="Calibri" w:hAnsi="Arial" w:cs="Arial"/>
          <w:color w:val="323E4F" w:themeColor="text2" w:themeShade="BF"/>
          <w:sz w:val="22"/>
          <w:szCs w:val="22"/>
          <w:lang w:eastAsia="en-US"/>
        </w:rPr>
        <w:t xml:space="preserve">noviembre </w:t>
      </w:r>
      <w:r w:rsidRPr="00915B64">
        <w:rPr>
          <w:rFonts w:ascii="Arial" w:eastAsia="Calibri" w:hAnsi="Arial" w:cs="Arial"/>
          <w:color w:val="323E4F" w:themeColor="text2" w:themeShade="BF"/>
          <w:sz w:val="22"/>
          <w:szCs w:val="22"/>
          <w:lang w:eastAsia="en-US"/>
        </w:rPr>
        <w:t xml:space="preserve"> de 2023 dos mil veintitrés.</w:t>
      </w:r>
    </w:p>
    <w:p w14:paraId="3A48A94B" w14:textId="77777777" w:rsidR="005C265E" w:rsidRPr="00915B64" w:rsidRDefault="005C265E" w:rsidP="005C265E">
      <w:pPr>
        <w:spacing w:line="360" w:lineRule="auto"/>
        <w:ind w:firstLine="567"/>
        <w:jc w:val="both"/>
        <w:rPr>
          <w:rFonts w:ascii="Arial" w:eastAsia="Calibri" w:hAnsi="Arial" w:cs="Arial"/>
          <w:b/>
          <w:sz w:val="20"/>
          <w:szCs w:val="22"/>
          <w:lang w:eastAsia="en-US"/>
        </w:rPr>
      </w:pPr>
    </w:p>
    <w:p w14:paraId="3B64B885" w14:textId="77777777" w:rsidR="00DC1F71" w:rsidRPr="00915B64" w:rsidRDefault="00DC1F71" w:rsidP="00DC1F71">
      <w:pPr>
        <w:spacing w:line="360" w:lineRule="auto"/>
        <w:jc w:val="both"/>
        <w:rPr>
          <w:rFonts w:ascii="Arial" w:hAnsi="Arial" w:cs="Arial"/>
          <w:color w:val="323E4F" w:themeColor="text2" w:themeShade="BF"/>
          <w:sz w:val="22"/>
          <w:szCs w:val="22"/>
        </w:rPr>
      </w:pPr>
    </w:p>
    <w:p w14:paraId="3D2F31C1" w14:textId="77777777" w:rsidR="005C265E" w:rsidRPr="00915B64" w:rsidRDefault="005C265E" w:rsidP="005C265E">
      <w:pPr>
        <w:spacing w:line="360" w:lineRule="auto"/>
        <w:ind w:firstLine="567"/>
        <w:jc w:val="center"/>
        <w:rPr>
          <w:rFonts w:ascii="Arial" w:eastAsia="Calibri" w:hAnsi="Arial" w:cs="Arial"/>
          <w:b/>
          <w:color w:val="323E4F" w:themeColor="text2" w:themeShade="BF"/>
          <w:sz w:val="22"/>
        </w:rPr>
      </w:pPr>
      <w:r w:rsidRPr="00915B64">
        <w:rPr>
          <w:rFonts w:ascii="Arial" w:eastAsia="Calibri" w:hAnsi="Arial" w:cs="Arial"/>
          <w:b/>
          <w:color w:val="323E4F" w:themeColor="text2" w:themeShade="BF"/>
          <w:sz w:val="22"/>
        </w:rPr>
        <w:t>Adriana Berenice Capetillo Reyes</w:t>
      </w:r>
    </w:p>
    <w:p w14:paraId="569499EB" w14:textId="77777777" w:rsidR="005C265E" w:rsidRPr="00915B64" w:rsidRDefault="005C265E" w:rsidP="005C265E">
      <w:pPr>
        <w:spacing w:line="360" w:lineRule="auto"/>
        <w:ind w:firstLine="567"/>
        <w:jc w:val="center"/>
        <w:rPr>
          <w:rFonts w:ascii="Arial" w:eastAsia="Calibri" w:hAnsi="Arial" w:cs="Arial"/>
          <w:b/>
          <w:color w:val="323E4F" w:themeColor="text2" w:themeShade="BF"/>
          <w:sz w:val="22"/>
        </w:rPr>
      </w:pPr>
      <w:r w:rsidRPr="00915B64">
        <w:rPr>
          <w:rFonts w:ascii="Arial" w:eastAsia="Calibri" w:hAnsi="Arial" w:cs="Arial"/>
          <w:b/>
          <w:color w:val="323E4F" w:themeColor="text2" w:themeShade="BF"/>
          <w:sz w:val="22"/>
        </w:rPr>
        <w:t>Proyectista Adscrita a Ponencia Tres</w:t>
      </w:r>
      <w:bookmarkStart w:id="0" w:name="_GoBack"/>
      <w:bookmarkEnd w:id="0"/>
    </w:p>
    <w:sectPr w:rsidR="005C265E" w:rsidRPr="00915B64" w:rsidSect="00915B64">
      <w:headerReference w:type="default" r:id="rId9"/>
      <w:pgSz w:w="12240" w:h="15840" w:code="1"/>
      <w:pgMar w:top="2948" w:right="1418" w:bottom="2835" w:left="226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4C1FA4D" w14:textId="77777777" w:rsidR="00D26912" w:rsidRDefault="00D26912" w:rsidP="00BB58C4">
      <w:r>
        <w:separator/>
      </w:r>
    </w:p>
  </w:endnote>
  <w:endnote w:type="continuationSeparator" w:id="0">
    <w:p w14:paraId="7E7E85EB" w14:textId="77777777" w:rsidR="00D26912" w:rsidRDefault="00D26912" w:rsidP="00BB58C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CD21874" w14:textId="77777777" w:rsidR="00D26912" w:rsidRDefault="00D26912" w:rsidP="00BB58C4">
      <w:r>
        <w:separator/>
      </w:r>
    </w:p>
  </w:footnote>
  <w:footnote w:type="continuationSeparator" w:id="0">
    <w:p w14:paraId="24FEC87B" w14:textId="77777777" w:rsidR="00D26912" w:rsidRDefault="00D26912" w:rsidP="00BB58C4">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9CEBE29" w14:textId="49B5F80D" w:rsidR="00BD2B59" w:rsidRDefault="00BD2B59">
    <w:pPr>
      <w:pStyle w:val="Encabezado"/>
      <w:jc w:val="center"/>
    </w:pPr>
  </w:p>
  <w:p w14:paraId="73B62FEB" w14:textId="18370400" w:rsidR="00E25AE4" w:rsidRDefault="00E25AE4">
    <w:pPr>
      <w:pStyle w:val="Encabezado"/>
      <w:jc w:val="center"/>
    </w:pPr>
  </w:p>
  <w:p w14:paraId="11A12D19" w14:textId="3F480893" w:rsidR="00E25AE4" w:rsidRDefault="0021422B" w:rsidP="0021422B">
    <w:pPr>
      <w:pStyle w:val="Encabezado"/>
      <w:tabs>
        <w:tab w:val="clear" w:pos="8504"/>
      </w:tabs>
    </w:pPr>
    <w:r>
      <w:tab/>
    </w:r>
    <w:r>
      <w:tab/>
    </w:r>
  </w:p>
  <w:p w14:paraId="3C5C0923" w14:textId="31977F31" w:rsidR="00E25AE4" w:rsidRPr="0021422B" w:rsidRDefault="0021422B" w:rsidP="0093541A">
    <w:pPr>
      <w:pStyle w:val="Encabezado"/>
      <w:tabs>
        <w:tab w:val="clear" w:pos="8504"/>
        <w:tab w:val="left" w:pos="6885"/>
        <w:tab w:val="right" w:pos="8554"/>
      </w:tabs>
      <w:rPr>
        <w:rFonts w:ascii="Arial" w:hAnsi="Arial" w:cs="Arial"/>
        <w:sz w:val="26"/>
        <w:szCs w:val="26"/>
      </w:rPr>
    </w:pPr>
    <w:r>
      <w:tab/>
      <w:t xml:space="preserve">                                                                     </w:t>
    </w:r>
    <w:r w:rsidR="0093541A">
      <w:t xml:space="preserve">                                </w:t>
    </w:r>
    <w:r w:rsidRPr="0021422B">
      <w:rPr>
        <w:rFonts w:ascii="Arial" w:hAnsi="Arial" w:cs="Arial"/>
        <w:b/>
        <w:sz w:val="26"/>
        <w:szCs w:val="26"/>
      </w:rPr>
      <w:t>RR</w:t>
    </w:r>
    <w:r w:rsidR="005B7790">
      <w:rPr>
        <w:rFonts w:ascii="Arial" w:hAnsi="Arial" w:cs="Arial"/>
        <w:b/>
        <w:sz w:val="26"/>
        <w:szCs w:val="26"/>
      </w:rPr>
      <w:t>-</w:t>
    </w:r>
    <w:r w:rsidR="00C151C1">
      <w:rPr>
        <w:rFonts w:ascii="Arial" w:hAnsi="Arial" w:cs="Arial"/>
        <w:b/>
        <w:sz w:val="26"/>
        <w:szCs w:val="26"/>
      </w:rPr>
      <w:t>147</w:t>
    </w:r>
    <w:r w:rsidR="00AA103D">
      <w:rPr>
        <w:rFonts w:ascii="Arial" w:hAnsi="Arial" w:cs="Arial"/>
        <w:b/>
        <w:sz w:val="26"/>
        <w:szCs w:val="26"/>
      </w:rPr>
      <w:t>/202</w:t>
    </w:r>
    <w:r w:rsidR="00AA5446">
      <w:rPr>
        <w:rFonts w:ascii="Arial" w:hAnsi="Arial" w:cs="Arial"/>
        <w:b/>
        <w:sz w:val="26"/>
        <w:szCs w:val="26"/>
      </w:rPr>
      <w:t>3</w:t>
    </w:r>
    <w:r w:rsidR="00DE7922">
      <w:rPr>
        <w:rFonts w:ascii="Arial" w:hAnsi="Arial" w:cs="Arial"/>
        <w:b/>
        <w:sz w:val="26"/>
        <w:szCs w:val="26"/>
      </w:rPr>
      <w:t>-3</w:t>
    </w:r>
    <w:r w:rsidRPr="0021422B">
      <w:rPr>
        <w:rFonts w:ascii="Arial" w:hAnsi="Arial" w:cs="Arial"/>
        <w:sz w:val="26"/>
        <w:szCs w:val="26"/>
      </w:rPr>
      <w:tab/>
    </w:r>
  </w:p>
  <w:p w14:paraId="167ADC62" w14:textId="77777777" w:rsidR="00E25AE4" w:rsidRDefault="00E25AE4" w:rsidP="00E25AE4">
    <w:pPr>
      <w:pStyle w:val="Encabezado"/>
      <w:tabs>
        <w:tab w:val="left" w:pos="5954"/>
      </w:tabs>
      <w:jc w:val="right"/>
      <w:rPr>
        <w:sz w:val="20"/>
        <w:szCs w:val="20"/>
      </w:rPr>
    </w:pPr>
  </w:p>
  <w:p w14:paraId="2E3B98D4" w14:textId="77777777" w:rsidR="00E25AE4" w:rsidRDefault="00E25AE4">
    <w:pPr>
      <w:pStyle w:val="Encabezado"/>
      <w:jc w:val="center"/>
    </w:pPr>
  </w:p>
  <w:p w14:paraId="4E5FFEF8" w14:textId="46E567DF" w:rsidR="00BB58C4" w:rsidRDefault="00BB58C4">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3"/>
    <w:multiLevelType w:val="singleLevel"/>
    <w:tmpl w:val="43A468E4"/>
    <w:lvl w:ilvl="0">
      <w:start w:val="1"/>
      <w:numFmt w:val="bullet"/>
      <w:pStyle w:val="Listaconvietas2"/>
      <w:lvlText w:val=""/>
      <w:lvlJc w:val="left"/>
      <w:pPr>
        <w:tabs>
          <w:tab w:val="num" w:pos="643"/>
        </w:tabs>
        <w:ind w:left="643" w:hanging="360"/>
      </w:pPr>
      <w:rPr>
        <w:rFonts w:ascii="Symbol" w:hAnsi="Symbol" w:hint="default"/>
      </w:rPr>
    </w:lvl>
  </w:abstractNum>
  <w:abstractNum w:abstractNumId="1" w15:restartNumberingAfterBreak="0">
    <w:nsid w:val="103F633E"/>
    <w:multiLevelType w:val="hybridMultilevel"/>
    <w:tmpl w:val="79869542"/>
    <w:lvl w:ilvl="0" w:tplc="851872E8">
      <w:start w:val="1"/>
      <w:numFmt w:val="upperRoman"/>
      <w:lvlText w:val="%1."/>
      <w:lvlJc w:val="right"/>
      <w:pPr>
        <w:ind w:left="644" w:hanging="360"/>
      </w:pPr>
      <w:rPr>
        <w:b w:val="0"/>
      </w:rPr>
    </w:lvl>
    <w:lvl w:ilvl="1" w:tplc="080A0019" w:tentative="1">
      <w:start w:val="1"/>
      <w:numFmt w:val="lowerLetter"/>
      <w:lvlText w:val="%2."/>
      <w:lvlJc w:val="left"/>
      <w:pPr>
        <w:ind w:left="1364" w:hanging="360"/>
      </w:pPr>
    </w:lvl>
    <w:lvl w:ilvl="2" w:tplc="080A001B" w:tentative="1">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abstractNum w:abstractNumId="2" w15:restartNumberingAfterBreak="0">
    <w:nsid w:val="120204BC"/>
    <w:multiLevelType w:val="hybridMultilevel"/>
    <w:tmpl w:val="4620867A"/>
    <w:lvl w:ilvl="0" w:tplc="867839DE">
      <w:start w:val="1"/>
      <w:numFmt w:val="low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153D05B4"/>
    <w:multiLevelType w:val="hybridMultilevel"/>
    <w:tmpl w:val="AC14F890"/>
    <w:lvl w:ilvl="0" w:tplc="97263646">
      <w:start w:val="1"/>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4" w15:restartNumberingAfterBreak="0">
    <w:nsid w:val="15E17A7D"/>
    <w:multiLevelType w:val="hybridMultilevel"/>
    <w:tmpl w:val="324866B8"/>
    <w:lvl w:ilvl="0" w:tplc="29309BF0">
      <w:start w:val="1"/>
      <w:numFmt w:val="upperRoman"/>
      <w:lvlText w:val="%1."/>
      <w:lvlJc w:val="left"/>
      <w:pPr>
        <w:ind w:left="4412" w:hanging="720"/>
      </w:pPr>
      <w:rPr>
        <w:rFonts w:ascii="Arial" w:eastAsia="Arial Unicode MS" w:hAnsi="Arial" w:cs="Arial"/>
        <w:b w:val="0"/>
        <w:i w:val="0"/>
      </w:rPr>
    </w:lvl>
    <w:lvl w:ilvl="1" w:tplc="080A0019">
      <w:start w:val="1"/>
      <w:numFmt w:val="lowerLetter"/>
      <w:lvlText w:val="%2."/>
      <w:lvlJc w:val="left"/>
      <w:pPr>
        <w:ind w:left="4772" w:hanging="360"/>
      </w:pPr>
    </w:lvl>
    <w:lvl w:ilvl="2" w:tplc="080A001B" w:tentative="1">
      <w:start w:val="1"/>
      <w:numFmt w:val="lowerRoman"/>
      <w:lvlText w:val="%3."/>
      <w:lvlJc w:val="right"/>
      <w:pPr>
        <w:ind w:left="5492" w:hanging="180"/>
      </w:pPr>
    </w:lvl>
    <w:lvl w:ilvl="3" w:tplc="080A000F" w:tentative="1">
      <w:start w:val="1"/>
      <w:numFmt w:val="decimal"/>
      <w:lvlText w:val="%4."/>
      <w:lvlJc w:val="left"/>
      <w:pPr>
        <w:ind w:left="6212" w:hanging="360"/>
      </w:pPr>
    </w:lvl>
    <w:lvl w:ilvl="4" w:tplc="080A0019" w:tentative="1">
      <w:start w:val="1"/>
      <w:numFmt w:val="lowerLetter"/>
      <w:lvlText w:val="%5."/>
      <w:lvlJc w:val="left"/>
      <w:pPr>
        <w:ind w:left="6932" w:hanging="360"/>
      </w:pPr>
    </w:lvl>
    <w:lvl w:ilvl="5" w:tplc="080A001B" w:tentative="1">
      <w:start w:val="1"/>
      <w:numFmt w:val="lowerRoman"/>
      <w:lvlText w:val="%6."/>
      <w:lvlJc w:val="right"/>
      <w:pPr>
        <w:ind w:left="7652" w:hanging="180"/>
      </w:pPr>
    </w:lvl>
    <w:lvl w:ilvl="6" w:tplc="080A000F" w:tentative="1">
      <w:start w:val="1"/>
      <w:numFmt w:val="decimal"/>
      <w:lvlText w:val="%7."/>
      <w:lvlJc w:val="left"/>
      <w:pPr>
        <w:ind w:left="8372" w:hanging="360"/>
      </w:pPr>
    </w:lvl>
    <w:lvl w:ilvl="7" w:tplc="080A0019" w:tentative="1">
      <w:start w:val="1"/>
      <w:numFmt w:val="lowerLetter"/>
      <w:lvlText w:val="%8."/>
      <w:lvlJc w:val="left"/>
      <w:pPr>
        <w:ind w:left="9092" w:hanging="360"/>
      </w:pPr>
    </w:lvl>
    <w:lvl w:ilvl="8" w:tplc="080A001B" w:tentative="1">
      <w:start w:val="1"/>
      <w:numFmt w:val="lowerRoman"/>
      <w:lvlText w:val="%9."/>
      <w:lvlJc w:val="right"/>
      <w:pPr>
        <w:ind w:left="9812" w:hanging="180"/>
      </w:pPr>
    </w:lvl>
  </w:abstractNum>
  <w:abstractNum w:abstractNumId="5" w15:restartNumberingAfterBreak="0">
    <w:nsid w:val="17E311C7"/>
    <w:multiLevelType w:val="hybridMultilevel"/>
    <w:tmpl w:val="6C52F9F6"/>
    <w:lvl w:ilvl="0" w:tplc="080A0001">
      <w:start w:val="1"/>
      <w:numFmt w:val="bullet"/>
      <w:lvlText w:val=""/>
      <w:lvlJc w:val="left"/>
      <w:pPr>
        <w:ind w:left="2562" w:hanging="360"/>
      </w:pPr>
      <w:rPr>
        <w:rFonts w:ascii="Symbol" w:hAnsi="Symbol" w:hint="default"/>
      </w:rPr>
    </w:lvl>
    <w:lvl w:ilvl="1" w:tplc="080A0003" w:tentative="1">
      <w:start w:val="1"/>
      <w:numFmt w:val="bullet"/>
      <w:lvlText w:val="o"/>
      <w:lvlJc w:val="left"/>
      <w:pPr>
        <w:ind w:left="3282" w:hanging="360"/>
      </w:pPr>
      <w:rPr>
        <w:rFonts w:ascii="Courier New" w:hAnsi="Courier New" w:cs="Courier New" w:hint="default"/>
      </w:rPr>
    </w:lvl>
    <w:lvl w:ilvl="2" w:tplc="080A0005" w:tentative="1">
      <w:start w:val="1"/>
      <w:numFmt w:val="bullet"/>
      <w:lvlText w:val=""/>
      <w:lvlJc w:val="left"/>
      <w:pPr>
        <w:ind w:left="4002" w:hanging="360"/>
      </w:pPr>
      <w:rPr>
        <w:rFonts w:ascii="Wingdings" w:hAnsi="Wingdings" w:hint="default"/>
      </w:rPr>
    </w:lvl>
    <w:lvl w:ilvl="3" w:tplc="080A0001" w:tentative="1">
      <w:start w:val="1"/>
      <w:numFmt w:val="bullet"/>
      <w:lvlText w:val=""/>
      <w:lvlJc w:val="left"/>
      <w:pPr>
        <w:ind w:left="4722" w:hanging="360"/>
      </w:pPr>
      <w:rPr>
        <w:rFonts w:ascii="Symbol" w:hAnsi="Symbol" w:hint="default"/>
      </w:rPr>
    </w:lvl>
    <w:lvl w:ilvl="4" w:tplc="080A0003" w:tentative="1">
      <w:start w:val="1"/>
      <w:numFmt w:val="bullet"/>
      <w:lvlText w:val="o"/>
      <w:lvlJc w:val="left"/>
      <w:pPr>
        <w:ind w:left="5442" w:hanging="360"/>
      </w:pPr>
      <w:rPr>
        <w:rFonts w:ascii="Courier New" w:hAnsi="Courier New" w:cs="Courier New" w:hint="default"/>
      </w:rPr>
    </w:lvl>
    <w:lvl w:ilvl="5" w:tplc="080A0005" w:tentative="1">
      <w:start w:val="1"/>
      <w:numFmt w:val="bullet"/>
      <w:lvlText w:val=""/>
      <w:lvlJc w:val="left"/>
      <w:pPr>
        <w:ind w:left="6162" w:hanging="360"/>
      </w:pPr>
      <w:rPr>
        <w:rFonts w:ascii="Wingdings" w:hAnsi="Wingdings" w:hint="default"/>
      </w:rPr>
    </w:lvl>
    <w:lvl w:ilvl="6" w:tplc="080A0001" w:tentative="1">
      <w:start w:val="1"/>
      <w:numFmt w:val="bullet"/>
      <w:lvlText w:val=""/>
      <w:lvlJc w:val="left"/>
      <w:pPr>
        <w:ind w:left="6882" w:hanging="360"/>
      </w:pPr>
      <w:rPr>
        <w:rFonts w:ascii="Symbol" w:hAnsi="Symbol" w:hint="default"/>
      </w:rPr>
    </w:lvl>
    <w:lvl w:ilvl="7" w:tplc="080A0003" w:tentative="1">
      <w:start w:val="1"/>
      <w:numFmt w:val="bullet"/>
      <w:lvlText w:val="o"/>
      <w:lvlJc w:val="left"/>
      <w:pPr>
        <w:ind w:left="7602" w:hanging="360"/>
      </w:pPr>
      <w:rPr>
        <w:rFonts w:ascii="Courier New" w:hAnsi="Courier New" w:cs="Courier New" w:hint="default"/>
      </w:rPr>
    </w:lvl>
    <w:lvl w:ilvl="8" w:tplc="080A0005" w:tentative="1">
      <w:start w:val="1"/>
      <w:numFmt w:val="bullet"/>
      <w:lvlText w:val=""/>
      <w:lvlJc w:val="left"/>
      <w:pPr>
        <w:ind w:left="8322" w:hanging="360"/>
      </w:pPr>
      <w:rPr>
        <w:rFonts w:ascii="Wingdings" w:hAnsi="Wingdings" w:hint="default"/>
      </w:rPr>
    </w:lvl>
  </w:abstractNum>
  <w:abstractNum w:abstractNumId="6" w15:restartNumberingAfterBreak="0">
    <w:nsid w:val="18C164C4"/>
    <w:multiLevelType w:val="hybridMultilevel"/>
    <w:tmpl w:val="E124CC3E"/>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7" w15:restartNumberingAfterBreak="0">
    <w:nsid w:val="18DE2300"/>
    <w:multiLevelType w:val="hybridMultilevel"/>
    <w:tmpl w:val="9C8C12DE"/>
    <w:lvl w:ilvl="0" w:tplc="A40619A2">
      <w:start w:val="1"/>
      <w:numFmt w:val="bullet"/>
      <w:lvlText w:val=""/>
      <w:lvlJc w:val="left"/>
      <w:pPr>
        <w:ind w:left="720" w:hanging="360"/>
      </w:pPr>
      <w:rPr>
        <w:rFonts w:ascii="Symbol" w:eastAsia="Times New Roman" w:hAnsi="Symbo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1F1A4D05"/>
    <w:multiLevelType w:val="hybridMultilevel"/>
    <w:tmpl w:val="0818DAC4"/>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9" w15:restartNumberingAfterBreak="0">
    <w:nsid w:val="217533E2"/>
    <w:multiLevelType w:val="hybridMultilevel"/>
    <w:tmpl w:val="6B3E97CE"/>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10" w15:restartNumberingAfterBreak="0">
    <w:nsid w:val="21AF01C6"/>
    <w:multiLevelType w:val="hybridMultilevel"/>
    <w:tmpl w:val="5600D34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261060B6"/>
    <w:multiLevelType w:val="hybridMultilevel"/>
    <w:tmpl w:val="CB228FCA"/>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288D75D9"/>
    <w:multiLevelType w:val="hybridMultilevel"/>
    <w:tmpl w:val="636A494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3" w15:restartNumberingAfterBreak="0">
    <w:nsid w:val="35FE131E"/>
    <w:multiLevelType w:val="hybridMultilevel"/>
    <w:tmpl w:val="338A88E4"/>
    <w:lvl w:ilvl="0" w:tplc="080A0001">
      <w:start w:val="1"/>
      <w:numFmt w:val="bullet"/>
      <w:lvlText w:val=""/>
      <w:lvlJc w:val="left"/>
      <w:pPr>
        <w:ind w:left="1854" w:hanging="360"/>
      </w:pPr>
      <w:rPr>
        <w:rFonts w:ascii="Symbol" w:hAnsi="Symbol"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tentative="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14" w15:restartNumberingAfterBreak="0">
    <w:nsid w:val="3663259F"/>
    <w:multiLevelType w:val="hybridMultilevel"/>
    <w:tmpl w:val="0284FC88"/>
    <w:lvl w:ilvl="0" w:tplc="42146452">
      <w:start w:val="1"/>
      <w:numFmt w:val="decimal"/>
      <w:lvlText w:val="%1."/>
      <w:lvlJc w:val="left"/>
      <w:pPr>
        <w:ind w:left="1494" w:hanging="360"/>
      </w:pPr>
      <w:rPr>
        <w:rFonts w:hint="default"/>
      </w:rPr>
    </w:lvl>
    <w:lvl w:ilvl="1" w:tplc="080A0019" w:tentative="1">
      <w:start w:val="1"/>
      <w:numFmt w:val="lowerLetter"/>
      <w:lvlText w:val="%2."/>
      <w:lvlJc w:val="left"/>
      <w:pPr>
        <w:ind w:left="2214" w:hanging="360"/>
      </w:pPr>
    </w:lvl>
    <w:lvl w:ilvl="2" w:tplc="080A001B" w:tentative="1">
      <w:start w:val="1"/>
      <w:numFmt w:val="lowerRoman"/>
      <w:lvlText w:val="%3."/>
      <w:lvlJc w:val="right"/>
      <w:pPr>
        <w:ind w:left="2934" w:hanging="180"/>
      </w:pPr>
    </w:lvl>
    <w:lvl w:ilvl="3" w:tplc="080A000F" w:tentative="1">
      <w:start w:val="1"/>
      <w:numFmt w:val="decimal"/>
      <w:lvlText w:val="%4."/>
      <w:lvlJc w:val="left"/>
      <w:pPr>
        <w:ind w:left="3654" w:hanging="360"/>
      </w:pPr>
    </w:lvl>
    <w:lvl w:ilvl="4" w:tplc="080A0019" w:tentative="1">
      <w:start w:val="1"/>
      <w:numFmt w:val="lowerLetter"/>
      <w:lvlText w:val="%5."/>
      <w:lvlJc w:val="left"/>
      <w:pPr>
        <w:ind w:left="4374" w:hanging="360"/>
      </w:pPr>
    </w:lvl>
    <w:lvl w:ilvl="5" w:tplc="080A001B" w:tentative="1">
      <w:start w:val="1"/>
      <w:numFmt w:val="lowerRoman"/>
      <w:lvlText w:val="%6."/>
      <w:lvlJc w:val="right"/>
      <w:pPr>
        <w:ind w:left="5094" w:hanging="180"/>
      </w:pPr>
    </w:lvl>
    <w:lvl w:ilvl="6" w:tplc="080A000F" w:tentative="1">
      <w:start w:val="1"/>
      <w:numFmt w:val="decimal"/>
      <w:lvlText w:val="%7."/>
      <w:lvlJc w:val="left"/>
      <w:pPr>
        <w:ind w:left="5814" w:hanging="360"/>
      </w:pPr>
    </w:lvl>
    <w:lvl w:ilvl="7" w:tplc="080A0019" w:tentative="1">
      <w:start w:val="1"/>
      <w:numFmt w:val="lowerLetter"/>
      <w:lvlText w:val="%8."/>
      <w:lvlJc w:val="left"/>
      <w:pPr>
        <w:ind w:left="6534" w:hanging="360"/>
      </w:pPr>
    </w:lvl>
    <w:lvl w:ilvl="8" w:tplc="080A001B" w:tentative="1">
      <w:start w:val="1"/>
      <w:numFmt w:val="lowerRoman"/>
      <w:lvlText w:val="%9."/>
      <w:lvlJc w:val="right"/>
      <w:pPr>
        <w:ind w:left="7254" w:hanging="180"/>
      </w:pPr>
    </w:lvl>
  </w:abstractNum>
  <w:abstractNum w:abstractNumId="15" w15:restartNumberingAfterBreak="0">
    <w:nsid w:val="436A76A4"/>
    <w:multiLevelType w:val="hybridMultilevel"/>
    <w:tmpl w:val="8F2AB980"/>
    <w:lvl w:ilvl="0" w:tplc="080A0001">
      <w:start w:val="1"/>
      <w:numFmt w:val="bullet"/>
      <w:lvlText w:val=""/>
      <w:lvlJc w:val="left"/>
      <w:pPr>
        <w:ind w:left="720" w:hanging="360"/>
      </w:pPr>
      <w:rPr>
        <w:rFonts w:ascii="Symbol" w:hAnsi="Symbol" w:hint="default"/>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15:restartNumberingAfterBreak="0">
    <w:nsid w:val="49EF0E26"/>
    <w:multiLevelType w:val="hybridMultilevel"/>
    <w:tmpl w:val="DD5A4086"/>
    <w:lvl w:ilvl="0" w:tplc="036A71DE">
      <w:start w:val="1"/>
      <w:numFmt w:val="upperRoman"/>
      <w:lvlText w:val="%1."/>
      <w:lvlJc w:val="left"/>
      <w:pPr>
        <w:ind w:left="1080" w:hanging="720"/>
      </w:pPr>
      <w:rPr>
        <w:rFonts w:eastAsia="Arial Unicode MS" w:hint="default"/>
        <w:b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15:restartNumberingAfterBreak="0">
    <w:nsid w:val="4D713629"/>
    <w:multiLevelType w:val="hybridMultilevel"/>
    <w:tmpl w:val="E86E75FE"/>
    <w:lvl w:ilvl="0" w:tplc="94C83028">
      <w:start w:val="1"/>
      <w:numFmt w:val="upperRoman"/>
      <w:lvlText w:val="%1."/>
      <w:lvlJc w:val="left"/>
      <w:pPr>
        <w:ind w:left="1428" w:hanging="720"/>
      </w:pPr>
    </w:lvl>
    <w:lvl w:ilvl="1" w:tplc="080A0019">
      <w:start w:val="1"/>
      <w:numFmt w:val="lowerLetter"/>
      <w:lvlText w:val="%2."/>
      <w:lvlJc w:val="left"/>
      <w:pPr>
        <w:ind w:left="1788" w:hanging="360"/>
      </w:pPr>
    </w:lvl>
    <w:lvl w:ilvl="2" w:tplc="080A001B">
      <w:start w:val="1"/>
      <w:numFmt w:val="lowerRoman"/>
      <w:lvlText w:val="%3."/>
      <w:lvlJc w:val="right"/>
      <w:pPr>
        <w:ind w:left="2508" w:hanging="180"/>
      </w:pPr>
    </w:lvl>
    <w:lvl w:ilvl="3" w:tplc="080A000F">
      <w:start w:val="1"/>
      <w:numFmt w:val="decimal"/>
      <w:lvlText w:val="%4."/>
      <w:lvlJc w:val="left"/>
      <w:pPr>
        <w:ind w:left="3228" w:hanging="360"/>
      </w:pPr>
    </w:lvl>
    <w:lvl w:ilvl="4" w:tplc="080A0019">
      <w:start w:val="1"/>
      <w:numFmt w:val="lowerLetter"/>
      <w:lvlText w:val="%5."/>
      <w:lvlJc w:val="left"/>
      <w:pPr>
        <w:ind w:left="3948" w:hanging="360"/>
      </w:pPr>
    </w:lvl>
    <w:lvl w:ilvl="5" w:tplc="080A001B">
      <w:start w:val="1"/>
      <w:numFmt w:val="lowerRoman"/>
      <w:lvlText w:val="%6."/>
      <w:lvlJc w:val="right"/>
      <w:pPr>
        <w:ind w:left="4668" w:hanging="180"/>
      </w:pPr>
    </w:lvl>
    <w:lvl w:ilvl="6" w:tplc="080A000F">
      <w:start w:val="1"/>
      <w:numFmt w:val="decimal"/>
      <w:lvlText w:val="%7."/>
      <w:lvlJc w:val="left"/>
      <w:pPr>
        <w:ind w:left="5388" w:hanging="360"/>
      </w:pPr>
    </w:lvl>
    <w:lvl w:ilvl="7" w:tplc="080A0019">
      <w:start w:val="1"/>
      <w:numFmt w:val="lowerLetter"/>
      <w:lvlText w:val="%8."/>
      <w:lvlJc w:val="left"/>
      <w:pPr>
        <w:ind w:left="6108" w:hanging="360"/>
      </w:pPr>
    </w:lvl>
    <w:lvl w:ilvl="8" w:tplc="080A001B">
      <w:start w:val="1"/>
      <w:numFmt w:val="lowerRoman"/>
      <w:lvlText w:val="%9."/>
      <w:lvlJc w:val="right"/>
      <w:pPr>
        <w:ind w:left="6828" w:hanging="180"/>
      </w:pPr>
    </w:lvl>
  </w:abstractNum>
  <w:abstractNum w:abstractNumId="18" w15:restartNumberingAfterBreak="0">
    <w:nsid w:val="56972177"/>
    <w:multiLevelType w:val="hybridMultilevel"/>
    <w:tmpl w:val="385C856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9" w15:restartNumberingAfterBreak="0">
    <w:nsid w:val="5C2F3B16"/>
    <w:multiLevelType w:val="hybridMultilevel"/>
    <w:tmpl w:val="102470F2"/>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20" w15:restartNumberingAfterBreak="0">
    <w:nsid w:val="5FDE01CD"/>
    <w:multiLevelType w:val="hybridMultilevel"/>
    <w:tmpl w:val="97FC05F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 w15:restartNumberingAfterBreak="0">
    <w:nsid w:val="7AFA156B"/>
    <w:multiLevelType w:val="hybridMultilevel"/>
    <w:tmpl w:val="34282F3A"/>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num w:numId="1">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9"/>
  </w:num>
  <w:num w:numId="3">
    <w:abstractNumId w:val="7"/>
  </w:num>
  <w:num w:numId="4">
    <w:abstractNumId w:val="2"/>
  </w:num>
  <w:num w:numId="5">
    <w:abstractNumId w:val="6"/>
  </w:num>
  <w:num w:numId="6">
    <w:abstractNumId w:val="4"/>
  </w:num>
  <w:num w:numId="7">
    <w:abstractNumId w:val="13"/>
  </w:num>
  <w:num w:numId="8">
    <w:abstractNumId w:val="19"/>
  </w:num>
  <w:num w:numId="9">
    <w:abstractNumId w:val="11"/>
  </w:num>
  <w:num w:numId="10">
    <w:abstractNumId w:val="15"/>
  </w:num>
  <w:num w:numId="11">
    <w:abstractNumId w:val="12"/>
  </w:num>
  <w:num w:numId="12">
    <w:abstractNumId w:val="8"/>
  </w:num>
  <w:num w:numId="13">
    <w:abstractNumId w:val="20"/>
  </w:num>
  <w:num w:numId="14">
    <w:abstractNumId w:val="0"/>
  </w:num>
  <w:num w:numId="15">
    <w:abstractNumId w:val="21"/>
  </w:num>
  <w:num w:numId="16">
    <w:abstractNumId w:val="16"/>
  </w:num>
  <w:num w:numId="17">
    <w:abstractNumId w:val="10"/>
  </w:num>
  <w:num w:numId="18">
    <w:abstractNumId w:val="14"/>
  </w:num>
  <w:num w:numId="19">
    <w:abstractNumId w:val="18"/>
  </w:num>
  <w:num w:numId="20">
    <w:abstractNumId w:val="5"/>
  </w:num>
  <w:num w:numId="21">
    <w:abstractNumId w:val="1"/>
  </w:num>
  <w:num w:numId="2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mirrorMargins/>
  <w:proofState w:spelling="clean" w:grammar="clean"/>
  <w:defaultTabStop w:val="708"/>
  <w:hyphenationZone w:val="425"/>
  <w:evenAndOddHeaders/>
  <w:characterSpacingControl w:val="doNotCompress"/>
  <w:hdrShapeDefaults>
    <o:shapedefaults v:ext="edit" spidmax="1433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B58C4"/>
    <w:rsid w:val="00004EB9"/>
    <w:rsid w:val="00043054"/>
    <w:rsid w:val="00082F7A"/>
    <w:rsid w:val="00090C65"/>
    <w:rsid w:val="000A0475"/>
    <w:rsid w:val="000A5BAC"/>
    <w:rsid w:val="000A6F40"/>
    <w:rsid w:val="000B0903"/>
    <w:rsid w:val="000B31BD"/>
    <w:rsid w:val="000C3483"/>
    <w:rsid w:val="000D02E3"/>
    <w:rsid w:val="000D6AC7"/>
    <w:rsid w:val="000E016B"/>
    <w:rsid w:val="000E167E"/>
    <w:rsid w:val="000F76BA"/>
    <w:rsid w:val="000F7D99"/>
    <w:rsid w:val="00104745"/>
    <w:rsid w:val="001158A4"/>
    <w:rsid w:val="00135C6F"/>
    <w:rsid w:val="001646CB"/>
    <w:rsid w:val="00183625"/>
    <w:rsid w:val="00192A3A"/>
    <w:rsid w:val="001A5E99"/>
    <w:rsid w:val="001B22A6"/>
    <w:rsid w:val="001B2903"/>
    <w:rsid w:val="001B3725"/>
    <w:rsid w:val="001C18F4"/>
    <w:rsid w:val="001C76F7"/>
    <w:rsid w:val="001D514E"/>
    <w:rsid w:val="002138A7"/>
    <w:rsid w:val="0021422B"/>
    <w:rsid w:val="00224308"/>
    <w:rsid w:val="0022601B"/>
    <w:rsid w:val="00231DDE"/>
    <w:rsid w:val="00240E4A"/>
    <w:rsid w:val="00247EC5"/>
    <w:rsid w:val="002675EB"/>
    <w:rsid w:val="002701E9"/>
    <w:rsid w:val="0028441A"/>
    <w:rsid w:val="0029227B"/>
    <w:rsid w:val="00292C1F"/>
    <w:rsid w:val="002B1ACA"/>
    <w:rsid w:val="002B6959"/>
    <w:rsid w:val="002C5727"/>
    <w:rsid w:val="002D1560"/>
    <w:rsid w:val="002D3A8B"/>
    <w:rsid w:val="002D3B04"/>
    <w:rsid w:val="002E55B6"/>
    <w:rsid w:val="0031287D"/>
    <w:rsid w:val="003143BF"/>
    <w:rsid w:val="003153D3"/>
    <w:rsid w:val="0031704A"/>
    <w:rsid w:val="003323E5"/>
    <w:rsid w:val="0034150A"/>
    <w:rsid w:val="00351413"/>
    <w:rsid w:val="003557A7"/>
    <w:rsid w:val="00364D66"/>
    <w:rsid w:val="0037150F"/>
    <w:rsid w:val="003840C3"/>
    <w:rsid w:val="00396F72"/>
    <w:rsid w:val="003A7F26"/>
    <w:rsid w:val="003B6915"/>
    <w:rsid w:val="003D0E86"/>
    <w:rsid w:val="003D1BF3"/>
    <w:rsid w:val="003D5B69"/>
    <w:rsid w:val="003D6FD8"/>
    <w:rsid w:val="003E3B96"/>
    <w:rsid w:val="004137D8"/>
    <w:rsid w:val="004164F9"/>
    <w:rsid w:val="00432971"/>
    <w:rsid w:val="004375D3"/>
    <w:rsid w:val="00441858"/>
    <w:rsid w:val="00443F45"/>
    <w:rsid w:val="004552FD"/>
    <w:rsid w:val="00457219"/>
    <w:rsid w:val="00460010"/>
    <w:rsid w:val="00461F00"/>
    <w:rsid w:val="00462BD4"/>
    <w:rsid w:val="00471043"/>
    <w:rsid w:val="00482496"/>
    <w:rsid w:val="00483CC8"/>
    <w:rsid w:val="004861AD"/>
    <w:rsid w:val="004A0733"/>
    <w:rsid w:val="004A18B6"/>
    <w:rsid w:val="004A75BA"/>
    <w:rsid w:val="004C1D9E"/>
    <w:rsid w:val="004D3676"/>
    <w:rsid w:val="004D381F"/>
    <w:rsid w:val="00500700"/>
    <w:rsid w:val="00502DCE"/>
    <w:rsid w:val="00516EAA"/>
    <w:rsid w:val="0052683D"/>
    <w:rsid w:val="00535947"/>
    <w:rsid w:val="00541994"/>
    <w:rsid w:val="005421E5"/>
    <w:rsid w:val="0054647F"/>
    <w:rsid w:val="005837B4"/>
    <w:rsid w:val="00590BE2"/>
    <w:rsid w:val="00596A0D"/>
    <w:rsid w:val="005B557F"/>
    <w:rsid w:val="005B7790"/>
    <w:rsid w:val="005C265E"/>
    <w:rsid w:val="005E344F"/>
    <w:rsid w:val="005F4E79"/>
    <w:rsid w:val="005F5A51"/>
    <w:rsid w:val="006039DC"/>
    <w:rsid w:val="00611897"/>
    <w:rsid w:val="00631E89"/>
    <w:rsid w:val="00655DDC"/>
    <w:rsid w:val="00662909"/>
    <w:rsid w:val="00667E66"/>
    <w:rsid w:val="0068588B"/>
    <w:rsid w:val="00686A50"/>
    <w:rsid w:val="006878A5"/>
    <w:rsid w:val="006969E6"/>
    <w:rsid w:val="006B122E"/>
    <w:rsid w:val="006C4601"/>
    <w:rsid w:val="006E7021"/>
    <w:rsid w:val="00720DF8"/>
    <w:rsid w:val="00723EFB"/>
    <w:rsid w:val="00737808"/>
    <w:rsid w:val="00746820"/>
    <w:rsid w:val="0075382A"/>
    <w:rsid w:val="00760627"/>
    <w:rsid w:val="00777F6B"/>
    <w:rsid w:val="007957A2"/>
    <w:rsid w:val="007964C8"/>
    <w:rsid w:val="007A3A8F"/>
    <w:rsid w:val="007B0F6F"/>
    <w:rsid w:val="007B6EF1"/>
    <w:rsid w:val="007D1541"/>
    <w:rsid w:val="007D5A09"/>
    <w:rsid w:val="007E51B8"/>
    <w:rsid w:val="007E655D"/>
    <w:rsid w:val="0080725F"/>
    <w:rsid w:val="00810474"/>
    <w:rsid w:val="00825313"/>
    <w:rsid w:val="00835D42"/>
    <w:rsid w:val="00847F9F"/>
    <w:rsid w:val="00857174"/>
    <w:rsid w:val="00864F43"/>
    <w:rsid w:val="00881641"/>
    <w:rsid w:val="008867F2"/>
    <w:rsid w:val="008A3EA4"/>
    <w:rsid w:val="008C21E2"/>
    <w:rsid w:val="008C46EC"/>
    <w:rsid w:val="008C6604"/>
    <w:rsid w:val="008D6CFA"/>
    <w:rsid w:val="00912C9F"/>
    <w:rsid w:val="00913F62"/>
    <w:rsid w:val="00915B64"/>
    <w:rsid w:val="00916BB4"/>
    <w:rsid w:val="00920535"/>
    <w:rsid w:val="00925607"/>
    <w:rsid w:val="0093057A"/>
    <w:rsid w:val="00930BE0"/>
    <w:rsid w:val="0093541A"/>
    <w:rsid w:val="00952E8B"/>
    <w:rsid w:val="00953DF5"/>
    <w:rsid w:val="00955C31"/>
    <w:rsid w:val="00960360"/>
    <w:rsid w:val="0097167C"/>
    <w:rsid w:val="009739D0"/>
    <w:rsid w:val="00974F64"/>
    <w:rsid w:val="0098513E"/>
    <w:rsid w:val="009B792E"/>
    <w:rsid w:val="009C3C2B"/>
    <w:rsid w:val="009C6E8D"/>
    <w:rsid w:val="00A00071"/>
    <w:rsid w:val="00A031E2"/>
    <w:rsid w:val="00A42E9E"/>
    <w:rsid w:val="00A43468"/>
    <w:rsid w:val="00A43A1F"/>
    <w:rsid w:val="00A52F42"/>
    <w:rsid w:val="00A543D8"/>
    <w:rsid w:val="00A5546D"/>
    <w:rsid w:val="00A56971"/>
    <w:rsid w:val="00A6080A"/>
    <w:rsid w:val="00A706BB"/>
    <w:rsid w:val="00A71F3E"/>
    <w:rsid w:val="00A9137C"/>
    <w:rsid w:val="00A92D86"/>
    <w:rsid w:val="00A94ED6"/>
    <w:rsid w:val="00AA103D"/>
    <w:rsid w:val="00AA5446"/>
    <w:rsid w:val="00AB1FD7"/>
    <w:rsid w:val="00AD0240"/>
    <w:rsid w:val="00AE3470"/>
    <w:rsid w:val="00B062D9"/>
    <w:rsid w:val="00B2223F"/>
    <w:rsid w:val="00B24175"/>
    <w:rsid w:val="00B3340D"/>
    <w:rsid w:val="00B4223C"/>
    <w:rsid w:val="00B43BE3"/>
    <w:rsid w:val="00B60E68"/>
    <w:rsid w:val="00B707A6"/>
    <w:rsid w:val="00B70C17"/>
    <w:rsid w:val="00B74D42"/>
    <w:rsid w:val="00B75B3A"/>
    <w:rsid w:val="00B84C0A"/>
    <w:rsid w:val="00B93195"/>
    <w:rsid w:val="00B972D7"/>
    <w:rsid w:val="00BB58C4"/>
    <w:rsid w:val="00BD26E6"/>
    <w:rsid w:val="00BD2B59"/>
    <w:rsid w:val="00BE32B8"/>
    <w:rsid w:val="00BE576B"/>
    <w:rsid w:val="00BE7281"/>
    <w:rsid w:val="00BF76BC"/>
    <w:rsid w:val="00C151C1"/>
    <w:rsid w:val="00C15AD7"/>
    <w:rsid w:val="00C3089F"/>
    <w:rsid w:val="00C32C5A"/>
    <w:rsid w:val="00C51BA1"/>
    <w:rsid w:val="00C544FC"/>
    <w:rsid w:val="00C66E62"/>
    <w:rsid w:val="00C762A3"/>
    <w:rsid w:val="00CA0DED"/>
    <w:rsid w:val="00CA1F7C"/>
    <w:rsid w:val="00CA3E68"/>
    <w:rsid w:val="00CC160E"/>
    <w:rsid w:val="00CC2540"/>
    <w:rsid w:val="00CC2CC1"/>
    <w:rsid w:val="00CC3B99"/>
    <w:rsid w:val="00CF1A95"/>
    <w:rsid w:val="00D21EBD"/>
    <w:rsid w:val="00D26912"/>
    <w:rsid w:val="00D3454F"/>
    <w:rsid w:val="00D4560A"/>
    <w:rsid w:val="00D62B6C"/>
    <w:rsid w:val="00D670E4"/>
    <w:rsid w:val="00D801D7"/>
    <w:rsid w:val="00D82A40"/>
    <w:rsid w:val="00D903A6"/>
    <w:rsid w:val="00DA0036"/>
    <w:rsid w:val="00DB1949"/>
    <w:rsid w:val="00DB727E"/>
    <w:rsid w:val="00DC1F71"/>
    <w:rsid w:val="00DD1084"/>
    <w:rsid w:val="00DD2127"/>
    <w:rsid w:val="00DE096C"/>
    <w:rsid w:val="00DE7922"/>
    <w:rsid w:val="00DF0A91"/>
    <w:rsid w:val="00DF2423"/>
    <w:rsid w:val="00E0037E"/>
    <w:rsid w:val="00E014D4"/>
    <w:rsid w:val="00E14E14"/>
    <w:rsid w:val="00E25AE4"/>
    <w:rsid w:val="00E45D45"/>
    <w:rsid w:val="00E67927"/>
    <w:rsid w:val="00E965EF"/>
    <w:rsid w:val="00EB7711"/>
    <w:rsid w:val="00EC5815"/>
    <w:rsid w:val="00ED0A0E"/>
    <w:rsid w:val="00EE640D"/>
    <w:rsid w:val="00F064BC"/>
    <w:rsid w:val="00F16ABE"/>
    <w:rsid w:val="00F224D5"/>
    <w:rsid w:val="00F32DFB"/>
    <w:rsid w:val="00F468F3"/>
    <w:rsid w:val="00F51EC1"/>
    <w:rsid w:val="00F54907"/>
    <w:rsid w:val="00F606EC"/>
    <w:rsid w:val="00F736D2"/>
    <w:rsid w:val="00F812A8"/>
    <w:rsid w:val="00F83B11"/>
    <w:rsid w:val="00F94827"/>
    <w:rsid w:val="00F960A1"/>
    <w:rsid w:val="00FA7782"/>
    <w:rsid w:val="00FB0927"/>
    <w:rsid w:val="00FB2176"/>
    <w:rsid w:val="00FB2291"/>
    <w:rsid w:val="00FC33C6"/>
    <w:rsid w:val="00FD156F"/>
    <w:rsid w:val="00FD4D5B"/>
    <w:rsid w:val="00FE1C69"/>
    <w:rsid w:val="00FE3E58"/>
    <w:rsid w:val="00FE4963"/>
    <w:rsid w:val="00FE53A4"/>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4337"/>
    <o:shapelayout v:ext="edit">
      <o:idmap v:ext="edit" data="1"/>
    </o:shapelayout>
  </w:shapeDefaults>
  <w:decimalSymbol w:val="."/>
  <w:listSeparator w:val=","/>
  <w14:docId w14:val="3F70563C"/>
  <w15:chartTrackingRefBased/>
  <w15:docId w15:val="{6762A07A-DFAC-4698-A1DB-BBFA994559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A103D"/>
    <w:pPr>
      <w:spacing w:after="0" w:line="240" w:lineRule="auto"/>
    </w:pPr>
    <w:rPr>
      <w:rFonts w:ascii="Times New Roman" w:eastAsia="Times New Roman" w:hAnsi="Times New Roman" w:cs="Times New Roman"/>
      <w:sz w:val="24"/>
      <w:szCs w:val="24"/>
      <w:lang w:val="es-MX" w:eastAsia="es-ES"/>
    </w:rPr>
  </w:style>
  <w:style w:type="paragraph" w:styleId="Ttulo1">
    <w:name w:val="heading 1"/>
    <w:basedOn w:val="Normal"/>
    <w:next w:val="Normal"/>
    <w:link w:val="Ttulo1Car"/>
    <w:uiPriority w:val="9"/>
    <w:qFormat/>
    <w:rsid w:val="008D6CFA"/>
    <w:pPr>
      <w:keepNext/>
      <w:keepLines/>
      <w:spacing w:before="240"/>
      <w:outlineLvl w:val="0"/>
    </w:pPr>
    <w:rPr>
      <w:rFonts w:asciiTheme="majorHAnsi" w:eastAsiaTheme="majorEastAsia" w:hAnsiTheme="majorHAnsi" w:cstheme="majorBidi"/>
      <w:color w:val="2F5496" w:themeColor="accent1" w:themeShade="BF"/>
      <w:sz w:val="32"/>
      <w:szCs w:val="3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BB58C4"/>
    <w:pPr>
      <w:tabs>
        <w:tab w:val="center" w:pos="4252"/>
        <w:tab w:val="right" w:pos="8504"/>
      </w:tabs>
    </w:pPr>
  </w:style>
  <w:style w:type="character" w:customStyle="1" w:styleId="EncabezadoCar">
    <w:name w:val="Encabezado Car"/>
    <w:basedOn w:val="Fuentedeprrafopredeter"/>
    <w:link w:val="Encabezado"/>
    <w:uiPriority w:val="99"/>
    <w:rsid w:val="00BB58C4"/>
  </w:style>
  <w:style w:type="paragraph" w:styleId="Piedepgina">
    <w:name w:val="footer"/>
    <w:basedOn w:val="Normal"/>
    <w:link w:val="PiedepginaCar"/>
    <w:uiPriority w:val="99"/>
    <w:unhideWhenUsed/>
    <w:rsid w:val="00BB58C4"/>
    <w:pPr>
      <w:tabs>
        <w:tab w:val="center" w:pos="4252"/>
        <w:tab w:val="right" w:pos="8504"/>
      </w:tabs>
    </w:pPr>
  </w:style>
  <w:style w:type="character" w:customStyle="1" w:styleId="PiedepginaCar">
    <w:name w:val="Pie de página Car"/>
    <w:basedOn w:val="Fuentedeprrafopredeter"/>
    <w:link w:val="Piedepgina"/>
    <w:uiPriority w:val="99"/>
    <w:rsid w:val="00BB58C4"/>
  </w:style>
  <w:style w:type="table" w:styleId="Tablaconcuadrcula">
    <w:name w:val="Table Grid"/>
    <w:basedOn w:val="Tablanormal"/>
    <w:uiPriority w:val="59"/>
    <w:rsid w:val="0093057A"/>
    <w:pPr>
      <w:spacing w:after="0" w:line="240" w:lineRule="auto"/>
    </w:pPr>
    <w:rPr>
      <w:rFonts w:eastAsia="Times New Roman"/>
      <w:lang w:val="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efdenotaalpie">
    <w:name w:val="footnote reference"/>
    <w:aliases w:val="callout,Footnote anchor,Ref,de nota al pie,ftref,BVI fnr,16 Point,Superscript 6 Point,(Diplomarbeit FZ),Footnote Reference,Texto de nota al pie,Footnotes refss,Appel note de bas de page,Footnote number,referencia nota al pie,f,4_G"/>
    <w:basedOn w:val="Fuentedeprrafopredeter"/>
    <w:uiPriority w:val="99"/>
    <w:unhideWhenUsed/>
    <w:qFormat/>
    <w:rsid w:val="0093057A"/>
    <w:rPr>
      <w:vertAlign w:val="superscript"/>
    </w:rPr>
  </w:style>
  <w:style w:type="paragraph" w:styleId="Textonotapie">
    <w:name w:val="footnote text"/>
    <w:aliases w:val="Footnote Text Char Char Char Char Char,Footnote Text Char Char Char Char,Ref. de nota al pie1,FA Fu,Footnote Text Char Char Char,Footnote Text Cha,FA Fußnotentext,FA Fu?notentext,Footnote Text Char Char,FA Fuﬂnotentext,Ca,FA Fu?notente"/>
    <w:basedOn w:val="Normal"/>
    <w:link w:val="TextonotapieCar"/>
    <w:uiPriority w:val="99"/>
    <w:unhideWhenUsed/>
    <w:qFormat/>
    <w:rsid w:val="0093057A"/>
    <w:pPr>
      <w:jc w:val="both"/>
    </w:pPr>
    <w:rPr>
      <w:sz w:val="20"/>
      <w:szCs w:val="20"/>
    </w:rPr>
  </w:style>
  <w:style w:type="character" w:customStyle="1" w:styleId="TextonotapieCar">
    <w:name w:val="Texto nota pie Car"/>
    <w:aliases w:val="Footnote Text Char Char Char Char Char Car,Footnote Text Char Char Char Char Car,Ref. de nota al pie1 Car,FA Fu Car,Footnote Text Char Char Char Car,Footnote Text Cha Car,FA Fußnotentext Car,FA Fu?notentext Car,FA Fuﬂnotentext Car"/>
    <w:basedOn w:val="Fuentedeprrafopredeter"/>
    <w:link w:val="Textonotapie"/>
    <w:uiPriority w:val="99"/>
    <w:rsid w:val="0093057A"/>
    <w:rPr>
      <w:rFonts w:eastAsia="Times New Roman" w:cs="Times New Roman"/>
      <w:sz w:val="20"/>
      <w:szCs w:val="20"/>
      <w:lang w:val="es-MX" w:eastAsia="es-ES"/>
    </w:rPr>
  </w:style>
  <w:style w:type="paragraph" w:styleId="Prrafodelista">
    <w:name w:val="List Paragraph"/>
    <w:aliases w:val="lp1,List Paragraph1,Lista de nivel 1,4 Párrafo de lista,Figuras,Dot pt,No Spacing1,List Paragraph Char Char Char,Indicator Text,Numbered Para 1,DH1,Listas,Light Grid - Accent 31,Colorful List - Accent 11,Bullet 1,F5 List Paragraph,5.9.1"/>
    <w:basedOn w:val="Normal"/>
    <w:link w:val="PrrafodelistaCar"/>
    <w:uiPriority w:val="34"/>
    <w:qFormat/>
    <w:rsid w:val="0093057A"/>
    <w:pPr>
      <w:ind w:left="720"/>
      <w:contextualSpacing/>
    </w:pPr>
  </w:style>
  <w:style w:type="character" w:customStyle="1" w:styleId="PrrafodelistaCar">
    <w:name w:val="Párrafo de lista Car"/>
    <w:aliases w:val="lp1 Car,List Paragraph1 Car,Lista de nivel 1 Car,4 Párrafo de lista Car,Figuras Car,Dot pt Car,No Spacing1 Car,List Paragraph Char Char Char Car,Indicator Text Car,Numbered Para 1 Car,DH1 Car,Listas Car,Light Grid - Accent 31 Car"/>
    <w:link w:val="Prrafodelista"/>
    <w:uiPriority w:val="34"/>
    <w:qFormat/>
    <w:locked/>
    <w:rsid w:val="0093057A"/>
    <w:rPr>
      <w:lang w:val="es-MX"/>
    </w:rPr>
  </w:style>
  <w:style w:type="character" w:styleId="Hipervnculo">
    <w:name w:val="Hyperlink"/>
    <w:basedOn w:val="Fuentedeprrafopredeter"/>
    <w:uiPriority w:val="99"/>
    <w:unhideWhenUsed/>
    <w:rsid w:val="00471043"/>
    <w:rPr>
      <w:color w:val="0563C1" w:themeColor="hyperlink"/>
      <w:u w:val="single"/>
    </w:rPr>
  </w:style>
  <w:style w:type="paragraph" w:styleId="Textodeglobo">
    <w:name w:val="Balloon Text"/>
    <w:basedOn w:val="Normal"/>
    <w:link w:val="TextodegloboCar"/>
    <w:uiPriority w:val="99"/>
    <w:semiHidden/>
    <w:unhideWhenUsed/>
    <w:rsid w:val="008C6604"/>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8C6604"/>
    <w:rPr>
      <w:rFonts w:ascii="Segoe UI" w:hAnsi="Segoe UI" w:cs="Segoe UI"/>
      <w:sz w:val="18"/>
      <w:szCs w:val="18"/>
      <w:lang w:val="es-MX"/>
    </w:rPr>
  </w:style>
  <w:style w:type="paragraph" w:styleId="Textoindependiente">
    <w:name w:val="Body Text"/>
    <w:basedOn w:val="Normal"/>
    <w:link w:val="TextoindependienteCar"/>
    <w:uiPriority w:val="99"/>
    <w:unhideWhenUsed/>
    <w:rsid w:val="00913F62"/>
    <w:pPr>
      <w:spacing w:after="120"/>
    </w:pPr>
  </w:style>
  <w:style w:type="character" w:customStyle="1" w:styleId="TextoindependienteCar">
    <w:name w:val="Texto independiente Car"/>
    <w:basedOn w:val="Fuentedeprrafopredeter"/>
    <w:link w:val="Textoindependiente"/>
    <w:uiPriority w:val="99"/>
    <w:rsid w:val="00913F62"/>
    <w:rPr>
      <w:rFonts w:ascii="Times New Roman" w:eastAsia="Times New Roman" w:hAnsi="Times New Roman" w:cs="Times New Roman"/>
      <w:sz w:val="24"/>
      <w:szCs w:val="24"/>
      <w:lang w:val="es-MX" w:eastAsia="es-ES"/>
    </w:rPr>
  </w:style>
  <w:style w:type="paragraph" w:styleId="Textoindependienteprimerasangra">
    <w:name w:val="Body Text First Indent"/>
    <w:basedOn w:val="Textoindependiente"/>
    <w:link w:val="TextoindependienteprimerasangraCar"/>
    <w:uiPriority w:val="99"/>
    <w:rsid w:val="00913F62"/>
    <w:pPr>
      <w:spacing w:line="360" w:lineRule="auto"/>
      <w:ind w:firstLine="210"/>
      <w:jc w:val="both"/>
    </w:pPr>
    <w:rPr>
      <w:rFonts w:ascii="Calibri" w:hAnsi="Calibri"/>
      <w:sz w:val="26"/>
    </w:rPr>
  </w:style>
  <w:style w:type="character" w:customStyle="1" w:styleId="TextoindependienteprimerasangraCar">
    <w:name w:val="Texto independiente primera sangría Car"/>
    <w:basedOn w:val="TextoindependienteCar"/>
    <w:link w:val="Textoindependienteprimerasangra"/>
    <w:uiPriority w:val="99"/>
    <w:rsid w:val="00913F62"/>
    <w:rPr>
      <w:rFonts w:ascii="Calibri" w:eastAsia="Times New Roman" w:hAnsi="Calibri" w:cs="Times New Roman"/>
      <w:sz w:val="26"/>
      <w:szCs w:val="24"/>
      <w:lang w:val="es-MX" w:eastAsia="es-ES"/>
    </w:rPr>
  </w:style>
  <w:style w:type="character" w:customStyle="1" w:styleId="Ttulo1Car">
    <w:name w:val="Título 1 Car"/>
    <w:basedOn w:val="Fuentedeprrafopredeter"/>
    <w:link w:val="Ttulo1"/>
    <w:uiPriority w:val="9"/>
    <w:rsid w:val="008D6CFA"/>
    <w:rPr>
      <w:rFonts w:asciiTheme="majorHAnsi" w:eastAsiaTheme="majorEastAsia" w:hAnsiTheme="majorHAnsi" w:cstheme="majorBidi"/>
      <w:color w:val="2F5496" w:themeColor="accent1" w:themeShade="BF"/>
      <w:sz w:val="32"/>
      <w:szCs w:val="32"/>
      <w:lang w:val="es-MX" w:eastAsia="es-ES"/>
    </w:rPr>
  </w:style>
  <w:style w:type="paragraph" w:styleId="Lista2">
    <w:name w:val="List 2"/>
    <w:basedOn w:val="Normal"/>
    <w:uiPriority w:val="99"/>
    <w:unhideWhenUsed/>
    <w:rsid w:val="008D6CFA"/>
    <w:pPr>
      <w:ind w:left="566" w:hanging="283"/>
      <w:contextualSpacing/>
    </w:pPr>
  </w:style>
  <w:style w:type="paragraph" w:styleId="Sangradetextonormal">
    <w:name w:val="Body Text Indent"/>
    <w:basedOn w:val="Normal"/>
    <w:link w:val="SangradetextonormalCar"/>
    <w:uiPriority w:val="99"/>
    <w:unhideWhenUsed/>
    <w:rsid w:val="008D6CFA"/>
    <w:pPr>
      <w:spacing w:after="120"/>
      <w:ind w:left="283"/>
    </w:pPr>
  </w:style>
  <w:style w:type="character" w:customStyle="1" w:styleId="SangradetextonormalCar">
    <w:name w:val="Sangría de texto normal Car"/>
    <w:basedOn w:val="Fuentedeprrafopredeter"/>
    <w:link w:val="Sangradetextonormal"/>
    <w:uiPriority w:val="99"/>
    <w:rsid w:val="008D6CFA"/>
    <w:rPr>
      <w:rFonts w:ascii="Times New Roman" w:eastAsia="Times New Roman" w:hAnsi="Times New Roman" w:cs="Times New Roman"/>
      <w:sz w:val="24"/>
      <w:szCs w:val="24"/>
      <w:lang w:val="es-MX" w:eastAsia="es-ES"/>
    </w:rPr>
  </w:style>
  <w:style w:type="paragraph" w:styleId="Textoindependienteprimerasangra2">
    <w:name w:val="Body Text First Indent 2"/>
    <w:basedOn w:val="Sangradetextonormal"/>
    <w:link w:val="Textoindependienteprimerasangra2Car"/>
    <w:uiPriority w:val="99"/>
    <w:unhideWhenUsed/>
    <w:rsid w:val="008D6CFA"/>
    <w:pPr>
      <w:spacing w:after="0"/>
      <w:ind w:left="360" w:firstLine="360"/>
    </w:pPr>
  </w:style>
  <w:style w:type="character" w:customStyle="1" w:styleId="Textoindependienteprimerasangra2Car">
    <w:name w:val="Texto independiente primera sangría 2 Car"/>
    <w:basedOn w:val="SangradetextonormalCar"/>
    <w:link w:val="Textoindependienteprimerasangra2"/>
    <w:uiPriority w:val="99"/>
    <w:rsid w:val="008D6CFA"/>
    <w:rPr>
      <w:rFonts w:ascii="Times New Roman" w:eastAsia="Times New Roman" w:hAnsi="Times New Roman" w:cs="Times New Roman"/>
      <w:sz w:val="24"/>
      <w:szCs w:val="24"/>
      <w:lang w:val="es-MX" w:eastAsia="es-ES"/>
    </w:rPr>
  </w:style>
  <w:style w:type="paragraph" w:styleId="Listaconvietas2">
    <w:name w:val="List Bullet 2"/>
    <w:basedOn w:val="Normal"/>
    <w:uiPriority w:val="99"/>
    <w:unhideWhenUsed/>
    <w:rsid w:val="00EB7711"/>
    <w:pPr>
      <w:numPr>
        <w:numId w:val="14"/>
      </w:numPr>
      <w:contextualSpacing/>
    </w:pPr>
  </w:style>
  <w:style w:type="character" w:customStyle="1" w:styleId="corte4fondoCar1">
    <w:name w:val="corte4 fondo Car1"/>
    <w:link w:val="corte4fondo"/>
    <w:locked/>
    <w:rsid w:val="00B707A6"/>
    <w:rPr>
      <w:rFonts w:ascii="Arial" w:eastAsia="Times New Roman" w:hAnsi="Arial" w:cs="Times New Roman"/>
      <w:sz w:val="30"/>
      <w:szCs w:val="20"/>
      <w:lang w:eastAsia="es-MX"/>
    </w:rPr>
  </w:style>
  <w:style w:type="paragraph" w:customStyle="1" w:styleId="corte4fondo">
    <w:name w:val="corte4 fondo"/>
    <w:basedOn w:val="Normal"/>
    <w:link w:val="corte4fondoCar1"/>
    <w:qFormat/>
    <w:rsid w:val="00B707A6"/>
    <w:pPr>
      <w:spacing w:line="360" w:lineRule="auto"/>
      <w:ind w:firstLine="709"/>
      <w:jc w:val="both"/>
    </w:pPr>
    <w:rPr>
      <w:rFonts w:ascii="Arial" w:hAnsi="Arial"/>
      <w:sz w:val="30"/>
      <w:szCs w:val="20"/>
      <w:lang w:val="es-ES"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javascript:AbrirModal(1)"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286B5E7-79F8-4663-8D78-7F64B8387D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7</Pages>
  <Words>1965</Words>
  <Characters>10808</Characters>
  <Application>Microsoft Office Word</Application>
  <DocSecurity>0</DocSecurity>
  <Lines>90</Lines>
  <Paragraphs>25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12748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Emmanuel Martínez Martínez</dc:creator>
  <cp:keywords/>
  <dc:description/>
  <cp:lastModifiedBy>Ponencia3</cp:lastModifiedBy>
  <cp:revision>4</cp:revision>
  <cp:lastPrinted>2023-11-29T14:53:00Z</cp:lastPrinted>
  <dcterms:created xsi:type="dcterms:W3CDTF">2023-11-17T18:59:00Z</dcterms:created>
  <dcterms:modified xsi:type="dcterms:W3CDTF">2023-11-30T20:32:00Z</dcterms:modified>
</cp:coreProperties>
</file>