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E3C" w:rsidRDefault="007A4E3C">
      <w:pPr>
        <w:spacing w:line="276" w:lineRule="auto"/>
        <w:jc w:val="both"/>
        <w:rPr>
          <w:rFonts w:ascii="Arial" w:hAnsi="Arial" w:cs="Arial"/>
        </w:rPr>
      </w:pPr>
      <w:bookmarkStart w:id="0" w:name="_GoBack"/>
      <w:bookmarkEnd w:id="0"/>
    </w:p>
    <w:p w:rsidR="00837898" w:rsidRDefault="00537A55">
      <w:pPr>
        <w:spacing w:line="276" w:lineRule="auto"/>
        <w:jc w:val="both"/>
        <w:rPr>
          <w:rFonts w:ascii="Arial" w:hAnsi="Arial" w:cs="Arial"/>
        </w:rPr>
      </w:pPr>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 xml:space="preserve">2023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537A55">
      <w:pPr>
        <w:spacing w:line="276" w:lineRule="auto"/>
        <w:jc w:val="center"/>
        <w:rPr>
          <w:rFonts w:ascii="Arial" w:hAnsi="Arial" w:cs="Arial"/>
          <w:b/>
        </w:rPr>
      </w:pPr>
      <w:r>
        <w:rPr>
          <w:rFonts w:ascii="Arial" w:hAnsi="Arial" w:cs="Arial"/>
          <w:b/>
        </w:rPr>
        <w:t>RESULTANDO</w:t>
      </w:r>
    </w:p>
    <w:p w:rsidR="00837898" w:rsidRDefault="00837898">
      <w:pPr>
        <w:spacing w:line="276" w:lineRule="auto"/>
        <w:jc w:val="both"/>
        <w:rPr>
          <w:rFonts w:ascii="Arial" w:hAnsi="Arial" w:cs="Arial"/>
          <w:b/>
        </w:rPr>
      </w:pPr>
    </w:p>
    <w:p w:rsidR="00837898" w:rsidRDefault="00837898">
      <w:pPr>
        <w:spacing w:line="276" w:lineRule="auto"/>
        <w:jc w:val="both"/>
        <w:rPr>
          <w:rFonts w:ascii="Arial" w:hAnsi="Arial" w:cs="Arial"/>
          <w:b/>
        </w:rPr>
      </w:pPr>
    </w:p>
    <w:p w:rsidR="00837898" w:rsidRDefault="00537A55">
      <w:pPr>
        <w:spacing w:line="276" w:lineRule="auto"/>
        <w:rPr>
          <w:rFonts w:ascii="Arial" w:hAnsi="Arial" w:cs="Arial"/>
          <w:b/>
        </w:rPr>
      </w:pPr>
      <w:r>
        <w:rPr>
          <w:rFonts w:ascii="Arial" w:hAnsi="Arial" w:cs="Arial"/>
          <w:b/>
        </w:rPr>
        <w:t>ANTECEDENTES</w:t>
      </w:r>
    </w:p>
    <w:p w:rsidR="00837898" w:rsidRDefault="00837898">
      <w:pPr>
        <w:autoSpaceDE w:val="0"/>
        <w:autoSpaceDN w:val="0"/>
        <w:adjustRightInd w:val="0"/>
        <w:jc w:val="center"/>
        <w:rPr>
          <w:rFonts w:ascii="Century Gothic" w:hAnsi="Century Gothic" w:cs="Arial"/>
          <w:bCs/>
        </w:rPr>
      </w:pPr>
    </w:p>
    <w:p w:rsidR="00837898" w:rsidRPr="006E2EDF" w:rsidRDefault="00837898" w:rsidP="006E2EDF">
      <w:pPr>
        <w:spacing w:line="276" w:lineRule="auto"/>
        <w:rPr>
          <w:rFonts w:ascii="Arial" w:hAnsi="Arial" w:cs="Arial"/>
          <w:b/>
        </w:rPr>
      </w:pPr>
    </w:p>
    <w:p w:rsidR="00837898" w:rsidRPr="006E2EDF" w:rsidRDefault="00537A55" w:rsidP="006E2EDF">
      <w:pPr>
        <w:numPr>
          <w:ilvl w:val="0"/>
          <w:numId w:val="1"/>
        </w:numPr>
        <w:spacing w:line="276" w:lineRule="auto"/>
        <w:jc w:val="both"/>
        <w:rPr>
          <w:rFonts w:ascii="Arial" w:hAnsi="Arial" w:cs="Arial"/>
          <w:b/>
        </w:rPr>
      </w:pPr>
      <w:r w:rsidRPr="006E2EDF">
        <w:rPr>
          <w:rFonts w:ascii="Arial" w:hAnsi="Arial" w:cs="Arial"/>
        </w:rPr>
        <w:t xml:space="preserve">El </w:t>
      </w:r>
      <w:r w:rsidRPr="006E2EDF">
        <w:rPr>
          <w:rFonts w:ascii="Arial" w:hAnsi="Arial" w:cs="Arial"/>
          <w:bCs/>
        </w:rPr>
        <w:t>Licenciado Ricardo Eduardo Escobedo Martínez,</w:t>
      </w:r>
      <w:r w:rsidRPr="006E2EDF">
        <w:rPr>
          <w:rFonts w:ascii="Arial" w:eastAsia="Times New Roman" w:hAnsi="Arial" w:cs="Arial"/>
          <w:bCs/>
          <w:lang w:eastAsia="es-MX"/>
        </w:rPr>
        <w:t xml:space="preserve"> T</w:t>
      </w:r>
      <w:r w:rsidRPr="006E2EDF">
        <w:rPr>
          <w:rFonts w:ascii="Arial" w:hAnsi="Arial" w:cs="Arial"/>
          <w:bCs/>
        </w:rPr>
        <w:t xml:space="preserve">itular de la Unidad Especializada en Homicidios de la Fiscalía General del Estado, </w:t>
      </w:r>
      <w:r w:rsidRPr="006E2EDF">
        <w:rPr>
          <w:rFonts w:ascii="Arial" w:hAnsi="Arial" w:cs="Arial"/>
        </w:rPr>
        <w:t xml:space="preserve">manifiesta haber recibido la solicitud de información número </w:t>
      </w:r>
      <w:r w:rsidRPr="006E2EDF">
        <w:rPr>
          <w:rFonts w:ascii="Arial" w:hAnsi="Arial" w:cs="Arial"/>
          <w:b/>
        </w:rPr>
        <w:t>UT-SI-P-679-240469823000672-2023.</w:t>
      </w:r>
    </w:p>
    <w:p w:rsidR="00837898" w:rsidRDefault="00837898" w:rsidP="006E2EDF">
      <w:pPr>
        <w:spacing w:line="276" w:lineRule="auto"/>
        <w:jc w:val="both"/>
        <w:rPr>
          <w:rFonts w:ascii="Arial" w:hAnsi="Arial" w:cs="Arial"/>
        </w:rPr>
      </w:pPr>
    </w:p>
    <w:p w:rsidR="003D5CA8" w:rsidRPr="006E2EDF" w:rsidRDefault="003D5CA8" w:rsidP="006E2EDF">
      <w:pPr>
        <w:spacing w:line="276" w:lineRule="auto"/>
        <w:jc w:val="both"/>
        <w:rPr>
          <w:rFonts w:ascii="Arial" w:hAnsi="Arial" w:cs="Arial"/>
        </w:rPr>
      </w:pPr>
    </w:p>
    <w:p w:rsidR="00837898" w:rsidRPr="006E2EDF" w:rsidRDefault="00537A55" w:rsidP="006E2EDF">
      <w:pPr>
        <w:spacing w:line="276" w:lineRule="auto"/>
        <w:jc w:val="both"/>
        <w:rPr>
          <w:rFonts w:ascii="Arial" w:hAnsi="Arial" w:cs="Arial"/>
        </w:rPr>
      </w:pPr>
      <w:r w:rsidRPr="006E2EDF">
        <w:rPr>
          <w:rFonts w:ascii="Arial" w:hAnsi="Arial" w:cs="Arial"/>
          <w:b/>
        </w:rPr>
        <w:t>II.</w:t>
      </w:r>
      <w:r w:rsidRPr="006E2EDF">
        <w:rPr>
          <w:rFonts w:ascii="Arial" w:hAnsi="Arial" w:cs="Arial"/>
        </w:rPr>
        <w:t xml:space="preserve"> El </w:t>
      </w:r>
      <w:r w:rsidRPr="006E2EDF">
        <w:rPr>
          <w:rFonts w:ascii="Arial" w:hAnsi="Arial" w:cs="Arial"/>
          <w:bCs/>
        </w:rPr>
        <w:t>Licenciado Ricardo Eduardo Escobedo, Martínez</w:t>
      </w:r>
      <w:r w:rsidRPr="006E2EDF">
        <w:rPr>
          <w:rFonts w:ascii="Arial" w:eastAsia="Times New Roman" w:hAnsi="Arial" w:cs="Arial"/>
          <w:bCs/>
          <w:lang w:eastAsia="es-MX"/>
        </w:rPr>
        <w:t xml:space="preserve"> T</w:t>
      </w:r>
      <w:r w:rsidRPr="006E2EDF">
        <w:rPr>
          <w:rFonts w:ascii="Arial" w:hAnsi="Arial" w:cs="Arial"/>
          <w:bCs/>
        </w:rPr>
        <w:t>itular de la Unidad Especializada en Homicidios de la Fiscalía General del Estado</w:t>
      </w:r>
      <w:r w:rsidRPr="006E2EDF">
        <w:rPr>
          <w:rFonts w:ascii="Arial" w:hAnsi="Arial" w:cs="Arial"/>
        </w:rPr>
        <w:t>, advierte que parte de la información que le solicitan es información susceptible de clasificar como reservada, de conformida</w:t>
      </w:r>
      <w:r w:rsidR="006E2EDF">
        <w:rPr>
          <w:rFonts w:ascii="Arial" w:hAnsi="Arial" w:cs="Arial"/>
        </w:rPr>
        <w:t>d con el artículo 129 fracción</w:t>
      </w:r>
      <w:r w:rsidRPr="006E2EDF">
        <w:rPr>
          <w:rFonts w:ascii="Arial" w:hAnsi="Arial" w:cs="Arial"/>
        </w:rPr>
        <w:t xml:space="preserve"> XII de la -LTAIPSLP-.</w:t>
      </w:r>
    </w:p>
    <w:p w:rsidR="00837898" w:rsidRDefault="00837898" w:rsidP="006E2EDF">
      <w:pPr>
        <w:spacing w:line="276" w:lineRule="auto"/>
        <w:jc w:val="both"/>
        <w:rPr>
          <w:rFonts w:ascii="Arial" w:hAnsi="Arial" w:cs="Arial"/>
          <w:highlight w:val="yellow"/>
        </w:rPr>
      </w:pPr>
    </w:p>
    <w:p w:rsidR="003D5CA8" w:rsidRPr="006E2EDF" w:rsidRDefault="003D5CA8" w:rsidP="006E2EDF">
      <w:pPr>
        <w:spacing w:line="276" w:lineRule="auto"/>
        <w:jc w:val="both"/>
        <w:rPr>
          <w:rFonts w:ascii="Arial" w:hAnsi="Arial" w:cs="Arial"/>
          <w:highlight w:val="yellow"/>
        </w:rPr>
      </w:pPr>
    </w:p>
    <w:p w:rsidR="00837898" w:rsidRPr="006E2EDF" w:rsidRDefault="00537A55" w:rsidP="006E2EDF">
      <w:pPr>
        <w:spacing w:line="276" w:lineRule="auto"/>
        <w:jc w:val="both"/>
        <w:rPr>
          <w:rFonts w:ascii="Arial" w:hAnsi="Arial" w:cs="Arial"/>
        </w:rPr>
      </w:pPr>
      <w:r w:rsidRPr="006E2EDF">
        <w:rPr>
          <w:rFonts w:ascii="Arial" w:hAnsi="Arial" w:cs="Arial"/>
          <w:b/>
        </w:rPr>
        <w:t>III.</w:t>
      </w:r>
      <w:r w:rsidRPr="006E2EDF">
        <w:rPr>
          <w:rFonts w:ascii="Arial" w:hAnsi="Arial" w:cs="Arial"/>
        </w:rPr>
        <w:t xml:space="preserve"> Al encontrarse en la hipótesis establecida en el artículo 120 fracción I de la –LTAIPSLP-, </w:t>
      </w:r>
      <w:r w:rsidR="006E2EDF">
        <w:rPr>
          <w:rFonts w:ascii="Arial" w:hAnsi="Arial" w:cs="Arial"/>
        </w:rPr>
        <w:t>e</w:t>
      </w:r>
      <w:r w:rsidR="006E2EDF" w:rsidRPr="006E2EDF">
        <w:rPr>
          <w:rFonts w:ascii="Arial" w:hAnsi="Arial" w:cs="Arial"/>
        </w:rPr>
        <w:t xml:space="preserve">l </w:t>
      </w:r>
      <w:r w:rsidR="006E2EDF" w:rsidRPr="006E2EDF">
        <w:rPr>
          <w:rFonts w:ascii="Arial" w:hAnsi="Arial" w:cs="Arial"/>
          <w:bCs/>
        </w:rPr>
        <w:t>Licenciado Ricardo Eduardo Escobedo, Martínez</w:t>
      </w:r>
      <w:r w:rsidR="006E2EDF" w:rsidRPr="006E2EDF">
        <w:rPr>
          <w:rFonts w:ascii="Arial" w:eastAsia="Times New Roman" w:hAnsi="Arial" w:cs="Arial"/>
          <w:bCs/>
          <w:lang w:eastAsia="es-MX"/>
        </w:rPr>
        <w:t xml:space="preserve"> T</w:t>
      </w:r>
      <w:r w:rsidR="006E2EDF" w:rsidRPr="006E2EDF">
        <w:rPr>
          <w:rFonts w:ascii="Arial" w:hAnsi="Arial" w:cs="Arial"/>
          <w:bCs/>
        </w:rPr>
        <w:t>itular de la Unidad Especializada en Homicidios de la Fiscalía General del Estado</w:t>
      </w:r>
      <w:r w:rsidRPr="006E2EDF">
        <w:rPr>
          <w:rFonts w:ascii="Arial" w:hAnsi="Arial" w:cs="Arial"/>
        </w:rPr>
        <w:t xml:space="preserve">, emite el </w:t>
      </w:r>
      <w:r w:rsidRPr="006E2EDF">
        <w:rPr>
          <w:rFonts w:ascii="Arial" w:eastAsia="Times New Roman" w:hAnsi="Arial" w:cs="Arial"/>
          <w:b/>
        </w:rPr>
        <w:t>Acuerdo de</w:t>
      </w:r>
      <w:r w:rsidRPr="006E2EDF">
        <w:rPr>
          <w:rFonts w:ascii="Arial" w:eastAsia="Times New Roman" w:hAnsi="Arial" w:cs="Arial"/>
        </w:rPr>
        <w:t xml:space="preserve"> </w:t>
      </w:r>
      <w:r w:rsidRPr="006E2EDF">
        <w:rPr>
          <w:rFonts w:ascii="Arial" w:eastAsia="Times New Roman" w:hAnsi="Arial" w:cs="Arial"/>
          <w:b/>
        </w:rPr>
        <w:t xml:space="preserve">Reserva Total </w:t>
      </w:r>
      <w:r w:rsidRPr="006E2EDF">
        <w:rPr>
          <w:rFonts w:ascii="Arial" w:eastAsia="Times New Roman" w:hAnsi="Arial" w:cs="Arial"/>
        </w:rPr>
        <w:t xml:space="preserve">número </w:t>
      </w:r>
      <w:r w:rsidRPr="006E2EDF">
        <w:rPr>
          <w:rFonts w:ascii="Arial" w:hAnsi="Arial" w:cs="Arial"/>
          <w:b/>
        </w:rPr>
        <w:t xml:space="preserve">FGE/D01/SLP/UIH/006/2023, </w:t>
      </w:r>
      <w:r w:rsidRPr="006E2EDF">
        <w:rPr>
          <w:rFonts w:ascii="Arial" w:hAnsi="Arial" w:cs="Arial"/>
        </w:rPr>
        <w:t xml:space="preserve">el cual hace llegar al Comité de Transparencia mediante consecutivo número </w:t>
      </w:r>
      <w:r w:rsidRPr="006E2EDF">
        <w:rPr>
          <w:rFonts w:ascii="Arial" w:hAnsi="Arial" w:cs="Arial"/>
          <w:b/>
          <w:bCs/>
        </w:rPr>
        <w:t>0576/UIH/2023</w:t>
      </w:r>
      <w:r w:rsidRPr="006E2EDF">
        <w:rPr>
          <w:rFonts w:ascii="Arial" w:hAnsi="Arial" w:cs="Arial"/>
          <w:b/>
        </w:rPr>
        <w:t>,</w:t>
      </w:r>
      <w:r w:rsidRPr="006E2EDF">
        <w:rPr>
          <w:rFonts w:ascii="Arial" w:hAnsi="Arial" w:cs="Arial"/>
        </w:rPr>
        <w:t xml:space="preserve"> fechado y recibido el 01 de diciembre 2023, solicitando la confirmación del mismo.</w:t>
      </w:r>
    </w:p>
    <w:p w:rsidR="00837898" w:rsidRDefault="00837898">
      <w:pPr>
        <w:spacing w:line="276" w:lineRule="auto"/>
        <w:jc w:val="both"/>
        <w:rPr>
          <w:rFonts w:ascii="Arial" w:hAnsi="Arial" w:cs="Arial"/>
        </w:rPr>
      </w:pPr>
    </w:p>
    <w:p w:rsidR="00837898" w:rsidRDefault="00537A55">
      <w:pPr>
        <w:spacing w:line="276" w:lineRule="auto"/>
        <w:jc w:val="center"/>
        <w:rPr>
          <w:rFonts w:ascii="Arial" w:hAnsi="Arial" w:cs="Arial"/>
          <w:b/>
        </w:rPr>
      </w:pPr>
      <w:r>
        <w:rPr>
          <w:rFonts w:ascii="Arial" w:hAnsi="Arial" w:cs="Arial"/>
          <w:b/>
        </w:rPr>
        <w:lastRenderedPageBreak/>
        <w:t>CONSIDERANDO</w:t>
      </w:r>
    </w:p>
    <w:p w:rsidR="00837898" w:rsidRDefault="00837898">
      <w:pPr>
        <w:spacing w:line="276" w:lineRule="auto"/>
        <w:rPr>
          <w:rFonts w:ascii="Arial" w:hAnsi="Arial" w:cs="Arial"/>
          <w:b/>
        </w:rPr>
      </w:pPr>
    </w:p>
    <w:p w:rsidR="00837898" w:rsidRDefault="00537A55">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837898" w:rsidRDefault="00837898">
      <w:pPr>
        <w:spacing w:line="276" w:lineRule="auto"/>
        <w:jc w:val="both"/>
        <w:rPr>
          <w:rFonts w:ascii="Arial" w:hAnsi="Arial" w:cs="Arial"/>
        </w:rPr>
      </w:pPr>
    </w:p>
    <w:p w:rsidR="007A4E3C" w:rsidRDefault="007A4E3C">
      <w:pPr>
        <w:spacing w:line="276" w:lineRule="auto"/>
        <w:jc w:val="both"/>
        <w:rPr>
          <w:rFonts w:ascii="Arial" w:hAnsi="Arial" w:cs="Arial"/>
        </w:rPr>
      </w:pPr>
    </w:p>
    <w:p w:rsidR="00837898" w:rsidRDefault="00537A55">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 xml:space="preserve">Reserva Total </w:t>
      </w:r>
      <w:r>
        <w:rPr>
          <w:rFonts w:ascii="Arial" w:eastAsia="Times New Roman" w:hAnsi="Arial" w:cs="Arial"/>
        </w:rPr>
        <w:t xml:space="preserve">número </w:t>
      </w:r>
      <w:r>
        <w:rPr>
          <w:rFonts w:ascii="Century Gothic" w:hAnsi="Century Gothic" w:cs="Arial"/>
          <w:b/>
        </w:rPr>
        <w:t>FGE/D01/SLP/UIH/006/2023</w:t>
      </w:r>
      <w:r>
        <w:rPr>
          <w:rFonts w:ascii="Arial" w:hAnsi="Arial" w:cs="Arial"/>
          <w:b/>
        </w:rPr>
        <w:t xml:space="preserve">, </w:t>
      </w:r>
      <w:r>
        <w:rPr>
          <w:rFonts w:ascii="Arial" w:hAnsi="Arial" w:cs="Arial"/>
        </w:rPr>
        <w:t>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837898" w:rsidRDefault="00837898">
      <w:pPr>
        <w:spacing w:line="276" w:lineRule="auto"/>
        <w:jc w:val="both"/>
        <w:rPr>
          <w:rFonts w:ascii="Arial" w:hAnsi="Arial" w:cs="Arial"/>
          <w:b/>
        </w:rPr>
      </w:pP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rPr>
      </w:pPr>
      <w:r>
        <w:rPr>
          <w:rFonts w:ascii="Arial" w:hAnsi="Arial" w:cs="Arial"/>
          <w:b/>
        </w:rPr>
        <w:t xml:space="preserve">SEGUNDO. Análisis. </w:t>
      </w:r>
    </w:p>
    <w:p w:rsidR="00837898" w:rsidRDefault="00837898">
      <w:pPr>
        <w:spacing w:line="276" w:lineRule="auto"/>
        <w:jc w:val="both"/>
        <w:rPr>
          <w:rFonts w:ascii="Arial" w:hAnsi="Arial" w:cs="Arial"/>
        </w:rPr>
      </w:pPr>
    </w:p>
    <w:p w:rsidR="00837898" w:rsidRDefault="00537A55">
      <w:pPr>
        <w:spacing w:line="276" w:lineRule="auto"/>
        <w:jc w:val="both"/>
        <w:rPr>
          <w:rFonts w:ascii="Arial" w:hAnsi="Arial" w:cs="Arial"/>
        </w:rPr>
      </w:pPr>
      <w:r>
        <w:rPr>
          <w:rFonts w:ascii="Arial" w:hAnsi="Arial" w:cs="Arial"/>
        </w:rPr>
        <w:t xml:space="preserve">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 xml:space="preserve">Reserva Total </w:t>
      </w:r>
      <w:r>
        <w:rPr>
          <w:rFonts w:ascii="Arial" w:eastAsia="Times New Roman" w:hAnsi="Arial" w:cs="Arial"/>
        </w:rPr>
        <w:t>número</w:t>
      </w:r>
      <w:r w:rsidR="006E2EDF">
        <w:rPr>
          <w:rFonts w:ascii="Arial" w:eastAsia="Times New Roman" w:hAnsi="Arial" w:cs="Arial"/>
        </w:rPr>
        <w:t xml:space="preserve"> </w:t>
      </w:r>
      <w:r>
        <w:rPr>
          <w:rFonts w:ascii="Century Gothic" w:hAnsi="Century Gothic" w:cs="Arial"/>
          <w:b/>
        </w:rPr>
        <w:t>FGE/D01/SLP/UIH/006/2023</w:t>
      </w:r>
      <w:r>
        <w:rPr>
          <w:rFonts w:ascii="Arial" w:hAnsi="Arial" w:cs="Arial"/>
          <w:b/>
        </w:rPr>
        <w:t xml:space="preserve">,  </w:t>
      </w:r>
      <w:r>
        <w:rPr>
          <w:rFonts w:ascii="Arial" w:hAnsi="Arial" w:cs="Arial"/>
        </w:rPr>
        <w:t xml:space="preserve">se advierte que el mismo contiene los requisitos mínimos establecidos por el artículo 128 de –LTAIPSLP-, y que a sabed son: </w:t>
      </w:r>
    </w:p>
    <w:p w:rsidR="00837898" w:rsidRDefault="00837898">
      <w:pPr>
        <w:spacing w:line="276" w:lineRule="auto"/>
        <w:jc w:val="both"/>
        <w:rPr>
          <w:rFonts w:ascii="Arial" w:hAnsi="Arial" w:cs="Arial"/>
        </w:rPr>
      </w:pPr>
    </w:p>
    <w:p w:rsidR="00837898" w:rsidRDefault="00537A55">
      <w:pPr>
        <w:pStyle w:val="Prrafodelista"/>
        <w:numPr>
          <w:ilvl w:val="0"/>
          <w:numId w:val="2"/>
        </w:numPr>
        <w:spacing w:line="276" w:lineRule="auto"/>
        <w:jc w:val="both"/>
        <w:rPr>
          <w:rFonts w:ascii="Arial" w:hAnsi="Arial" w:cs="Arial"/>
        </w:rPr>
      </w:pPr>
      <w:r>
        <w:rPr>
          <w:rFonts w:ascii="Arial" w:hAnsi="Arial" w:cs="Arial"/>
        </w:rPr>
        <w:t>La fuente y el archivo donde se encuentra la información;</w:t>
      </w:r>
    </w:p>
    <w:p w:rsidR="00837898" w:rsidRDefault="00537A55">
      <w:pPr>
        <w:pStyle w:val="Prrafodelista"/>
        <w:numPr>
          <w:ilvl w:val="0"/>
          <w:numId w:val="2"/>
        </w:numPr>
        <w:spacing w:line="276" w:lineRule="auto"/>
        <w:jc w:val="both"/>
        <w:rPr>
          <w:rFonts w:ascii="Arial" w:hAnsi="Arial" w:cs="Arial"/>
        </w:rPr>
      </w:pPr>
      <w:r>
        <w:rPr>
          <w:rFonts w:ascii="Arial" w:hAnsi="Arial" w:cs="Arial"/>
        </w:rPr>
        <w:t>La fundamentación y motivación del acuerdo;</w:t>
      </w:r>
    </w:p>
    <w:p w:rsidR="00837898" w:rsidRDefault="00537A55">
      <w:pPr>
        <w:pStyle w:val="Prrafodelista"/>
        <w:numPr>
          <w:ilvl w:val="0"/>
          <w:numId w:val="2"/>
        </w:numPr>
        <w:spacing w:line="276" w:lineRule="auto"/>
        <w:jc w:val="both"/>
        <w:rPr>
          <w:rFonts w:ascii="Arial" w:hAnsi="Arial" w:cs="Arial"/>
        </w:rPr>
      </w:pPr>
      <w:r>
        <w:rPr>
          <w:rFonts w:ascii="Arial" w:hAnsi="Arial" w:cs="Arial"/>
        </w:rPr>
        <w:t xml:space="preserve">El documento, la parte o las partes de los mismos, que se reservan; </w:t>
      </w:r>
    </w:p>
    <w:p w:rsidR="00837898" w:rsidRDefault="00537A55">
      <w:pPr>
        <w:pStyle w:val="Prrafodelista"/>
        <w:numPr>
          <w:ilvl w:val="0"/>
          <w:numId w:val="2"/>
        </w:numPr>
        <w:spacing w:line="276" w:lineRule="auto"/>
        <w:jc w:val="both"/>
        <w:rPr>
          <w:rFonts w:ascii="Arial" w:hAnsi="Arial" w:cs="Arial"/>
        </w:rPr>
      </w:pPr>
      <w:r>
        <w:rPr>
          <w:rFonts w:ascii="Arial" w:hAnsi="Arial" w:cs="Arial"/>
        </w:rPr>
        <w:t xml:space="preserve">El plazo por el que se reserva la información; </w:t>
      </w:r>
    </w:p>
    <w:p w:rsidR="00837898" w:rsidRDefault="00537A55">
      <w:pPr>
        <w:pStyle w:val="Prrafodelista"/>
        <w:numPr>
          <w:ilvl w:val="0"/>
          <w:numId w:val="2"/>
        </w:numPr>
        <w:spacing w:line="276" w:lineRule="auto"/>
        <w:jc w:val="both"/>
        <w:rPr>
          <w:rFonts w:ascii="Arial" w:hAnsi="Arial" w:cs="Arial"/>
        </w:rPr>
      </w:pPr>
      <w:r>
        <w:rPr>
          <w:rFonts w:ascii="Arial" w:hAnsi="Arial" w:cs="Arial"/>
        </w:rPr>
        <w:t>La designación de la autoridad responsable de su protección;</w:t>
      </w:r>
    </w:p>
    <w:p w:rsidR="00837898" w:rsidRDefault="00537A55">
      <w:pPr>
        <w:pStyle w:val="Prrafodelista"/>
        <w:numPr>
          <w:ilvl w:val="0"/>
          <w:numId w:val="2"/>
        </w:numPr>
        <w:spacing w:line="276" w:lineRule="auto"/>
        <w:jc w:val="both"/>
        <w:rPr>
          <w:rFonts w:ascii="Arial" w:hAnsi="Arial" w:cs="Arial"/>
        </w:rPr>
      </w:pPr>
      <w:r>
        <w:rPr>
          <w:rFonts w:ascii="Arial" w:hAnsi="Arial" w:cs="Arial"/>
        </w:rPr>
        <w:t xml:space="preserve">Número de identificación del acuerdo de reserva; </w:t>
      </w:r>
    </w:p>
    <w:p w:rsidR="00837898" w:rsidRDefault="00537A55">
      <w:pPr>
        <w:pStyle w:val="Prrafodelista"/>
        <w:numPr>
          <w:ilvl w:val="0"/>
          <w:numId w:val="2"/>
        </w:numPr>
        <w:spacing w:line="276" w:lineRule="auto"/>
        <w:jc w:val="both"/>
        <w:rPr>
          <w:rFonts w:ascii="Arial" w:hAnsi="Arial" w:cs="Arial"/>
        </w:rPr>
      </w:pPr>
      <w:r>
        <w:rPr>
          <w:rFonts w:ascii="Arial" w:hAnsi="Arial" w:cs="Arial"/>
        </w:rPr>
        <w:t xml:space="preserve">La aplicación de la prueba del daño; </w:t>
      </w:r>
    </w:p>
    <w:p w:rsidR="00837898" w:rsidRDefault="00537A55">
      <w:pPr>
        <w:pStyle w:val="Prrafodelista"/>
        <w:numPr>
          <w:ilvl w:val="0"/>
          <w:numId w:val="2"/>
        </w:numPr>
        <w:spacing w:line="276" w:lineRule="auto"/>
        <w:jc w:val="both"/>
        <w:rPr>
          <w:rFonts w:ascii="Arial" w:hAnsi="Arial" w:cs="Arial"/>
        </w:rPr>
      </w:pPr>
      <w:r>
        <w:rPr>
          <w:rFonts w:ascii="Arial" w:hAnsi="Arial" w:cs="Arial"/>
        </w:rPr>
        <w:t>Fecha del acuerdo de clasificación.</w:t>
      </w:r>
    </w:p>
    <w:p w:rsidR="00837898" w:rsidRDefault="00837898">
      <w:pPr>
        <w:spacing w:line="276" w:lineRule="auto"/>
        <w:jc w:val="both"/>
        <w:rPr>
          <w:rFonts w:ascii="Arial" w:hAnsi="Arial" w:cs="Arial"/>
        </w:rPr>
      </w:pPr>
    </w:p>
    <w:p w:rsidR="00837898" w:rsidRDefault="00537A55">
      <w:pPr>
        <w:spacing w:line="276" w:lineRule="auto"/>
        <w:jc w:val="both"/>
        <w:rPr>
          <w:rFonts w:ascii="Arial" w:hAnsi="Arial" w:cs="Arial"/>
        </w:rPr>
      </w:pPr>
      <w:r>
        <w:rPr>
          <w:rFonts w:ascii="Arial" w:hAnsi="Arial" w:cs="Arial"/>
        </w:rPr>
        <w:t>Dichos requisitos se encuentran concatenados al lineamiento Trigésimo tercero, de los –LGCDIEVP-.</w:t>
      </w: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b/>
        </w:rPr>
      </w:pPr>
      <w:r>
        <w:rPr>
          <w:rFonts w:ascii="Arial" w:hAnsi="Arial" w:cs="Arial"/>
          <w:b/>
        </w:rPr>
        <w:lastRenderedPageBreak/>
        <w:t>TERCERO. Sentido de la resolución.</w:t>
      </w:r>
    </w:p>
    <w:p w:rsidR="00837898" w:rsidRDefault="00837898">
      <w:pPr>
        <w:spacing w:line="276" w:lineRule="auto"/>
        <w:jc w:val="both"/>
        <w:rPr>
          <w:rFonts w:ascii="Arial" w:hAnsi="Arial" w:cs="Arial"/>
        </w:rPr>
      </w:pPr>
    </w:p>
    <w:p w:rsidR="007A4E3C" w:rsidRDefault="007A4E3C">
      <w:pPr>
        <w:spacing w:line="276" w:lineRule="auto"/>
        <w:jc w:val="both"/>
        <w:rPr>
          <w:rFonts w:ascii="Arial" w:hAnsi="Arial" w:cs="Arial"/>
        </w:rPr>
      </w:pPr>
    </w:p>
    <w:p w:rsidR="00837898" w:rsidRDefault="00537A55">
      <w:pPr>
        <w:pStyle w:val="Prrafodelista"/>
        <w:numPr>
          <w:ilvl w:val="0"/>
          <w:numId w:val="3"/>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837898" w:rsidRDefault="00837898">
      <w:pPr>
        <w:spacing w:line="276" w:lineRule="auto"/>
        <w:jc w:val="both"/>
        <w:rPr>
          <w:rFonts w:ascii="Arial" w:hAnsi="Arial" w:cs="Arial"/>
        </w:rPr>
      </w:pPr>
    </w:p>
    <w:p w:rsidR="00837898" w:rsidRPr="006E2EDF" w:rsidRDefault="00537A55">
      <w:pPr>
        <w:spacing w:line="276" w:lineRule="auto"/>
        <w:jc w:val="both"/>
        <w:rPr>
          <w:rFonts w:ascii="Arial" w:hAnsi="Arial" w:cs="Arial"/>
        </w:rPr>
      </w:pPr>
      <w:r w:rsidRPr="006E2EDF">
        <w:rPr>
          <w:rFonts w:ascii="Arial" w:hAnsi="Arial" w:cs="Arial"/>
        </w:rPr>
        <w:t xml:space="preserve">El </w:t>
      </w:r>
      <w:r w:rsidRPr="006E2EDF">
        <w:rPr>
          <w:rFonts w:ascii="Arial" w:hAnsi="Arial" w:cs="Arial"/>
          <w:bCs/>
        </w:rPr>
        <w:t>Licenciado Ricardo Eduardo Escobedo Martínez</w:t>
      </w:r>
      <w:r w:rsidRPr="006E2EDF">
        <w:rPr>
          <w:rFonts w:ascii="Arial" w:eastAsia="Times New Roman" w:hAnsi="Arial" w:cs="Arial"/>
          <w:bCs/>
          <w:lang w:eastAsia="es-MX"/>
        </w:rPr>
        <w:t xml:space="preserve"> T</w:t>
      </w:r>
      <w:r w:rsidRPr="006E2EDF">
        <w:rPr>
          <w:rFonts w:ascii="Arial" w:hAnsi="Arial" w:cs="Arial"/>
          <w:bCs/>
        </w:rPr>
        <w:t>itular de la Unidad Especializada en</w:t>
      </w:r>
      <w:r w:rsidR="006E2EDF" w:rsidRPr="006E2EDF">
        <w:rPr>
          <w:rFonts w:ascii="Arial" w:hAnsi="Arial" w:cs="Arial"/>
          <w:bCs/>
        </w:rPr>
        <w:t xml:space="preserve"> </w:t>
      </w:r>
      <w:r w:rsidRPr="006E2EDF">
        <w:rPr>
          <w:rFonts w:ascii="Arial" w:hAnsi="Arial" w:cs="Arial"/>
          <w:bCs/>
        </w:rPr>
        <w:t>Homicidios de la Fiscalía General del Estado,</w:t>
      </w:r>
      <w:r w:rsidRPr="006E2EDF">
        <w:rPr>
          <w:rFonts w:ascii="Arial" w:hAnsi="Arial" w:cs="Arial"/>
        </w:rPr>
        <w:t xml:space="preserve">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837898" w:rsidRDefault="00837898">
      <w:pPr>
        <w:spacing w:line="276" w:lineRule="auto"/>
        <w:ind w:left="567" w:right="616"/>
        <w:jc w:val="both"/>
        <w:rPr>
          <w:rFonts w:ascii="Arial" w:hAnsi="Arial" w:cs="Arial"/>
          <w:i/>
        </w:rPr>
      </w:pPr>
    </w:p>
    <w:p w:rsidR="00837898" w:rsidRDefault="00537A55">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837898" w:rsidRDefault="00837898">
      <w:pPr>
        <w:spacing w:line="276" w:lineRule="auto"/>
        <w:ind w:left="567" w:right="616"/>
        <w:jc w:val="both"/>
        <w:rPr>
          <w:rFonts w:ascii="Arial" w:hAnsi="Arial" w:cs="Arial"/>
          <w:i/>
          <w:sz w:val="16"/>
          <w:szCs w:val="16"/>
        </w:rPr>
      </w:pPr>
    </w:p>
    <w:p w:rsidR="00837898" w:rsidRDefault="00537A55">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837898" w:rsidRDefault="00837898">
      <w:pPr>
        <w:spacing w:line="276" w:lineRule="auto"/>
        <w:ind w:left="567" w:right="616"/>
        <w:jc w:val="both"/>
        <w:rPr>
          <w:rFonts w:ascii="Arial" w:hAnsi="Arial" w:cs="Arial"/>
          <w:i/>
          <w:sz w:val="16"/>
          <w:szCs w:val="16"/>
        </w:rPr>
      </w:pPr>
    </w:p>
    <w:p w:rsidR="00837898" w:rsidRDefault="00537A55">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837898" w:rsidRDefault="00837898">
      <w:pPr>
        <w:spacing w:line="276" w:lineRule="auto"/>
        <w:ind w:left="567" w:right="616"/>
        <w:jc w:val="both"/>
        <w:rPr>
          <w:rFonts w:ascii="Arial" w:hAnsi="Arial" w:cs="Arial"/>
          <w:i/>
          <w:sz w:val="16"/>
          <w:szCs w:val="16"/>
        </w:rPr>
      </w:pPr>
    </w:p>
    <w:p w:rsidR="00837898" w:rsidRDefault="00537A55">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837898" w:rsidRDefault="00837898">
      <w:pPr>
        <w:spacing w:line="276" w:lineRule="auto"/>
        <w:ind w:left="567" w:right="616"/>
        <w:jc w:val="both"/>
        <w:rPr>
          <w:rFonts w:ascii="Arial" w:hAnsi="Arial" w:cs="Arial"/>
          <w:i/>
          <w:sz w:val="16"/>
          <w:szCs w:val="16"/>
        </w:rPr>
      </w:pPr>
    </w:p>
    <w:p w:rsidR="00837898" w:rsidRDefault="00837898">
      <w:pPr>
        <w:spacing w:line="276" w:lineRule="auto"/>
        <w:ind w:left="567" w:right="616"/>
        <w:jc w:val="both"/>
        <w:rPr>
          <w:rFonts w:ascii="Arial" w:hAnsi="Arial" w:cs="Arial"/>
          <w:i/>
          <w:sz w:val="16"/>
          <w:szCs w:val="16"/>
        </w:rPr>
      </w:pPr>
    </w:p>
    <w:p w:rsidR="00837898" w:rsidRDefault="00537A55">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837898" w:rsidRDefault="00837898">
      <w:pPr>
        <w:spacing w:line="276" w:lineRule="auto"/>
        <w:ind w:left="567"/>
        <w:jc w:val="both"/>
        <w:rPr>
          <w:rFonts w:ascii="Arial" w:hAnsi="Arial" w:cs="Arial"/>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837898" w:rsidRDefault="00837898">
      <w:pPr>
        <w:spacing w:line="276" w:lineRule="auto"/>
        <w:ind w:left="567" w:right="616"/>
        <w:jc w:val="both"/>
        <w:rPr>
          <w:rFonts w:ascii="Arial" w:hAnsi="Arial" w:cs="Arial"/>
          <w:i/>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837898" w:rsidRDefault="00837898">
      <w:pPr>
        <w:spacing w:line="276" w:lineRule="auto"/>
        <w:ind w:left="567" w:right="616"/>
        <w:jc w:val="both"/>
        <w:rPr>
          <w:rFonts w:ascii="Arial" w:hAnsi="Arial" w:cs="Arial"/>
          <w:i/>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837898" w:rsidRDefault="00837898">
      <w:pPr>
        <w:spacing w:line="276" w:lineRule="auto"/>
        <w:ind w:left="567" w:right="616"/>
        <w:jc w:val="both"/>
        <w:rPr>
          <w:rFonts w:ascii="Arial" w:hAnsi="Arial" w:cs="Arial"/>
          <w:i/>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837898" w:rsidRDefault="00837898">
      <w:pPr>
        <w:spacing w:line="276" w:lineRule="auto"/>
        <w:ind w:left="567" w:right="616"/>
        <w:jc w:val="both"/>
        <w:rPr>
          <w:rFonts w:ascii="Arial" w:hAnsi="Arial" w:cs="Arial"/>
          <w:i/>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837898" w:rsidRDefault="00837898">
      <w:pPr>
        <w:spacing w:line="276" w:lineRule="auto"/>
        <w:ind w:left="567" w:right="616"/>
        <w:jc w:val="both"/>
        <w:rPr>
          <w:rFonts w:ascii="Arial" w:hAnsi="Arial" w:cs="Arial"/>
          <w:i/>
          <w:sz w:val="16"/>
          <w:szCs w:val="16"/>
        </w:rPr>
      </w:pPr>
    </w:p>
    <w:p w:rsidR="00837898" w:rsidRDefault="00537A55">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37898" w:rsidRDefault="00837898">
      <w:pPr>
        <w:pStyle w:val="Prrafodelista"/>
        <w:spacing w:line="276" w:lineRule="auto"/>
        <w:ind w:left="567" w:right="616"/>
        <w:jc w:val="both"/>
        <w:rPr>
          <w:rFonts w:ascii="Arial" w:hAnsi="Arial" w:cs="Arial"/>
          <w:i/>
          <w:sz w:val="16"/>
          <w:szCs w:val="16"/>
        </w:rPr>
      </w:pPr>
    </w:p>
    <w:p w:rsidR="007A4E3C" w:rsidRDefault="007A4E3C">
      <w:pPr>
        <w:pStyle w:val="Prrafodelista"/>
        <w:spacing w:line="276" w:lineRule="auto"/>
        <w:ind w:left="567" w:right="616"/>
        <w:jc w:val="both"/>
        <w:rPr>
          <w:rFonts w:ascii="Arial" w:hAnsi="Arial" w:cs="Arial"/>
          <w:i/>
          <w:sz w:val="16"/>
          <w:szCs w:val="16"/>
        </w:rPr>
      </w:pPr>
    </w:p>
    <w:p w:rsidR="00837898" w:rsidRPr="00537A55" w:rsidRDefault="00537A55" w:rsidP="006E2EDF">
      <w:pPr>
        <w:spacing w:after="200" w:line="276" w:lineRule="auto"/>
        <w:jc w:val="both"/>
        <w:rPr>
          <w:rFonts w:ascii="Arial" w:hAnsi="Arial" w:cs="Arial"/>
        </w:rPr>
      </w:pPr>
      <w:r w:rsidRPr="00537A55">
        <w:rPr>
          <w:rFonts w:ascii="Arial" w:hAnsi="Arial" w:cs="Arial"/>
        </w:rPr>
        <w:t xml:space="preserve">Por lo que se confirma la prueba de daño que realiza el </w:t>
      </w:r>
      <w:r w:rsidRPr="00537A55">
        <w:rPr>
          <w:rFonts w:ascii="Arial" w:hAnsi="Arial" w:cs="Arial"/>
          <w:bCs/>
        </w:rPr>
        <w:t>Licenciado Ricardo Eduardo Escobedo Martínez</w:t>
      </w:r>
      <w:r w:rsidRPr="00537A55">
        <w:rPr>
          <w:rFonts w:ascii="Arial" w:eastAsia="Times New Roman" w:hAnsi="Arial" w:cs="Arial"/>
          <w:bCs/>
          <w:lang w:eastAsia="es-MX"/>
        </w:rPr>
        <w:t xml:space="preserve"> T</w:t>
      </w:r>
      <w:r w:rsidRPr="00537A55">
        <w:rPr>
          <w:rFonts w:ascii="Arial" w:hAnsi="Arial" w:cs="Arial"/>
          <w:bCs/>
        </w:rPr>
        <w:t>itular de la Unidad Especializada en</w:t>
      </w:r>
      <w:r w:rsidR="006E2EDF" w:rsidRPr="00537A55">
        <w:rPr>
          <w:rFonts w:ascii="Arial" w:hAnsi="Arial" w:cs="Arial"/>
          <w:bCs/>
        </w:rPr>
        <w:t xml:space="preserve"> </w:t>
      </w:r>
      <w:r w:rsidRPr="00537A55">
        <w:rPr>
          <w:rFonts w:ascii="Arial" w:hAnsi="Arial" w:cs="Arial"/>
          <w:bCs/>
        </w:rPr>
        <w:t>Homicidios de la Fiscalía General del Estado,</w:t>
      </w:r>
      <w:r w:rsidRPr="00537A55">
        <w:rPr>
          <w:rFonts w:ascii="Arial" w:hAnsi="Arial" w:cs="Arial"/>
        </w:rPr>
        <w:t xml:space="preserve"> debido a que es claro y preciso al citar que </w:t>
      </w:r>
      <w:r w:rsidRPr="00537A55">
        <w:rPr>
          <w:rFonts w:ascii="Arial" w:hAnsi="Arial" w:cs="Arial"/>
          <w:i/>
        </w:rPr>
        <w:t>la divulgación de la información representa un riesgo real, demostrable e identificable, de perjuicio significativo al interés público</w:t>
      </w:r>
      <w:r w:rsidRPr="00537A55">
        <w:rPr>
          <w:rFonts w:ascii="Arial" w:hAnsi="Arial" w:cs="Arial"/>
        </w:rPr>
        <w:t xml:space="preserve">, lo anterior al demostrar que la divulgación de la información </w:t>
      </w:r>
      <w:r w:rsidRPr="00537A55">
        <w:rPr>
          <w:rFonts w:ascii="Arial" w:eastAsia="Times New Roman" w:hAnsi="Arial" w:cs="Arial"/>
          <w:b/>
          <w:lang w:val="es-ES"/>
        </w:rPr>
        <w:t xml:space="preserve">referente </w:t>
      </w:r>
      <w:r w:rsidRPr="00EF3268">
        <w:rPr>
          <w:rFonts w:ascii="Arial" w:hAnsi="Arial" w:cs="Arial"/>
          <w:b/>
        </w:rPr>
        <w:t>a</w:t>
      </w:r>
      <w:r w:rsidR="00EF3268" w:rsidRPr="00EF3268">
        <w:rPr>
          <w:rFonts w:ascii="Arial" w:hAnsi="Arial" w:cs="Arial"/>
          <w:b/>
        </w:rPr>
        <w:t>;</w:t>
      </w:r>
      <w:r w:rsidR="00EF3268">
        <w:rPr>
          <w:rFonts w:ascii="Arial" w:hAnsi="Arial" w:cs="Arial"/>
        </w:rPr>
        <w:t xml:space="preserve"> </w:t>
      </w:r>
      <w:r w:rsidR="00EF3268" w:rsidRPr="00EF3268">
        <w:rPr>
          <w:rFonts w:ascii="Arial" w:hAnsi="Arial" w:cs="Arial"/>
          <w:b/>
        </w:rPr>
        <w:t>l</w:t>
      </w:r>
      <w:r w:rsidR="00EF3268" w:rsidRPr="00EF3268">
        <w:rPr>
          <w:rFonts w:ascii="Arial" w:hAnsi="Arial" w:cs="Arial"/>
          <w:b/>
          <w:bCs/>
        </w:rPr>
        <w:t>as carpetas de investigación de enero del 2018 a 30 de noviembre del 2023 de la Unidad Especializada en Homicidios de la Fiscalía General del Estado de San Luis Potosí que cuenten con la información de; cuántos reportes de emergencia al 911 por la posible comisión del homicidio de una mujer o feminicidio atendieron, detallado entre cuántos fueron por homicidio a mujeres y cuántos por feminicidio; precisar el número de casos en los que detectaron la presencia de algún menor, número de menores detectados, cuántos de los menores fueron hijos o hijas de las víctimas, sexo de cada menor, edad de cada menor, municipio en el que ocurrió cada caso</w:t>
      </w:r>
      <w:r w:rsidRPr="00537A55">
        <w:rPr>
          <w:rFonts w:ascii="Arial" w:eastAsia="Times New Roman" w:hAnsi="Arial" w:cs="Arial"/>
          <w:b/>
          <w:lang w:eastAsia="en-US"/>
        </w:rPr>
        <w:t>,</w:t>
      </w:r>
      <w:r w:rsidRPr="00537A55">
        <w:rPr>
          <w:rFonts w:ascii="Arial" w:eastAsia="Times New Roman" w:hAnsi="Arial" w:cs="Arial"/>
          <w:lang w:eastAsia="es-MX"/>
        </w:rPr>
        <w:t xml:space="preserve"> afectaría </w:t>
      </w:r>
      <w:r w:rsidRPr="00537A55">
        <w:rPr>
          <w:rFonts w:ascii="Arial" w:eastAsia="Times New Roman" w:hAnsi="Arial" w:cs="Arial"/>
          <w:lang w:val="es-ES"/>
        </w:rPr>
        <w:t xml:space="preserve">las acciones de procuración de justicia, los actos de investigación, </w:t>
      </w:r>
      <w:r w:rsidRPr="00537A55">
        <w:rPr>
          <w:rFonts w:ascii="Arial" w:eastAsia="Times New Roman" w:hAnsi="Arial" w:cs="Arial"/>
          <w:lang w:eastAsia="es-MX"/>
        </w:rPr>
        <w:t>la seguridad, el debido proceso, la identidad, domicilio,</w:t>
      </w:r>
      <w:r w:rsidRPr="00537A55">
        <w:rPr>
          <w:rFonts w:ascii="Arial" w:eastAsia="Times New Roman" w:hAnsi="Arial" w:cs="Arial"/>
          <w:lang w:val="es-ES"/>
        </w:rPr>
        <w:t xml:space="preserve"> intimidad y dignidad de las personas que son sujetas de procedimiento penal y además a quienes tienen la calidad de víctimas tanto directas como indirectas, y de acusados o indiciados ya que además son asuntos que aún no han concluido, es decir, no cuentan con resoluciones ejecutoriadas, poniendo además en riesgo el debido proceso</w:t>
      </w:r>
      <w:r w:rsidRPr="00537A55">
        <w:rPr>
          <w:rFonts w:ascii="Arial" w:eastAsia="Times New Roman" w:hAnsi="Arial" w:cs="Arial"/>
        </w:rPr>
        <w:t xml:space="preserve">, </w:t>
      </w:r>
      <w:r w:rsidRPr="00537A55">
        <w:rPr>
          <w:rFonts w:ascii="Arial" w:hAnsi="Arial" w:cs="Arial"/>
        </w:rPr>
        <w:t xml:space="preserve"> consecuentemente forma parte de los actos de investigación, y a la cual solamente pueden acceder las personas legitimadas para ello, es decir, los sujetos del procedimiento penal, lo que resulta acorde con lo establecido en el artículo </w:t>
      </w:r>
      <w:r w:rsidRPr="00537A55">
        <w:rPr>
          <w:rFonts w:ascii="Arial" w:hAnsi="Arial" w:cs="Arial"/>
          <w:b/>
        </w:rPr>
        <w:t>105, 106 y 218 del Código Nacional de Procedimientos Penales</w:t>
      </w:r>
      <w:r w:rsidRPr="00537A55">
        <w:rPr>
          <w:rFonts w:ascii="Arial" w:hAnsi="Arial" w:cs="Arial"/>
        </w:rPr>
        <w:t>.</w:t>
      </w:r>
    </w:p>
    <w:p w:rsidR="00837898" w:rsidRPr="00537A55" w:rsidRDefault="00837898">
      <w:pPr>
        <w:autoSpaceDE w:val="0"/>
        <w:autoSpaceDN w:val="0"/>
        <w:adjustRightInd w:val="0"/>
        <w:spacing w:line="276" w:lineRule="auto"/>
        <w:jc w:val="both"/>
        <w:rPr>
          <w:rFonts w:ascii="Arial" w:eastAsia="Times New Roman" w:hAnsi="Arial" w:cs="Arial"/>
          <w:color w:val="231F20"/>
        </w:rPr>
      </w:pPr>
    </w:p>
    <w:p w:rsidR="00837898" w:rsidRPr="00537A55" w:rsidRDefault="00537A55">
      <w:pPr>
        <w:autoSpaceDE w:val="0"/>
        <w:autoSpaceDN w:val="0"/>
        <w:adjustRightInd w:val="0"/>
        <w:spacing w:line="276" w:lineRule="auto"/>
        <w:jc w:val="both"/>
        <w:rPr>
          <w:rFonts w:ascii="Arial" w:hAnsi="Arial" w:cs="Arial"/>
        </w:rPr>
      </w:pPr>
      <w:r w:rsidRPr="00537A55">
        <w:rPr>
          <w:rFonts w:ascii="Arial" w:eastAsia="Times New Roman" w:hAnsi="Arial" w:cs="Arial"/>
          <w:color w:val="231F20"/>
        </w:rPr>
        <w:t xml:space="preserve">Se considera acertada la determinación realizada por </w:t>
      </w:r>
      <w:r w:rsidRPr="00537A55">
        <w:rPr>
          <w:rFonts w:ascii="Arial" w:hAnsi="Arial" w:cs="Arial"/>
        </w:rPr>
        <w:t xml:space="preserve">lo que se confirma la prueba de daño que realiza el </w:t>
      </w:r>
      <w:r w:rsidRPr="00537A55">
        <w:rPr>
          <w:rFonts w:ascii="Arial" w:hAnsi="Arial" w:cs="Arial"/>
          <w:bCs/>
        </w:rPr>
        <w:t>Licenciado Ricardo Eduardo Escobedo Martínez</w:t>
      </w:r>
      <w:r w:rsidRPr="00537A55">
        <w:rPr>
          <w:rFonts w:ascii="Arial" w:eastAsia="Times New Roman" w:hAnsi="Arial" w:cs="Arial"/>
          <w:bCs/>
          <w:lang w:eastAsia="es-MX"/>
        </w:rPr>
        <w:t xml:space="preserve"> T</w:t>
      </w:r>
      <w:r w:rsidRPr="00537A55">
        <w:rPr>
          <w:rFonts w:ascii="Arial" w:hAnsi="Arial" w:cs="Arial"/>
          <w:bCs/>
        </w:rPr>
        <w:t>itular de la Unidad Especializada en Homicidios de la Fiscalía General del Estado</w:t>
      </w:r>
      <w:r w:rsidRPr="00537A55">
        <w:rPr>
          <w:rFonts w:ascii="Arial" w:eastAsia="Times New Roman" w:hAnsi="Arial" w:cs="Arial"/>
          <w:b/>
          <w:lang w:eastAsia="en-US"/>
        </w:rPr>
        <w:t xml:space="preserve">, </w:t>
      </w:r>
      <w:r w:rsidRPr="00537A55">
        <w:rPr>
          <w:rFonts w:ascii="Arial" w:eastAsia="Times New Roman" w:hAnsi="Arial" w:cs="Arial"/>
          <w:color w:val="231F20"/>
        </w:rPr>
        <w:t>que al realizar la divulgación de la información que se reserva es fundada y motivada</w:t>
      </w:r>
      <w:r w:rsidRPr="00537A55">
        <w:rPr>
          <w:rFonts w:ascii="Arial" w:eastAsia="Times New Roman" w:hAnsi="Arial" w:cs="Arial"/>
        </w:rPr>
        <w:t xml:space="preserve">, </w:t>
      </w:r>
      <w:r w:rsidR="004C0F6D">
        <w:rPr>
          <w:rFonts w:ascii="Arial" w:eastAsia="Times New Roman" w:hAnsi="Arial" w:cs="Arial"/>
        </w:rPr>
        <w:t xml:space="preserve"> </w:t>
      </w:r>
      <w:r w:rsidRPr="00537A55">
        <w:rPr>
          <w:rFonts w:ascii="Arial" w:eastAsia="Times New Roman" w:hAnsi="Arial" w:cs="Arial"/>
        </w:rPr>
        <w:t xml:space="preserve">pues el dar a conocer </w:t>
      </w:r>
      <w:r w:rsidRPr="00537A55">
        <w:rPr>
          <w:rFonts w:ascii="Arial" w:hAnsi="Arial" w:cs="Arial"/>
        </w:rPr>
        <w:t>la información</w:t>
      </w:r>
      <w:r w:rsidR="00EF3268">
        <w:rPr>
          <w:rFonts w:ascii="Arial" w:hAnsi="Arial" w:cs="Arial"/>
        </w:rPr>
        <w:t xml:space="preserve"> que se reserva</w:t>
      </w:r>
      <w:r w:rsidRPr="00537A55">
        <w:rPr>
          <w:rFonts w:ascii="Arial" w:eastAsia="Times New Roman" w:hAnsi="Arial" w:cs="Arial"/>
        </w:rPr>
        <w:t xml:space="preserve">, la delincuencia organizada podría determinar la ubicación de las personas y los datos personales que la ciudadanía deposita en este sujeto obligado, lo que se traduce en un perjuicio para el interés público ya que sería </w:t>
      </w:r>
      <w:proofErr w:type="spellStart"/>
      <w:r w:rsidRPr="00537A55">
        <w:rPr>
          <w:rFonts w:ascii="Arial" w:eastAsia="Times New Roman" w:hAnsi="Arial" w:cs="Arial"/>
        </w:rPr>
        <w:t>divulgarar</w:t>
      </w:r>
      <w:proofErr w:type="spellEnd"/>
      <w:r w:rsidRPr="00537A55">
        <w:rPr>
          <w:rFonts w:ascii="Arial" w:eastAsia="Times New Roman" w:hAnsi="Arial" w:cs="Arial"/>
        </w:rPr>
        <w:t xml:space="preserve"> información que no </w:t>
      </w:r>
      <w:r w:rsidRPr="00537A55">
        <w:rPr>
          <w:rFonts w:ascii="Arial" w:eastAsia="Times New Roman" w:hAnsi="Arial" w:cs="Arial"/>
        </w:rPr>
        <w:lastRenderedPageBreak/>
        <w:t>fue depositada para esos fines, además de ser violentados entorpecería los procedimientos que se llevan, la seguridad pública y la paz social, pues quebrantaría la procuración de justicia.</w:t>
      </w:r>
      <w:r w:rsidR="004C0F6D">
        <w:rPr>
          <w:rFonts w:ascii="Arial" w:eastAsia="Times New Roman" w:hAnsi="Arial" w:cs="Arial"/>
        </w:rPr>
        <w:t xml:space="preserve"> Por lo que el hacer públic</w:t>
      </w:r>
      <w:r w:rsidRPr="00537A55">
        <w:rPr>
          <w:rFonts w:ascii="Arial" w:hAnsi="Arial" w:cs="Arial"/>
        </w:rPr>
        <w:t>a</w:t>
      </w:r>
      <w:r w:rsidR="004C0F6D">
        <w:rPr>
          <w:rFonts w:ascii="Arial" w:hAnsi="Arial" w:cs="Arial"/>
        </w:rPr>
        <w:t xml:space="preserve"> dicha información, </w:t>
      </w:r>
      <w:r w:rsidRPr="00537A55">
        <w:rPr>
          <w:rFonts w:ascii="Arial" w:hAnsi="Arial" w:cs="Arial"/>
        </w:rPr>
        <w:t>pone en riesgo la vida privada, intimidad y dignidad de las personas que son sujetas de procedimiento penal y que son asuntos que aún no han concluido, es decir, no cuentan con resoluciones ejecutoriadas, poniendo además en riesgo</w:t>
      </w:r>
      <w:r>
        <w:rPr>
          <w:rFonts w:ascii="Arial" w:hAnsi="Arial" w:cs="Arial"/>
        </w:rPr>
        <w:t xml:space="preserve"> </w:t>
      </w:r>
      <w:r w:rsidRPr="00537A55">
        <w:rPr>
          <w:rFonts w:ascii="Arial" w:hAnsi="Arial" w:cs="Arial"/>
        </w:rPr>
        <w:t>el debido proceso y 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rsidR="00837898" w:rsidRDefault="00837898">
      <w:pPr>
        <w:autoSpaceDE w:val="0"/>
        <w:autoSpaceDN w:val="0"/>
        <w:adjustRightInd w:val="0"/>
        <w:jc w:val="both"/>
        <w:rPr>
          <w:rFonts w:ascii="Arial" w:hAnsi="Arial" w:cs="Arial"/>
        </w:rPr>
      </w:pPr>
    </w:p>
    <w:p w:rsidR="00EF3268" w:rsidRPr="00EF3268" w:rsidRDefault="00EF3268" w:rsidP="00EF3268">
      <w:pPr>
        <w:spacing w:line="276" w:lineRule="auto"/>
        <w:jc w:val="both"/>
        <w:rPr>
          <w:rFonts w:ascii="Arial" w:hAnsi="Arial" w:cs="Arial"/>
        </w:rPr>
      </w:pPr>
      <w:r w:rsidRPr="00EF3268">
        <w:rPr>
          <w:rFonts w:ascii="Arial" w:hAnsi="Arial" w:cs="Arial"/>
        </w:rPr>
        <w:t>Aunado a lo anterior, se tiene que en cada Municipio existe un número reducido del delito de homicidio de una mujer o Feminicidios en el que en algunos municipios existe únicamente uno o dos casos, esta información va reduciendo el campo de estudio para los grupos delictivos, aunado a las notas informativas que brinda distintos medios a la ciudadanía, con lo que sería de fácil identificación la investigación, y las partes involucradas, y al saber el parentesco que tiene la víctima con la persona que tiene  su resguardo, sería de fácil ubicación, dejándolos en un claro estado de vulnerabilidad.</w:t>
      </w:r>
    </w:p>
    <w:p w:rsidR="00EF3268" w:rsidRDefault="00EF3268" w:rsidP="00EF3268">
      <w:pPr>
        <w:autoSpaceDE w:val="0"/>
        <w:autoSpaceDN w:val="0"/>
        <w:adjustRightInd w:val="0"/>
        <w:spacing w:line="276" w:lineRule="auto"/>
        <w:jc w:val="both"/>
        <w:rPr>
          <w:rFonts w:ascii="Arial" w:hAnsi="Arial" w:cs="Arial"/>
        </w:rPr>
      </w:pPr>
    </w:p>
    <w:p w:rsidR="00837898" w:rsidRPr="00537A55" w:rsidRDefault="00537A55">
      <w:pPr>
        <w:spacing w:after="200" w:line="276" w:lineRule="auto"/>
        <w:jc w:val="both"/>
        <w:rPr>
          <w:rFonts w:ascii="Arial" w:eastAsia="Times New Roman" w:hAnsi="Arial" w:cs="Arial"/>
        </w:rPr>
      </w:pPr>
      <w:r w:rsidRPr="00537A55">
        <w:rPr>
          <w:rFonts w:ascii="Arial" w:eastAsia="Times New Roman" w:hAnsi="Arial" w:cs="Arial"/>
        </w:rPr>
        <w:t xml:space="preserve">De igual manera </w:t>
      </w:r>
      <w:r w:rsidRPr="00537A55">
        <w:rPr>
          <w:rFonts w:ascii="Arial" w:eastAsia="Times New Roman" w:hAnsi="Arial" w:cs="Arial"/>
          <w:bCs/>
          <w:lang w:eastAsia="es-MX"/>
        </w:rPr>
        <w:t>T</w:t>
      </w:r>
      <w:r w:rsidRPr="00537A55">
        <w:rPr>
          <w:rFonts w:ascii="Arial" w:hAnsi="Arial" w:cs="Arial"/>
          <w:bCs/>
        </w:rPr>
        <w:t>itular de la Unidad Especializada en Homicidios de la Fiscalía General del Estado</w:t>
      </w:r>
      <w:r w:rsidRPr="00537A55">
        <w:rPr>
          <w:rFonts w:ascii="Arial" w:eastAsia="Times New Roman" w:hAnsi="Arial" w:cs="Arial"/>
          <w:b/>
          <w:lang w:eastAsia="en-US"/>
        </w:rPr>
        <w:t xml:space="preserve">, </w:t>
      </w:r>
      <w:r w:rsidR="004C0F6D" w:rsidRPr="004C0F6D">
        <w:rPr>
          <w:rFonts w:ascii="Arial" w:eastAsia="Times New Roman" w:hAnsi="Arial" w:cs="Arial"/>
          <w:lang w:eastAsia="en-US"/>
        </w:rPr>
        <w:t>manifiesta</w:t>
      </w:r>
      <w:r w:rsidRPr="00537A55">
        <w:rPr>
          <w:rFonts w:ascii="Arial" w:eastAsia="Times New Roman" w:hAnsi="Arial" w:cs="Arial"/>
          <w:b/>
          <w:lang w:eastAsia="en-US"/>
        </w:rPr>
        <w:t xml:space="preserve"> </w:t>
      </w:r>
      <w:r w:rsidRPr="00537A55">
        <w:rPr>
          <w:rFonts w:ascii="Arial" w:eastAsia="Times New Roman" w:hAnsi="Arial" w:cs="Arial"/>
        </w:rPr>
        <w:t xml:space="preserve">que los registros de investigación contienen datos que involucra información personal, no sólo de las víctimas sino de la persona responsable, por lo que al revelar en la información </w:t>
      </w:r>
      <w:r w:rsidR="00EF3268">
        <w:rPr>
          <w:rFonts w:ascii="Arial" w:eastAsia="Times New Roman" w:hAnsi="Arial" w:cs="Arial"/>
        </w:rPr>
        <w:t>que nos ocupan,</w:t>
      </w:r>
      <w:r w:rsidRPr="00537A55">
        <w:rPr>
          <w:rFonts w:ascii="Arial" w:hAnsi="Arial" w:cs="Arial"/>
        </w:rPr>
        <w:t xml:space="preserve"> </w:t>
      </w:r>
      <w:r w:rsidRPr="00537A55">
        <w:rPr>
          <w:rFonts w:ascii="Arial" w:eastAsia="Times New Roman" w:hAnsi="Arial" w:cs="Arial"/>
        </w:rPr>
        <w:t xml:space="preserve">puede generar una motivación criminal en diversas personas, máxime cuando los agresores se encuentran sujetos a procedimientos  y entonces sugeriría la posibilidad de generar diversas conductas de las personas que han intervenido en las indagatorias sean en su carácter de víctimas, ofendidos, testigos, agentes policiales y de investigación, peritos, y presuntos responsables en contra de quienes se pudiese cometer en su agravio actos de violencias, por lo que la reserva de información supera el interés público general de que se difunda. Y </w:t>
      </w:r>
      <w:r>
        <w:rPr>
          <w:rFonts w:ascii="Arial" w:eastAsia="Times New Roman" w:hAnsi="Arial" w:cs="Arial"/>
        </w:rPr>
        <w:t xml:space="preserve"> la </w:t>
      </w:r>
      <w:r w:rsidRPr="00537A55">
        <w:rPr>
          <w:rFonts w:ascii="Arial" w:eastAsia="Times New Roman" w:hAnsi="Arial" w:cs="Arial"/>
        </w:rPr>
        <w:t>unidad debe además de vigilar el estricto apego a los derechos de los niños, niñas y adolescentes, víctimas indirectas de todo delito, cuyos datos deben ser protegidos.</w:t>
      </w:r>
    </w:p>
    <w:p w:rsidR="00837898" w:rsidRDefault="00537A55">
      <w:pPr>
        <w:autoSpaceDE w:val="0"/>
        <w:autoSpaceDN w:val="0"/>
        <w:adjustRightInd w:val="0"/>
        <w:spacing w:line="276" w:lineRule="auto"/>
        <w:jc w:val="both"/>
        <w:rPr>
          <w:rFonts w:ascii="Arial" w:eastAsia="Times New Roman" w:hAnsi="Arial" w:cs="Arial"/>
        </w:rPr>
      </w:pPr>
      <w:r>
        <w:rPr>
          <w:rFonts w:ascii="Arial" w:eastAsia="Times New Roman" w:hAnsi="Arial" w:cs="Arial"/>
        </w:rPr>
        <w:lastRenderedPageBreak/>
        <w:t xml:space="preserve">Resultando acertado que la Ley del Sistema de Seguridad Pública estatal que rige al personal cuya información se busca reservar, la clasifica como reservada en su Artículo 93 Bis, en tanto que sus artículos 97 y  98 enfatiza que “bajo ninguna circunstancia deberá proporcionarse a terceros información contenida en los sistemas”, contemplando además procedimientos de responsabilidad o penal, según corresponda, y sanciones de acuerdo con las disposiciones previstas en la legislación penal aplicable, al servidor público que quebrante la reserva del Registro, o proporcione información sobre el mismo. </w:t>
      </w:r>
    </w:p>
    <w:p w:rsidR="00837898" w:rsidRDefault="00837898">
      <w:pPr>
        <w:spacing w:line="276" w:lineRule="auto"/>
        <w:jc w:val="both"/>
        <w:rPr>
          <w:rFonts w:ascii="Arial" w:eastAsia="Times New Roman" w:hAnsi="Arial" w:cs="Arial"/>
        </w:rPr>
      </w:pPr>
    </w:p>
    <w:p w:rsidR="00837898" w:rsidRDefault="00537A55">
      <w:pPr>
        <w:spacing w:after="200" w:line="276" w:lineRule="auto"/>
        <w:jc w:val="both"/>
        <w:rPr>
          <w:rFonts w:ascii="Arial" w:eastAsia="Times New Roman" w:hAnsi="Arial" w:cs="Arial"/>
        </w:rPr>
      </w:pPr>
      <w:r>
        <w:rPr>
          <w:rFonts w:ascii="Arial" w:eastAsia="Times New Roman" w:hAnsi="Arial" w:cs="Arial"/>
        </w:rPr>
        <w:t xml:space="preserve">En ese orden de ideas, la </w:t>
      </w:r>
      <w:r>
        <w:rPr>
          <w:rFonts w:ascii="Arial" w:hAnsi="Arial" w:cs="Arial"/>
        </w:rPr>
        <w:t>Unidad Especializada en Homicidios de la Fiscalía General del Estado de San Luis Potosí</w:t>
      </w:r>
      <w:r>
        <w:rPr>
          <w:rFonts w:ascii="Arial" w:eastAsia="Times New Roman" w:hAnsi="Arial" w:cs="Arial"/>
          <w:b/>
          <w:lang w:eastAsia="en-US"/>
        </w:rPr>
        <w:t xml:space="preserve">, justifica </w:t>
      </w:r>
      <w:r>
        <w:rPr>
          <w:rFonts w:ascii="Arial" w:eastAsia="Times New Roman" w:hAnsi="Arial" w:cs="Arial"/>
        </w:rPr>
        <w:t>que la reserva de información que se realiza, se adecúa al principio de proporcionalidad y representa el medio menos restrictivo esto es así debido a que de ser entregada se daría a conocer la información personal de los ciudadanos que depositaron su información a este sujeto obligado con un fin distinto, aunado a que los mismos datos pueden ser utilizados por la delincuencia organizada, o bien se puede entorpecer las investigaciones  y la procuración de justicia, acciones preponderantes de esta autoridad.</w:t>
      </w:r>
    </w:p>
    <w:p w:rsidR="00837898" w:rsidRDefault="00537A55" w:rsidP="00537A55">
      <w:pPr>
        <w:spacing w:after="200" w:line="276" w:lineRule="auto"/>
        <w:jc w:val="both"/>
        <w:rPr>
          <w:rFonts w:ascii="Arial" w:eastAsia="Times New Roman" w:hAnsi="Arial" w:cs="Arial"/>
        </w:rPr>
      </w:pPr>
      <w:r w:rsidRPr="00537A55">
        <w:rPr>
          <w:rFonts w:ascii="Arial" w:eastAsia="Times New Roman" w:hAnsi="Arial" w:cs="Arial"/>
        </w:rPr>
        <w:t xml:space="preserve">Como lo precisa el </w:t>
      </w:r>
      <w:r w:rsidRPr="00537A55">
        <w:rPr>
          <w:rFonts w:ascii="Arial" w:eastAsia="Times New Roman" w:hAnsi="Arial" w:cs="Arial"/>
          <w:bCs/>
          <w:lang w:eastAsia="es-MX"/>
        </w:rPr>
        <w:t>T</w:t>
      </w:r>
      <w:r w:rsidRPr="00537A55">
        <w:rPr>
          <w:rFonts w:ascii="Arial" w:hAnsi="Arial" w:cs="Arial"/>
          <w:bCs/>
        </w:rPr>
        <w:t>itular de la Unidad Especializada en Homicidios de la Fiscalía General del Estado</w:t>
      </w:r>
      <w:r w:rsidRPr="00537A55">
        <w:rPr>
          <w:rFonts w:ascii="Arial" w:eastAsia="Times New Roman" w:hAnsi="Arial" w:cs="Arial"/>
          <w:b/>
          <w:lang w:eastAsia="en-US"/>
        </w:rPr>
        <w:t>,</w:t>
      </w:r>
      <w:r w:rsidRPr="00537A55">
        <w:rPr>
          <w:rFonts w:ascii="Arial" w:eastAsia="Times New Roman" w:hAnsi="Arial" w:cs="Arial"/>
        </w:rPr>
        <w:t xml:space="preserve"> el riesgo o amenaza es especulativa partiendo que esto significa que no se requiere la demostración actual o inminente de daño, aunado a que los datos </w:t>
      </w:r>
      <w:r w:rsidR="00EF3268">
        <w:rPr>
          <w:rFonts w:ascii="Arial" w:eastAsia="Times New Roman" w:hAnsi="Arial" w:cs="Arial"/>
        </w:rPr>
        <w:t xml:space="preserve"> resguardados </w:t>
      </w:r>
      <w:r w:rsidRPr="00537A55">
        <w:rPr>
          <w:rFonts w:ascii="Arial" w:eastAsia="Times New Roman" w:hAnsi="Arial" w:cs="Arial"/>
        </w:rPr>
        <w:t xml:space="preserve">contenidos en </w:t>
      </w:r>
      <w:r w:rsidRPr="00537A55">
        <w:rPr>
          <w:rFonts w:ascii="Arial" w:hAnsi="Arial" w:cs="Arial"/>
          <w:b/>
          <w:bCs/>
        </w:rPr>
        <w:t>las carpetas de investigación de enero 2018 a 30 de noviembre 2023,</w:t>
      </w:r>
      <w:r w:rsidRPr="00537A55">
        <w:rPr>
          <w:rFonts w:ascii="Arial" w:eastAsia="Times New Roman" w:hAnsi="Arial" w:cs="Arial"/>
          <w:b/>
          <w:bCs/>
          <w:lang w:val="es-ES"/>
        </w:rPr>
        <w:t xml:space="preserve"> </w:t>
      </w:r>
      <w:r w:rsidRPr="00537A55">
        <w:rPr>
          <w:rFonts w:ascii="Arial" w:hAnsi="Arial" w:cs="Arial"/>
          <w:b/>
          <w:bCs/>
        </w:rPr>
        <w:t>de la Unidad Especializada en Homicidios de la Fiscalía General del Estado de San Luis Potos</w:t>
      </w:r>
      <w:r w:rsidRPr="00537A55">
        <w:rPr>
          <w:rFonts w:ascii="Arial" w:hAnsi="Arial" w:cs="Arial"/>
          <w:b/>
        </w:rPr>
        <w:t>í</w:t>
      </w:r>
      <w:r>
        <w:rPr>
          <w:rFonts w:ascii="Arial" w:hAnsi="Arial" w:cs="Arial"/>
          <w:b/>
        </w:rPr>
        <w:t xml:space="preserve">, </w:t>
      </w:r>
      <w:r w:rsidRPr="00537A55">
        <w:rPr>
          <w:rFonts w:ascii="Arial" w:eastAsia="Times New Roman" w:hAnsi="Arial" w:cs="Arial"/>
        </w:rPr>
        <w:t>devienen de asuntos tratados en un proceso deliberativo que a la fecha no ha finalizado.</w:t>
      </w:r>
    </w:p>
    <w:p w:rsidR="007A4E3C" w:rsidRPr="00537A55" w:rsidRDefault="007A4E3C" w:rsidP="00537A55">
      <w:pPr>
        <w:spacing w:after="200" w:line="276" w:lineRule="auto"/>
        <w:jc w:val="both"/>
        <w:rPr>
          <w:rFonts w:ascii="Arial" w:eastAsia="Times New Roman" w:hAnsi="Arial" w:cs="Arial"/>
        </w:rPr>
      </w:pPr>
    </w:p>
    <w:p w:rsidR="00837898" w:rsidRDefault="00537A55">
      <w:pPr>
        <w:autoSpaceDE w:val="0"/>
        <w:autoSpaceDN w:val="0"/>
        <w:adjustRightInd w:val="0"/>
        <w:spacing w:line="276" w:lineRule="auto"/>
        <w:jc w:val="both"/>
        <w:rPr>
          <w:rFonts w:ascii="Arial" w:eastAsia="Times New Roman" w:hAnsi="Arial" w:cs="Arial"/>
          <w:bCs/>
        </w:rPr>
      </w:pPr>
      <w:r>
        <w:rPr>
          <w:rFonts w:ascii="Arial" w:eastAsia="Times New Roman" w:hAnsi="Arial" w:cs="Arial"/>
        </w:rPr>
        <w:t xml:space="preserve">Con la reserva de la información </w:t>
      </w:r>
      <w:r>
        <w:rPr>
          <w:rFonts w:ascii="Arial" w:hAnsi="Arial" w:cs="Arial"/>
        </w:rPr>
        <w:t>la Unidad Especializada en Homicidios de la Fiscalía General del Estado</w:t>
      </w:r>
      <w:r>
        <w:rPr>
          <w:rFonts w:ascii="Arial" w:eastAsia="Times New Roman" w:hAnsi="Arial" w:cs="Arial"/>
          <w:b/>
          <w:lang w:eastAsia="en-US"/>
        </w:rPr>
        <w:t>,</w:t>
      </w:r>
      <w:r>
        <w:rPr>
          <w:rFonts w:ascii="Arial" w:eastAsia="Times New Roman" w:hAnsi="Arial" w:cs="Arial"/>
        </w:rPr>
        <w:t xml:space="preserve"> privilegia que la garantía y tutela de derechos humanos con los que cuentan las Victimas indirectas, como los son, la seguridad jurídica, el derecho a la intimidad y a la privacidad, consagrado en el artículo 15 del Código Nacional de Procedimientos Penales y en lo establecido en el artículo 16 párrafo segundo de la Constitución Política de los Estados Unidos Mexicanos Considerando, además, que, cualquier dato de prueba que forme parte de una carpeta de investigación que ostente en su cargo el Ministerio Público, es reservada para toda persona, por lo menos mientras dura la investigación o un proceso inicial </w:t>
      </w:r>
      <w:r>
        <w:rPr>
          <w:rFonts w:ascii="Arial" w:eastAsia="Times New Roman" w:hAnsi="Arial" w:cs="Arial"/>
        </w:rPr>
        <w:lastRenderedPageBreak/>
        <w:t xml:space="preserve">y ante órgano jurisdiccional. </w:t>
      </w:r>
      <w:r>
        <w:rPr>
          <w:rFonts w:ascii="Arial" w:eastAsia="Times New Roman" w:hAnsi="Arial" w:cs="Arial"/>
          <w:bCs/>
        </w:rPr>
        <w:t xml:space="preserve">Por lo que la reserva parcial de información representa el medio menos restrictivo para evitar el perjuicio de imposible reparación. </w:t>
      </w:r>
    </w:p>
    <w:p w:rsidR="007A4E3C" w:rsidRDefault="007A4E3C">
      <w:pPr>
        <w:autoSpaceDE w:val="0"/>
        <w:autoSpaceDN w:val="0"/>
        <w:adjustRightInd w:val="0"/>
        <w:spacing w:line="276" w:lineRule="auto"/>
        <w:jc w:val="both"/>
        <w:rPr>
          <w:rFonts w:ascii="Arial" w:eastAsia="Times New Roman" w:hAnsi="Arial" w:cs="Arial"/>
          <w:bCs/>
        </w:rPr>
      </w:pPr>
    </w:p>
    <w:p w:rsidR="00837898" w:rsidRDefault="00837898">
      <w:pPr>
        <w:autoSpaceDE w:val="0"/>
        <w:autoSpaceDN w:val="0"/>
        <w:adjustRightInd w:val="0"/>
        <w:spacing w:line="276" w:lineRule="auto"/>
        <w:jc w:val="both"/>
        <w:rPr>
          <w:rFonts w:ascii="Arial" w:eastAsia="Times New Roman" w:hAnsi="Arial" w:cs="Arial"/>
          <w:bCs/>
        </w:rPr>
      </w:pPr>
    </w:p>
    <w:p w:rsidR="00837898" w:rsidRDefault="00537A55">
      <w:pPr>
        <w:spacing w:after="101" w:line="276" w:lineRule="auto"/>
        <w:jc w:val="both"/>
        <w:rPr>
          <w:rFonts w:ascii="Arial" w:eastAsia="Times New Roman" w:hAnsi="Arial" w:cs="Arial"/>
          <w:lang w:val="es-ES"/>
        </w:rPr>
      </w:pPr>
      <w:r>
        <w:rPr>
          <w:rFonts w:ascii="Arial" w:eastAsia="Times New Roman" w:hAnsi="Arial" w:cs="Arial"/>
          <w:bCs/>
        </w:rPr>
        <w:t>Correctamente l</w:t>
      </w:r>
      <w:r>
        <w:rPr>
          <w:rFonts w:ascii="Arial" w:hAnsi="Arial" w:cs="Arial"/>
        </w:rPr>
        <w:t>a Unidad Especializada en Homicidios de la Fiscalía General del Estado de San Luis Potosí</w:t>
      </w:r>
      <w:r>
        <w:rPr>
          <w:rFonts w:ascii="Arial" w:eastAsia="Times New Roman" w:hAnsi="Arial" w:cs="Arial"/>
          <w:b/>
          <w:lang w:eastAsia="en-US"/>
        </w:rPr>
        <w:t xml:space="preserve">, </w:t>
      </w:r>
      <w:r w:rsidRPr="00537A55">
        <w:rPr>
          <w:rFonts w:ascii="Arial" w:eastAsia="Times New Roman" w:hAnsi="Arial" w:cs="Arial"/>
          <w:lang w:eastAsia="en-US"/>
        </w:rPr>
        <w:t>da</w:t>
      </w:r>
      <w:r>
        <w:rPr>
          <w:rFonts w:ascii="Arial" w:eastAsia="Times New Roman" w:hAnsi="Arial" w:cs="Arial"/>
          <w:bCs/>
        </w:rPr>
        <w:t xml:space="preserve"> cumplimiento a los </w:t>
      </w:r>
      <w:r w:rsidRPr="00537A55">
        <w:rPr>
          <w:rFonts w:ascii="Arial" w:eastAsia="Times New Roman" w:hAnsi="Arial" w:cs="Arial"/>
          <w:b/>
        </w:rPr>
        <w:t xml:space="preserve">Lineamientos Generales en Materia de Clasificación y Desclasificación de la Información, que establece en el </w:t>
      </w:r>
      <w:r w:rsidRPr="00537A55">
        <w:rPr>
          <w:rFonts w:ascii="Arial" w:eastAsia="Times New Roman" w:hAnsi="Arial" w:cs="Arial"/>
          <w:b/>
          <w:bCs/>
        </w:rPr>
        <w:t xml:space="preserve">numeral Trigésimo tercero fracción IV. realizando </w:t>
      </w:r>
      <w:r w:rsidRPr="00537A55">
        <w:rPr>
          <w:rFonts w:ascii="Arial" w:eastAsia="Times New Roman" w:hAnsi="Arial" w:cs="Arial"/>
          <w:b/>
          <w:lang w:val="es-ES"/>
        </w:rPr>
        <w:t>una ponderación de derechos</w:t>
      </w:r>
      <w:r>
        <w:rPr>
          <w:rFonts w:ascii="Arial" w:eastAsia="Times New Roman" w:hAnsi="Arial" w:cs="Arial"/>
        </w:rPr>
        <w:t xml:space="preserve"> considerando que </w:t>
      </w:r>
      <w:r>
        <w:rPr>
          <w:rFonts w:ascii="Arial" w:eastAsia="Times New Roman" w:hAnsi="Arial" w:cs="Arial"/>
          <w:lang w:val="es-ES"/>
        </w:rPr>
        <w:t xml:space="preserv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se analiza la proporcionalidad entre la invasión que pudiera ocasionarse por la divulgación de información y el interés público de la información. </w:t>
      </w:r>
      <w:r>
        <w:rPr>
          <w:rFonts w:ascii="Arial" w:eastAsia="Times New Roman" w:hAnsi="Arial" w:cs="Arial"/>
        </w:rPr>
        <w:t xml:space="preserve"> Que e</w:t>
      </w:r>
      <w:r>
        <w:rPr>
          <w:rFonts w:ascii="Arial" w:eastAsia="Times New Roman" w:hAnsi="Arial" w:cs="Arial"/>
          <w:lang w:val="es-ES"/>
        </w:rPr>
        <w:t>l Acceso a la Información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837898" w:rsidRDefault="00537A55">
      <w:pPr>
        <w:spacing w:line="276" w:lineRule="auto"/>
        <w:jc w:val="both"/>
        <w:rPr>
          <w:rFonts w:ascii="Arial" w:eastAsia="Times New Roman" w:hAnsi="Arial" w:cs="Arial"/>
          <w:lang w:val="es-ES"/>
        </w:rPr>
      </w:pPr>
      <w:r>
        <w:rPr>
          <w:rFonts w:ascii="Arial" w:eastAsia="Times New Roman" w:hAnsi="Arial" w:cs="Arial"/>
        </w:rPr>
        <w:t>De dicha ponderación correctamente advierte que</w:t>
      </w:r>
      <w:r>
        <w:rPr>
          <w:rFonts w:ascii="Arial" w:eastAsia="Times New Roman" w:hAnsi="Arial" w:cs="Arial"/>
          <w:lang w:val="es-ES"/>
        </w:rPr>
        <w:t xml:space="preserve"> entre la reserva de información y el acceso a la información, prevalece la medida restrictiva realizada, lo anterior es así debido a que si bien es cierto el acceso a la información es un derecho humano, este tiene sus excepciones las cuales se encuentran plenamente establecidas en la  ley de transparencia estatal, y que en el caso aplica la información reservada, debido a que con  la información que se reserva  se pretende resguardar </w:t>
      </w:r>
      <w:r>
        <w:rPr>
          <w:rFonts w:ascii="Arial" w:eastAsia="Times New Roman" w:hAnsi="Arial" w:cs="Arial"/>
          <w:lang w:eastAsia="es-MX"/>
        </w:rPr>
        <w:t>la vida, la seguridad, el debido proceso, la identidad, domicilio,</w:t>
      </w:r>
      <w:r>
        <w:rPr>
          <w:rFonts w:ascii="Arial" w:eastAsia="Times New Roman" w:hAnsi="Arial" w:cs="Arial"/>
          <w:lang w:val="es-ES"/>
        </w:rPr>
        <w:t xml:space="preserve"> intimidad y dignidad de las personas que son sujetas de procedimiento penal y los cuales de ser violentados dejarían en un claro estado de indefensión a los ciudadanos que se les vulneren sus datos, así como el entorpecimiento al debido proceso, incluso la paz y seguridad del estado, pues la delincuencia organizada podría utilizar la información para cometer actos delictivos. En tanto que el derecho de acceder a esta información sería meramente reducido a un grupo pequeño, incluso individual, aunado a que no es información con contribuya a la rendición de cuenta.</w:t>
      </w:r>
    </w:p>
    <w:p w:rsidR="00537A55" w:rsidRDefault="00537A55" w:rsidP="00537A55">
      <w:pPr>
        <w:spacing w:after="200" w:line="276" w:lineRule="auto"/>
        <w:jc w:val="both"/>
        <w:rPr>
          <w:rFonts w:ascii="Arial" w:eastAsia="Calibri" w:hAnsi="Arial" w:cs="Arial"/>
          <w:lang w:eastAsia="en-US"/>
        </w:rPr>
      </w:pPr>
    </w:p>
    <w:p w:rsidR="00837898" w:rsidRPr="0035409F" w:rsidRDefault="00537A55" w:rsidP="00537A55">
      <w:pPr>
        <w:spacing w:after="200" w:line="276" w:lineRule="auto"/>
        <w:jc w:val="both"/>
        <w:rPr>
          <w:rFonts w:ascii="Arial" w:hAnsi="Arial" w:cs="Arial"/>
          <w:highlight w:val="yellow"/>
        </w:rPr>
      </w:pPr>
      <w:r w:rsidRPr="0035409F">
        <w:rPr>
          <w:rFonts w:ascii="Arial" w:eastAsia="Calibri" w:hAnsi="Arial" w:cs="Arial"/>
          <w:lang w:eastAsia="en-US"/>
        </w:rPr>
        <w:lastRenderedPageBreak/>
        <w:t xml:space="preserve">Es acertado el énfasis que realiza </w:t>
      </w:r>
      <w:r w:rsidRPr="0035409F">
        <w:rPr>
          <w:rFonts w:ascii="Arial" w:hAnsi="Arial" w:cs="Arial"/>
        </w:rPr>
        <w:t>la Unidad Especializada en Homicidios de la Fiscalía General del Estado</w:t>
      </w:r>
      <w:r w:rsidRPr="0035409F">
        <w:rPr>
          <w:rFonts w:ascii="Arial" w:eastAsia="Times New Roman" w:hAnsi="Arial" w:cs="Arial"/>
          <w:b/>
          <w:lang w:eastAsia="en-US"/>
        </w:rPr>
        <w:t>, en el sentido</w:t>
      </w:r>
      <w:r w:rsidRPr="0035409F">
        <w:rPr>
          <w:rFonts w:ascii="Arial" w:eastAsia="Calibri" w:hAnsi="Arial" w:cs="Arial"/>
          <w:lang w:eastAsia="en-US"/>
        </w:rPr>
        <w:t xml:space="preserve"> </w:t>
      </w:r>
      <w:r w:rsidRPr="0035409F">
        <w:rPr>
          <w:rFonts w:ascii="Arial" w:eastAsia="Times New Roman" w:hAnsi="Arial" w:cs="Arial"/>
          <w:iCs/>
          <w:lang w:eastAsia="en-US"/>
        </w:rPr>
        <w:t xml:space="preserve">que la revelación de la información solicitada transgrede el debido proceso, el cual se encuentra protegido por el </w:t>
      </w:r>
      <w:r w:rsidRPr="0035409F">
        <w:rPr>
          <w:rFonts w:ascii="Arial" w:eastAsia="Times New Roman" w:hAnsi="Arial" w:cs="Arial"/>
          <w:b/>
          <w:iCs/>
          <w:lang w:eastAsia="en-US"/>
        </w:rPr>
        <w:t>Código Nacional de Procedimientos Penales en su artículo 218</w:t>
      </w:r>
      <w:r w:rsidRPr="0035409F">
        <w:rPr>
          <w:rFonts w:ascii="Arial" w:eastAsia="Times New Roman" w:hAnsi="Arial" w:cs="Arial"/>
          <w:iCs/>
          <w:lang w:eastAsia="en-US"/>
        </w:rPr>
        <w:t xml:space="preserve">, el cual establece que </w:t>
      </w:r>
      <w:r w:rsidRPr="0035409F">
        <w:rPr>
          <w:rFonts w:ascii="Arial" w:eastAsia="Times New Roman" w:hAnsi="Arial" w:cs="Arial"/>
          <w:b/>
          <w:iCs/>
          <w:lang w:eastAsia="en-US"/>
        </w:rPr>
        <w:t>“</w:t>
      </w:r>
      <w:r w:rsidRPr="0035409F">
        <w:rPr>
          <w:rFonts w:ascii="Arial" w:eastAsia="Times New Roman" w:hAnsi="Arial" w:cs="Arial"/>
          <w:b/>
          <w:iCs/>
          <w:u w:val="single"/>
          <w:lang w:eastAsia="en-US"/>
        </w:rPr>
        <w:t>l</w:t>
      </w:r>
      <w:r w:rsidRPr="0035409F">
        <w:rPr>
          <w:rFonts w:ascii="Arial" w:eastAsia="Calibri" w:hAnsi="Arial" w:cs="Arial"/>
          <w:b/>
          <w:u w:val="single"/>
          <w:lang w:eastAsia="en-US"/>
        </w:rPr>
        <w:t>os registros de la investigación, así como todos los documentos,</w:t>
      </w:r>
      <w:r w:rsidRPr="0035409F">
        <w:rPr>
          <w:rFonts w:ascii="Arial" w:eastAsia="Calibri" w:hAnsi="Arial" w:cs="Arial"/>
          <w:b/>
          <w:lang w:eastAsia="en-US"/>
        </w:rPr>
        <w:t xml:space="preserve"> independientemente de su contenido o naturaleza, los objetos, los registros de voz e imágenes o cosas que le estén relacionados, </w:t>
      </w:r>
      <w:r w:rsidRPr="0035409F">
        <w:rPr>
          <w:rFonts w:ascii="Arial" w:eastAsia="Calibri" w:hAnsi="Arial" w:cs="Arial"/>
          <w:b/>
          <w:u w:val="single"/>
          <w:lang w:eastAsia="en-US"/>
        </w:rPr>
        <w:t>son estrictamente reservados</w:t>
      </w:r>
      <w:r w:rsidRPr="0035409F">
        <w:rPr>
          <w:rFonts w:ascii="Arial" w:eastAsia="Calibri" w:hAnsi="Arial" w:cs="Arial"/>
          <w:b/>
          <w:lang w:eastAsia="en-US"/>
        </w:rPr>
        <w:t xml:space="preserve">, por lo que </w:t>
      </w:r>
      <w:r w:rsidRPr="0035409F">
        <w:rPr>
          <w:rFonts w:ascii="Arial" w:eastAsia="Calibri" w:hAnsi="Arial" w:cs="Arial"/>
          <w:b/>
          <w:u w:val="single"/>
          <w:lang w:eastAsia="en-US"/>
        </w:rPr>
        <w:t xml:space="preserve">únicamente las partes, podrán tener acceso a los mismos, </w:t>
      </w:r>
      <w:r w:rsidRPr="0035409F">
        <w:rPr>
          <w:rFonts w:ascii="Arial" w:eastAsia="Calibri" w:hAnsi="Arial" w:cs="Arial"/>
          <w:b/>
          <w:lang w:eastAsia="en-US"/>
        </w:rPr>
        <w:t xml:space="preserve">con las limitaciones establecidas en este Código y demás disposiciones aplicables”. </w:t>
      </w:r>
    </w:p>
    <w:p w:rsidR="00837898" w:rsidRDefault="00837898">
      <w:pPr>
        <w:spacing w:line="276" w:lineRule="auto"/>
        <w:jc w:val="both"/>
        <w:rPr>
          <w:rFonts w:ascii="Arial" w:hAnsi="Arial" w:cs="Arial"/>
          <w:highlight w:val="yellow"/>
        </w:rPr>
      </w:pPr>
    </w:p>
    <w:p w:rsidR="00837898" w:rsidRDefault="00537A55">
      <w:pPr>
        <w:pStyle w:val="Prrafodelista"/>
        <w:numPr>
          <w:ilvl w:val="0"/>
          <w:numId w:val="3"/>
        </w:numPr>
        <w:spacing w:line="276" w:lineRule="auto"/>
        <w:jc w:val="both"/>
        <w:rPr>
          <w:rFonts w:ascii="Arial" w:hAnsi="Arial" w:cs="Arial"/>
          <w:b/>
        </w:rPr>
      </w:pPr>
      <w:r>
        <w:rPr>
          <w:rFonts w:ascii="Arial" w:hAnsi="Arial" w:cs="Arial"/>
          <w:b/>
        </w:rPr>
        <w:t>Descripción de las partes o secciones reservadas, en caso de clasificación parcial:</w:t>
      </w:r>
    </w:p>
    <w:p w:rsidR="00837898" w:rsidRDefault="00837898">
      <w:pPr>
        <w:spacing w:line="276" w:lineRule="auto"/>
        <w:jc w:val="both"/>
        <w:rPr>
          <w:rFonts w:ascii="Arial" w:hAnsi="Arial" w:cs="Arial"/>
          <w:highlight w:val="yellow"/>
        </w:rPr>
      </w:pPr>
    </w:p>
    <w:p w:rsidR="00837898" w:rsidRDefault="00537A55" w:rsidP="00C678DE">
      <w:pPr>
        <w:autoSpaceDE w:val="0"/>
        <w:autoSpaceDN w:val="0"/>
        <w:adjustRightInd w:val="0"/>
        <w:spacing w:line="276" w:lineRule="auto"/>
        <w:jc w:val="both"/>
        <w:rPr>
          <w:rFonts w:ascii="Arial" w:hAnsi="Arial" w:cs="Arial"/>
        </w:rPr>
      </w:pPr>
      <w:r>
        <w:rPr>
          <w:rFonts w:ascii="Arial" w:hAnsi="Arial" w:cs="Arial"/>
        </w:rPr>
        <w:t xml:space="preserve">La clasificación de la información reservada es de manera </w:t>
      </w:r>
      <w:r>
        <w:rPr>
          <w:rFonts w:ascii="Arial" w:hAnsi="Arial" w:cs="Arial"/>
          <w:b/>
        </w:rPr>
        <w:t>Total</w:t>
      </w:r>
      <w:r>
        <w:rPr>
          <w:rFonts w:ascii="Arial" w:hAnsi="Arial" w:cs="Arial"/>
        </w:rPr>
        <w:t xml:space="preserve">, referente a </w:t>
      </w:r>
      <w:r>
        <w:rPr>
          <w:rFonts w:ascii="Arial" w:hAnsi="Arial" w:cs="Arial"/>
          <w:b/>
          <w:bCs/>
        </w:rPr>
        <w:t>las carpetas de investigación de enero del 2018 a 30 de noviembre del 2023</w:t>
      </w:r>
      <w:r>
        <w:rPr>
          <w:rFonts w:ascii="Arial" w:eastAsia="Times New Roman" w:hAnsi="Arial" w:cs="Arial"/>
          <w:b/>
          <w:bCs/>
          <w:lang w:val="es-ES"/>
        </w:rPr>
        <w:t xml:space="preserve"> </w:t>
      </w:r>
      <w:r>
        <w:rPr>
          <w:rFonts w:ascii="Arial" w:hAnsi="Arial" w:cs="Arial"/>
          <w:b/>
          <w:bCs/>
        </w:rPr>
        <w:t>de la Unidad Especializada en Homicidios de la Fiscalía General del Estado de San Luis Potos</w:t>
      </w:r>
      <w:r>
        <w:rPr>
          <w:rFonts w:ascii="Arial" w:hAnsi="Arial" w:cs="Arial"/>
        </w:rPr>
        <w:t>í.</w:t>
      </w:r>
    </w:p>
    <w:p w:rsidR="00837898" w:rsidRDefault="00837898">
      <w:pPr>
        <w:spacing w:after="200"/>
        <w:jc w:val="both"/>
        <w:rPr>
          <w:rFonts w:ascii="Arial" w:hAnsi="Arial" w:cs="Arial"/>
          <w:b/>
          <w:bCs/>
        </w:rPr>
      </w:pPr>
    </w:p>
    <w:p w:rsidR="00837898" w:rsidRDefault="00537A55">
      <w:pPr>
        <w:pStyle w:val="Prrafodelista"/>
        <w:numPr>
          <w:ilvl w:val="0"/>
          <w:numId w:val="3"/>
        </w:numPr>
        <w:spacing w:line="276" w:lineRule="auto"/>
        <w:jc w:val="both"/>
        <w:rPr>
          <w:rFonts w:ascii="Arial" w:hAnsi="Arial" w:cs="Arial"/>
          <w:b/>
        </w:rPr>
      </w:pPr>
      <w:r>
        <w:rPr>
          <w:rFonts w:ascii="Arial" w:hAnsi="Arial" w:cs="Arial"/>
          <w:b/>
        </w:rPr>
        <w:t>El período por el que mantendrá su clasificación y fecha de expedición;</w:t>
      </w:r>
    </w:p>
    <w:p w:rsidR="00837898" w:rsidRDefault="00837898">
      <w:pPr>
        <w:spacing w:line="276" w:lineRule="auto"/>
        <w:jc w:val="both"/>
        <w:rPr>
          <w:rFonts w:ascii="Arial" w:hAnsi="Arial" w:cs="Arial"/>
        </w:rPr>
      </w:pPr>
    </w:p>
    <w:p w:rsidR="00837898" w:rsidRDefault="00537A55">
      <w:pPr>
        <w:spacing w:line="276" w:lineRule="auto"/>
        <w:jc w:val="both"/>
        <w:rPr>
          <w:rFonts w:ascii="Arial" w:hAnsi="Arial" w:cs="Arial"/>
        </w:rPr>
      </w:pPr>
      <w:r>
        <w:rPr>
          <w:rFonts w:ascii="Arial" w:hAnsi="Arial" w:cs="Arial"/>
        </w:rPr>
        <w:t>Período. 5 años.</w:t>
      </w:r>
    </w:p>
    <w:p w:rsidR="00837898" w:rsidRDefault="00837898">
      <w:pPr>
        <w:spacing w:line="276" w:lineRule="auto"/>
        <w:jc w:val="both"/>
        <w:rPr>
          <w:rFonts w:ascii="Arial" w:eastAsia="Times New Roman" w:hAnsi="Arial" w:cs="Arial"/>
        </w:rPr>
      </w:pPr>
    </w:p>
    <w:p w:rsidR="00837898" w:rsidRDefault="00537A55">
      <w:pPr>
        <w:spacing w:line="276" w:lineRule="auto"/>
        <w:jc w:val="both"/>
        <w:rPr>
          <w:rFonts w:ascii="Arial" w:eastAsia="Times New Roman" w:hAnsi="Arial" w:cs="Arial"/>
        </w:rPr>
      </w:pPr>
      <w:r>
        <w:rPr>
          <w:rFonts w:ascii="Arial" w:eastAsia="Times New Roman" w:hAnsi="Arial" w:cs="Arial"/>
        </w:rPr>
        <w:t>Fecha de expiración: 06 de diciembre 2028. Lo anterior de conformidad con lo establecido por el lineamiento Trigésimo cuarto de los –LGCDIEVP-.</w:t>
      </w:r>
    </w:p>
    <w:p w:rsidR="00837898" w:rsidRDefault="00837898">
      <w:pPr>
        <w:spacing w:line="276" w:lineRule="auto"/>
        <w:jc w:val="both"/>
        <w:rPr>
          <w:rFonts w:ascii="Arial" w:eastAsia="Times New Roman" w:hAnsi="Arial" w:cs="Arial"/>
        </w:rPr>
      </w:pPr>
    </w:p>
    <w:p w:rsidR="007A4E3C" w:rsidRDefault="007A4E3C">
      <w:pPr>
        <w:spacing w:line="276" w:lineRule="auto"/>
        <w:jc w:val="both"/>
        <w:rPr>
          <w:rFonts w:ascii="Arial" w:eastAsia="Times New Roman" w:hAnsi="Arial" w:cs="Arial"/>
        </w:rPr>
      </w:pPr>
    </w:p>
    <w:p w:rsidR="00837898" w:rsidRDefault="00537A55">
      <w:pPr>
        <w:pStyle w:val="Prrafodelista"/>
        <w:numPr>
          <w:ilvl w:val="0"/>
          <w:numId w:val="3"/>
        </w:numPr>
        <w:spacing w:line="276" w:lineRule="auto"/>
        <w:ind w:left="720" w:hanging="294"/>
        <w:jc w:val="both"/>
        <w:rPr>
          <w:rFonts w:ascii="Arial" w:hAnsi="Arial" w:cs="Arial"/>
          <w:b/>
        </w:rPr>
      </w:pPr>
      <w:r>
        <w:rPr>
          <w:rFonts w:ascii="Arial" w:hAnsi="Arial" w:cs="Arial"/>
          <w:b/>
        </w:rPr>
        <w:t xml:space="preserve"> El nombre del titular y área encargada de realizar la versión pública del documento.</w:t>
      </w:r>
    </w:p>
    <w:p w:rsidR="00837898" w:rsidRDefault="00837898">
      <w:pPr>
        <w:pStyle w:val="Prrafodelista"/>
        <w:spacing w:line="276" w:lineRule="auto"/>
        <w:jc w:val="both"/>
        <w:rPr>
          <w:rFonts w:ascii="Arial" w:hAnsi="Arial" w:cs="Arial"/>
          <w:b/>
        </w:rPr>
      </w:pPr>
    </w:p>
    <w:p w:rsidR="007A4E3C" w:rsidRDefault="007A4E3C">
      <w:pPr>
        <w:pStyle w:val="Prrafodelista"/>
        <w:spacing w:line="276" w:lineRule="auto"/>
        <w:jc w:val="both"/>
        <w:rPr>
          <w:rFonts w:ascii="Arial" w:hAnsi="Arial" w:cs="Arial"/>
          <w:b/>
        </w:rPr>
      </w:pPr>
    </w:p>
    <w:p w:rsidR="00837898" w:rsidRDefault="00537A55">
      <w:pPr>
        <w:spacing w:line="276" w:lineRule="auto"/>
        <w:jc w:val="both"/>
        <w:rPr>
          <w:rFonts w:ascii="Arial" w:hAnsi="Arial" w:cs="Arial"/>
        </w:rPr>
      </w:pPr>
      <w:r>
        <w:rPr>
          <w:rFonts w:ascii="Arial" w:hAnsi="Arial" w:cs="Arial"/>
        </w:rPr>
        <w:t xml:space="preserve">Es preciso señalar que no se realiza en este acto una versión pública. </w:t>
      </w:r>
    </w:p>
    <w:p w:rsidR="00837898" w:rsidRDefault="00837898">
      <w:pPr>
        <w:spacing w:line="276" w:lineRule="auto"/>
        <w:jc w:val="both"/>
        <w:rPr>
          <w:rFonts w:ascii="Arial" w:hAnsi="Arial" w:cs="Arial"/>
          <w:highlight w:val="yellow"/>
        </w:rPr>
      </w:pPr>
    </w:p>
    <w:p w:rsidR="007A4E3C" w:rsidRDefault="007A4E3C">
      <w:pPr>
        <w:spacing w:line="276" w:lineRule="auto"/>
        <w:jc w:val="both"/>
        <w:rPr>
          <w:rFonts w:ascii="Arial" w:hAnsi="Arial" w:cs="Arial"/>
          <w:highlight w:val="yellow"/>
        </w:rPr>
      </w:pPr>
    </w:p>
    <w:p w:rsidR="00837898" w:rsidRDefault="00537A55">
      <w:pPr>
        <w:pStyle w:val="Prrafodelista"/>
        <w:numPr>
          <w:ilvl w:val="0"/>
          <w:numId w:val="3"/>
        </w:numPr>
        <w:spacing w:line="276" w:lineRule="auto"/>
        <w:ind w:left="720" w:hanging="294"/>
        <w:jc w:val="both"/>
        <w:rPr>
          <w:rFonts w:ascii="Arial" w:hAnsi="Arial" w:cs="Arial"/>
          <w:b/>
        </w:rPr>
      </w:pPr>
      <w:r>
        <w:rPr>
          <w:rFonts w:ascii="Arial" w:hAnsi="Arial" w:cs="Arial"/>
          <w:b/>
        </w:rPr>
        <w:t>Efectos de la resolución.</w:t>
      </w:r>
    </w:p>
    <w:p w:rsidR="00837898" w:rsidRDefault="00537A55">
      <w:pPr>
        <w:spacing w:line="276" w:lineRule="auto"/>
        <w:jc w:val="both"/>
        <w:rPr>
          <w:rFonts w:ascii="Arial" w:hAnsi="Arial" w:cs="Arial"/>
          <w:b/>
        </w:rPr>
      </w:pPr>
      <w:r>
        <w:rPr>
          <w:rFonts w:ascii="Arial" w:hAnsi="Arial" w:cs="Arial"/>
        </w:rPr>
        <w:lastRenderedPageBreak/>
        <w:t xml:space="preserve">El Comité de Transparencia en Pleno determinó </w:t>
      </w:r>
      <w:r>
        <w:rPr>
          <w:rFonts w:ascii="Arial" w:hAnsi="Arial" w:cs="Arial"/>
          <w:b/>
        </w:rPr>
        <w:t xml:space="preserve">procedente confirmar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 xml:space="preserve">Reserva Total </w:t>
      </w:r>
      <w:r>
        <w:rPr>
          <w:rFonts w:ascii="Arial" w:eastAsia="Times New Roman" w:hAnsi="Arial" w:cs="Arial"/>
        </w:rPr>
        <w:t xml:space="preserve">número </w:t>
      </w:r>
      <w:r>
        <w:rPr>
          <w:rFonts w:ascii="Arial" w:hAnsi="Arial" w:cs="Arial"/>
          <w:b/>
        </w:rPr>
        <w:t xml:space="preserve">FGE/D01/SLP/UIH/006/2023,  </w:t>
      </w:r>
      <w:r>
        <w:rPr>
          <w:rFonts w:ascii="Arial" w:hAnsi="Arial" w:cs="Arial"/>
        </w:rPr>
        <w:t xml:space="preserve">emitido por 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hAnsi="Arial" w:cs="Arial"/>
        </w:rPr>
        <w:t xml:space="preserve"> fechado y recibido el 01 de diciembre 2023,</w:t>
      </w:r>
      <w:r>
        <w:rPr>
          <w:rFonts w:ascii="Arial" w:hAnsi="Arial" w:cs="Arial"/>
          <w:b/>
        </w:rPr>
        <w:t xml:space="preserve"> </w:t>
      </w:r>
      <w:r>
        <w:rPr>
          <w:rFonts w:ascii="Arial" w:hAnsi="Arial" w:cs="Arial"/>
        </w:rPr>
        <w:t xml:space="preserve">para dar respuesta a la solicitud de información número </w:t>
      </w:r>
      <w:r>
        <w:rPr>
          <w:rFonts w:ascii="Arial" w:hAnsi="Arial" w:cs="Arial"/>
          <w:b/>
        </w:rPr>
        <w:t>UT-SI-P-679-240469823000672-2023.</w:t>
      </w: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rPr>
      </w:pPr>
      <w:r>
        <w:rPr>
          <w:rFonts w:ascii="Arial" w:hAnsi="Arial" w:cs="Arial"/>
        </w:rPr>
        <w:t xml:space="preserve">Este Comité de Transparencia recomienda al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sidR="0035409F">
        <w:rPr>
          <w:rFonts w:ascii="Arial" w:hAnsi="Arial" w:cs="Arial"/>
          <w:bCs/>
        </w:rPr>
        <w:t xml:space="preserve"> </w:t>
      </w:r>
      <w:r>
        <w:rPr>
          <w:rFonts w:ascii="Arial" w:hAnsi="Arial" w:cs="Arial"/>
        </w:rPr>
        <w:t>que notifique a los Titulares de las diversas áreas de la Institución que deberán de conocer esta resolución.</w:t>
      </w:r>
    </w:p>
    <w:p w:rsidR="00837898" w:rsidRDefault="00837898">
      <w:pPr>
        <w:spacing w:line="276" w:lineRule="auto"/>
        <w:jc w:val="both"/>
        <w:rPr>
          <w:rFonts w:ascii="Arial" w:hAnsi="Arial" w:cs="Arial"/>
        </w:rPr>
      </w:pPr>
    </w:p>
    <w:p w:rsidR="00837898" w:rsidRDefault="00537A55">
      <w:pPr>
        <w:spacing w:line="276" w:lineRule="auto"/>
        <w:jc w:val="both"/>
        <w:rPr>
          <w:rFonts w:ascii="Arial" w:eastAsia="Times New Roman" w:hAnsi="Arial" w:cs="Arial"/>
          <w:lang w:val="es-ES"/>
        </w:rPr>
      </w:pPr>
      <w:r>
        <w:rPr>
          <w:rFonts w:ascii="Arial" w:hAnsi="Arial" w:cs="Arial"/>
        </w:rPr>
        <w:t xml:space="preserve">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eastAsia="Times New Roman" w:hAnsi="Arial" w:cs="Arial"/>
          <w:bCs/>
          <w:lang w:eastAsia="es-MX"/>
        </w:rPr>
        <w:t>,</w:t>
      </w:r>
      <w:r>
        <w:rPr>
          <w:rFonts w:ascii="Arial" w:hAnsi="Arial" w:cs="Arial"/>
        </w:rPr>
        <w:t xml:space="preserve"> deberá atender la solicitud de información  </w:t>
      </w:r>
      <w:r>
        <w:rPr>
          <w:rFonts w:ascii="Arial" w:hAnsi="Arial" w:cs="Arial"/>
          <w:b/>
        </w:rPr>
        <w:t xml:space="preserve">UT-SI-P-679-240469823000672-2023., </w:t>
      </w:r>
      <w:r>
        <w:rPr>
          <w:rFonts w:ascii="Arial" w:hAnsi="Arial" w:cs="Arial"/>
          <w:bCs/>
        </w:rPr>
        <w:t xml:space="preserve">en </w:t>
      </w:r>
      <w:r>
        <w:rPr>
          <w:rFonts w:ascii="Arial" w:hAnsi="Arial" w:cs="Arial"/>
        </w:rPr>
        <w:t>términos de la –LTAIPSLP-, de los –LGCDIEVP-, y de la presente resolución</w:t>
      </w:r>
      <w:r>
        <w:rPr>
          <w:rFonts w:ascii="Arial" w:eastAsia="Times New Roman" w:hAnsi="Arial" w:cs="Arial"/>
          <w:lang w:val="es-ES"/>
        </w:rPr>
        <w:t xml:space="preserve">. </w:t>
      </w:r>
    </w:p>
    <w:p w:rsidR="00837898" w:rsidRDefault="00837898">
      <w:pPr>
        <w:pStyle w:val="Sinespaciado"/>
        <w:spacing w:line="276" w:lineRule="auto"/>
        <w:jc w:val="both"/>
        <w:rPr>
          <w:rFonts w:ascii="Arial" w:eastAsia="Times New Roman" w:hAnsi="Arial" w:cs="Arial"/>
          <w:sz w:val="24"/>
          <w:szCs w:val="24"/>
          <w:lang w:val="es-ES" w:eastAsia="es-ES"/>
        </w:rPr>
      </w:pPr>
    </w:p>
    <w:p w:rsidR="00837898" w:rsidRDefault="00537A55">
      <w:pPr>
        <w:widowControl w:val="0"/>
        <w:spacing w:line="276" w:lineRule="auto"/>
        <w:jc w:val="both"/>
        <w:rPr>
          <w:rFonts w:ascii="Arial" w:hAnsi="Arial" w:cs="Arial"/>
        </w:rPr>
      </w:pPr>
      <w:r>
        <w:rPr>
          <w:rFonts w:ascii="Arial" w:hAnsi="Arial" w:cs="Arial"/>
        </w:rPr>
        <w:t xml:space="preserve">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hAnsi="Arial" w:cs="Arial"/>
        </w:rPr>
        <w:t xml:space="preserve">  deberá realizar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837898" w:rsidRDefault="00837898">
      <w:pPr>
        <w:widowControl w:val="0"/>
        <w:spacing w:line="276" w:lineRule="auto"/>
        <w:jc w:val="both"/>
        <w:rPr>
          <w:rFonts w:ascii="Arial" w:hAnsi="Arial" w:cs="Arial"/>
        </w:rPr>
      </w:pPr>
    </w:p>
    <w:p w:rsidR="00837898" w:rsidRDefault="00537A55">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b/>
        </w:rPr>
      </w:pPr>
    </w:p>
    <w:p w:rsidR="00837898" w:rsidRDefault="00537A55">
      <w:pPr>
        <w:spacing w:line="276" w:lineRule="auto"/>
        <w:jc w:val="center"/>
        <w:rPr>
          <w:rFonts w:ascii="Arial" w:hAnsi="Arial" w:cs="Arial"/>
          <w:b/>
        </w:rPr>
      </w:pPr>
      <w:r>
        <w:rPr>
          <w:rFonts w:ascii="Arial" w:hAnsi="Arial" w:cs="Arial"/>
          <w:b/>
        </w:rPr>
        <w:t>RESUELVE POR UNANIMIDAD:</w:t>
      </w: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537A55">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 xml:space="preserve">Reserva Total </w:t>
      </w:r>
      <w:r>
        <w:rPr>
          <w:rFonts w:ascii="Arial" w:eastAsia="Times New Roman" w:hAnsi="Arial" w:cs="Arial"/>
        </w:rPr>
        <w:t xml:space="preserve">número </w:t>
      </w:r>
      <w:r>
        <w:rPr>
          <w:rFonts w:ascii="Arial" w:hAnsi="Arial" w:cs="Arial"/>
          <w:b/>
        </w:rPr>
        <w:t xml:space="preserve">FGE/D01/SLP/UIH/006/2023 </w:t>
      </w:r>
      <w:r>
        <w:rPr>
          <w:rFonts w:ascii="Arial" w:hAnsi="Arial" w:cs="Arial"/>
        </w:rPr>
        <w:t xml:space="preserve"> fechado y recibido el 01 de diciembre 2023, emitido por el </w:t>
      </w:r>
      <w:r>
        <w:rPr>
          <w:rFonts w:ascii="Arial" w:hAnsi="Arial" w:cs="Arial"/>
          <w:bCs/>
        </w:rPr>
        <w:lastRenderedPageBreak/>
        <w:t>Licenciado Ricardo Eduardo Escobedo Martínez,</w:t>
      </w:r>
      <w:r>
        <w:rPr>
          <w:rFonts w:ascii="Arial" w:eastAsia="Times New Roman" w:hAnsi="Arial" w:cs="Arial"/>
          <w:bCs/>
          <w:lang w:eastAsia="es-MX"/>
        </w:rPr>
        <w:t xml:space="preserve"> T</w:t>
      </w:r>
      <w:r>
        <w:rPr>
          <w:rFonts w:ascii="Arial" w:hAnsi="Arial" w:cs="Arial"/>
          <w:bCs/>
        </w:rPr>
        <w:t xml:space="preserve">itular de la Unidad Especializada en Homicidios de la Fiscalía General del Estado, </w:t>
      </w:r>
      <w:r>
        <w:rPr>
          <w:rFonts w:ascii="Arial" w:hAnsi="Arial" w:cs="Arial"/>
        </w:rPr>
        <w:t xml:space="preserve">por las razones y fundamentos expuestos en el considerando </w:t>
      </w:r>
      <w:r>
        <w:rPr>
          <w:rFonts w:ascii="Arial" w:hAnsi="Arial" w:cs="Arial"/>
          <w:b/>
        </w:rPr>
        <w:t>TERCERO</w:t>
      </w:r>
      <w:r>
        <w:rPr>
          <w:rFonts w:ascii="Arial" w:hAnsi="Arial" w:cs="Arial"/>
        </w:rPr>
        <w:t xml:space="preserve"> de la presente resolución. </w:t>
      </w:r>
    </w:p>
    <w:p w:rsidR="00837898" w:rsidRDefault="00837898">
      <w:pPr>
        <w:pStyle w:val="Texto"/>
        <w:spacing w:after="0" w:line="276" w:lineRule="auto"/>
        <w:ind w:firstLine="0"/>
        <w:rPr>
          <w:b/>
          <w:sz w:val="24"/>
          <w:szCs w:val="24"/>
          <w:lang w:val="es-MX"/>
        </w:rPr>
      </w:pPr>
    </w:p>
    <w:p w:rsidR="00837898" w:rsidRDefault="00537A55">
      <w:pPr>
        <w:spacing w:line="276" w:lineRule="auto"/>
        <w:jc w:val="both"/>
        <w:rPr>
          <w:rFonts w:ascii="Arial" w:hAnsi="Arial" w:cs="Arial"/>
        </w:rPr>
      </w:pPr>
      <w:r>
        <w:rPr>
          <w:rFonts w:ascii="Arial" w:hAnsi="Arial" w:cs="Arial"/>
          <w:b/>
        </w:rPr>
        <w:t xml:space="preserve">SEGUNDO. </w:t>
      </w:r>
      <w:r w:rsidR="0035409F">
        <w:rPr>
          <w:rFonts w:ascii="Arial" w:hAnsi="Arial" w:cs="Arial"/>
        </w:rPr>
        <w:t>E</w:t>
      </w:r>
      <w:r>
        <w:rPr>
          <w:rFonts w:ascii="Arial" w:hAnsi="Arial" w:cs="Arial"/>
        </w:rPr>
        <w:t xml:space="preserv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hAnsi="Arial" w:cs="Arial"/>
        </w:rPr>
        <w:t>, notifique al área responsable de su resguardo en términos del artículo 132 de la –LTAIPSLP-.</w:t>
      </w: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b/>
        </w:rPr>
      </w:pPr>
      <w:r>
        <w:rPr>
          <w:rFonts w:ascii="Arial" w:hAnsi="Arial" w:cs="Arial"/>
          <w:b/>
        </w:rPr>
        <w:t xml:space="preserve">TERCERO. </w:t>
      </w:r>
      <w:r w:rsidR="0035409F">
        <w:rPr>
          <w:rFonts w:ascii="Arial" w:hAnsi="Arial" w:cs="Arial"/>
        </w:rPr>
        <w:t>E</w:t>
      </w:r>
      <w:r>
        <w:rPr>
          <w:rFonts w:ascii="Arial" w:hAnsi="Arial" w:cs="Arial"/>
        </w:rPr>
        <w:t xml:space="preserv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eastAsia="Times New Roman" w:hAnsi="Arial" w:cs="Arial"/>
          <w:bCs/>
          <w:lang w:eastAsia="es-MX"/>
        </w:rPr>
        <w:t>,</w:t>
      </w:r>
      <w:r>
        <w:rPr>
          <w:rFonts w:ascii="Arial" w:hAnsi="Arial" w:cs="Arial"/>
        </w:rPr>
        <w:t xml:space="preserve">  debe solicitar la desclasificación una vez que hayan fenecido las causas que dieron origen a la reserva o haya concluido el plazo señalado en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 xml:space="preserve">Reserva Total </w:t>
      </w:r>
      <w:r>
        <w:rPr>
          <w:rFonts w:ascii="Arial" w:eastAsia="Times New Roman" w:hAnsi="Arial" w:cs="Arial"/>
        </w:rPr>
        <w:t xml:space="preserve">número </w:t>
      </w:r>
      <w:r>
        <w:rPr>
          <w:rFonts w:ascii="Arial" w:hAnsi="Arial" w:cs="Arial"/>
          <w:b/>
        </w:rPr>
        <w:t xml:space="preserve">FGE/D01/SLP/UIH/006/2023,  </w:t>
      </w:r>
      <w:r>
        <w:rPr>
          <w:rFonts w:ascii="Arial" w:hAnsi="Arial" w:cs="Arial"/>
        </w:rPr>
        <w:t>en su</w:t>
      </w:r>
      <w:r>
        <w:rPr>
          <w:rFonts w:ascii="Arial" w:hAnsi="Arial" w:cs="Arial"/>
          <w:b/>
        </w:rPr>
        <w:t xml:space="preserve"> </w:t>
      </w:r>
      <w:r>
        <w:rPr>
          <w:rFonts w:ascii="Arial" w:hAnsi="Arial" w:cs="Arial"/>
        </w:rPr>
        <w:t>Considerando Tercero, III, de la presente resolución.</w:t>
      </w: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rPr>
      </w:pPr>
      <w:r>
        <w:rPr>
          <w:rFonts w:ascii="Arial" w:hAnsi="Arial" w:cs="Arial"/>
          <w:b/>
        </w:rPr>
        <w:t xml:space="preserve">CUARTO. </w:t>
      </w:r>
      <w:r w:rsidR="0035409F">
        <w:rPr>
          <w:rFonts w:ascii="Arial" w:hAnsi="Arial" w:cs="Arial"/>
        </w:rPr>
        <w:t>E</w:t>
      </w:r>
      <w:r>
        <w:rPr>
          <w:rFonts w:ascii="Arial" w:hAnsi="Arial" w:cs="Arial"/>
        </w:rPr>
        <w:t xml:space="preserv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eastAsia="Times New Roman" w:hAnsi="Arial" w:cs="Arial"/>
          <w:bCs/>
          <w:lang w:eastAsia="es-MX"/>
        </w:rPr>
        <w:t>,</w:t>
      </w:r>
      <w:r>
        <w:rPr>
          <w:rFonts w:ascii="Arial" w:hAnsi="Arial" w:cs="Arial"/>
        </w:rPr>
        <w:t xml:space="preserve"> notifique a las Instituciones y áreas internas de la –FGE- que deban tener conocimiento de la presente resolución para los efectos legales y administrativos a que haya lugar.</w:t>
      </w:r>
    </w:p>
    <w:p w:rsidR="00837898" w:rsidRDefault="00837898">
      <w:pPr>
        <w:spacing w:line="276" w:lineRule="auto"/>
        <w:jc w:val="both"/>
        <w:rPr>
          <w:rFonts w:ascii="Arial" w:hAnsi="Arial" w:cs="Arial"/>
        </w:rPr>
      </w:pPr>
    </w:p>
    <w:p w:rsidR="00837898" w:rsidRDefault="00537A55">
      <w:pPr>
        <w:widowControl w:val="0"/>
        <w:spacing w:line="276" w:lineRule="auto"/>
        <w:jc w:val="both"/>
        <w:rPr>
          <w:rFonts w:ascii="Arial" w:hAnsi="Arial" w:cs="Arial"/>
        </w:rPr>
      </w:pPr>
      <w:r>
        <w:rPr>
          <w:rFonts w:ascii="Arial" w:hAnsi="Arial" w:cs="Arial"/>
          <w:b/>
        </w:rPr>
        <w:t>QUINTO.</w:t>
      </w:r>
      <w:r w:rsidR="0035409F">
        <w:rPr>
          <w:rFonts w:ascii="Arial" w:hAnsi="Arial" w:cs="Arial"/>
        </w:rPr>
        <w:t xml:space="preserve"> E</w:t>
      </w:r>
      <w:r>
        <w:rPr>
          <w:rFonts w:ascii="Arial" w:hAnsi="Arial" w:cs="Arial"/>
        </w:rPr>
        <w:t xml:space="preserv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Pr>
          <w:rFonts w:ascii="Arial" w:hAnsi="Arial" w:cs="Arial"/>
        </w:rPr>
        <w:t xml:space="preserve"> 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rsidR="00837898" w:rsidRDefault="00837898">
      <w:pPr>
        <w:widowControl w:val="0"/>
        <w:spacing w:line="276" w:lineRule="auto"/>
        <w:jc w:val="both"/>
        <w:rPr>
          <w:rFonts w:ascii="Arial" w:hAnsi="Arial" w:cs="Arial"/>
          <w:b/>
        </w:rPr>
      </w:pPr>
    </w:p>
    <w:p w:rsidR="00837898" w:rsidRDefault="00537A55">
      <w:pPr>
        <w:widowControl w:val="0"/>
        <w:spacing w:line="276" w:lineRule="auto"/>
        <w:jc w:val="both"/>
        <w:rPr>
          <w:rFonts w:ascii="Arial" w:hAnsi="Arial" w:cs="Arial"/>
        </w:rPr>
      </w:pPr>
      <w:r>
        <w:rPr>
          <w:rFonts w:ascii="Arial" w:hAnsi="Arial" w:cs="Arial"/>
          <w:b/>
        </w:rPr>
        <w:t xml:space="preserve">SEXTO. </w:t>
      </w:r>
      <w:r w:rsidR="0035409F">
        <w:rPr>
          <w:rFonts w:ascii="Arial" w:hAnsi="Arial" w:cs="Arial"/>
        </w:rPr>
        <w:t>E</w:t>
      </w:r>
      <w:r>
        <w:rPr>
          <w:rFonts w:ascii="Arial" w:hAnsi="Arial" w:cs="Arial"/>
        </w:rPr>
        <w:t xml:space="preserve">l </w:t>
      </w:r>
      <w:r>
        <w:rPr>
          <w:rFonts w:ascii="Arial" w:hAnsi="Arial" w:cs="Arial"/>
          <w:bCs/>
        </w:rPr>
        <w:t>Licenciado Ricardo Eduardo Escobedo Martínez,</w:t>
      </w:r>
      <w:r>
        <w:rPr>
          <w:rFonts w:ascii="Arial" w:eastAsia="Times New Roman" w:hAnsi="Arial" w:cs="Arial"/>
          <w:bCs/>
          <w:lang w:eastAsia="es-MX"/>
        </w:rPr>
        <w:t xml:space="preserve"> T</w:t>
      </w:r>
      <w:r>
        <w:rPr>
          <w:rFonts w:ascii="Arial" w:hAnsi="Arial" w:cs="Arial"/>
          <w:bCs/>
        </w:rPr>
        <w:t>itular de la Unidad Especializada en Homicidios de la Fiscalía General del Estado</w:t>
      </w:r>
      <w:r w:rsidR="0035409F">
        <w:rPr>
          <w:rFonts w:ascii="Arial" w:hAnsi="Arial" w:cs="Arial"/>
          <w:bCs/>
        </w:rPr>
        <w:t xml:space="preserve">, </w:t>
      </w:r>
      <w:r>
        <w:rPr>
          <w:rFonts w:ascii="Arial" w:hAnsi="Arial" w:cs="Arial"/>
        </w:rPr>
        <w:t xml:space="preserve">deberá de dar respuesta a la solicitud de información número </w:t>
      </w:r>
      <w:r>
        <w:rPr>
          <w:rFonts w:ascii="Arial" w:hAnsi="Arial" w:cs="Arial"/>
          <w:b/>
        </w:rPr>
        <w:t xml:space="preserve">UT-SI-P-679-240469823000672-2023, </w:t>
      </w:r>
      <w:r>
        <w:rPr>
          <w:rFonts w:ascii="Arial" w:hAnsi="Arial" w:cs="Arial"/>
        </w:rPr>
        <w:t xml:space="preserve">atendiendo las razones y fundamentos expuestos en el considerando </w:t>
      </w:r>
      <w:r>
        <w:rPr>
          <w:rFonts w:ascii="Arial" w:hAnsi="Arial" w:cs="Arial"/>
          <w:b/>
        </w:rPr>
        <w:t>TERCERO</w:t>
      </w:r>
      <w:r>
        <w:rPr>
          <w:rFonts w:ascii="Arial" w:hAnsi="Arial" w:cs="Arial"/>
        </w:rPr>
        <w:t xml:space="preserve"> de la presente resolución.</w:t>
      </w:r>
    </w:p>
    <w:p w:rsidR="00837898" w:rsidRDefault="00837898">
      <w:pPr>
        <w:widowControl w:val="0"/>
        <w:spacing w:line="276" w:lineRule="auto"/>
        <w:jc w:val="both"/>
        <w:rPr>
          <w:rFonts w:ascii="Arial" w:hAnsi="Arial" w:cs="Arial"/>
          <w:b/>
        </w:rPr>
      </w:pPr>
    </w:p>
    <w:p w:rsidR="00837898" w:rsidRDefault="00537A55">
      <w:pPr>
        <w:widowControl w:val="0"/>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35409F">
        <w:rPr>
          <w:rFonts w:ascii="Arial" w:hAnsi="Arial" w:cs="Arial"/>
          <w:b/>
        </w:rPr>
        <w:t>FGE-CT-AR-91</w:t>
      </w:r>
      <w:r>
        <w:rPr>
          <w:rFonts w:ascii="Arial" w:hAnsi="Arial" w:cs="Arial"/>
          <w:b/>
        </w:rPr>
        <w:t>-2023.</w:t>
      </w:r>
    </w:p>
    <w:p w:rsidR="00837898" w:rsidRDefault="00537A55">
      <w:pPr>
        <w:spacing w:line="276" w:lineRule="auto"/>
        <w:jc w:val="both"/>
        <w:rPr>
          <w:rFonts w:ascii="Arial" w:hAnsi="Arial" w:cs="Arial"/>
        </w:rPr>
      </w:pPr>
      <w:r>
        <w:rPr>
          <w:rFonts w:ascii="Arial" w:hAnsi="Arial" w:cs="Arial"/>
        </w:rPr>
        <w:lastRenderedPageBreak/>
        <w:t>En cumplimiento a lo establecido por el artículo 128 fracción IX, de la –LTAIPSLP-, así como el Lineamiento Quincuagésimo primero, fracción V de los –LGPCDIEVP-, se procede a rubricar la presente resolución.</w:t>
      </w:r>
    </w:p>
    <w:p w:rsidR="00837898" w:rsidRDefault="00837898">
      <w:pPr>
        <w:rPr>
          <w:rFonts w:ascii="Arial" w:hAnsi="Arial" w:cs="Arial"/>
        </w:rPr>
      </w:pP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837898">
      <w:pPr>
        <w:spacing w:line="276" w:lineRule="auto"/>
        <w:jc w:val="both"/>
        <w:rPr>
          <w:rFonts w:ascii="Arial" w:hAnsi="Arial" w:cs="Arial"/>
        </w:rPr>
      </w:pPr>
    </w:p>
    <w:p w:rsidR="00837898" w:rsidRDefault="00537A55">
      <w:pPr>
        <w:spacing w:line="276" w:lineRule="auto"/>
        <w:rPr>
          <w:rFonts w:ascii="Arial" w:hAnsi="Arial" w:cs="Arial"/>
        </w:rPr>
      </w:pPr>
      <w:r>
        <w:rPr>
          <w:rFonts w:ascii="Arial" w:hAnsi="Arial" w:cs="Arial"/>
        </w:rPr>
        <w:t>____________________________________</w:t>
      </w:r>
    </w:p>
    <w:p w:rsidR="00837898" w:rsidRDefault="00537A55">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837898" w:rsidRDefault="00537A55">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rsidR="00837898" w:rsidRDefault="00537A55">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837898" w:rsidRDefault="00537A55">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837898" w:rsidRDefault="00837898">
      <w:pPr>
        <w:tabs>
          <w:tab w:val="left" w:pos="8998"/>
          <w:tab w:val="left" w:pos="9932"/>
        </w:tabs>
        <w:spacing w:before="20" w:line="276" w:lineRule="auto"/>
        <w:rPr>
          <w:rFonts w:ascii="Arial" w:eastAsia="Arial" w:hAnsi="Arial" w:cs="Arial"/>
          <w:b/>
        </w:rPr>
      </w:pPr>
    </w:p>
    <w:p w:rsidR="00837898" w:rsidRDefault="00837898">
      <w:pPr>
        <w:tabs>
          <w:tab w:val="left" w:pos="8998"/>
          <w:tab w:val="left" w:pos="9932"/>
        </w:tabs>
        <w:spacing w:before="20" w:line="276" w:lineRule="auto"/>
        <w:rPr>
          <w:rFonts w:ascii="Arial" w:eastAsia="Arial" w:hAnsi="Arial" w:cs="Arial"/>
          <w:b/>
        </w:rPr>
      </w:pPr>
    </w:p>
    <w:p w:rsidR="00837898" w:rsidRDefault="00837898">
      <w:pPr>
        <w:tabs>
          <w:tab w:val="left" w:pos="8998"/>
          <w:tab w:val="left" w:pos="9932"/>
        </w:tabs>
        <w:spacing w:before="20" w:line="276" w:lineRule="auto"/>
        <w:rPr>
          <w:rFonts w:ascii="Arial" w:eastAsia="Arial" w:hAnsi="Arial" w:cs="Arial"/>
          <w:b/>
        </w:rPr>
      </w:pPr>
    </w:p>
    <w:p w:rsidR="00837898" w:rsidRDefault="00837898">
      <w:pPr>
        <w:tabs>
          <w:tab w:val="left" w:pos="8998"/>
          <w:tab w:val="left" w:pos="9932"/>
        </w:tabs>
        <w:spacing w:before="20" w:line="276" w:lineRule="auto"/>
        <w:rPr>
          <w:rFonts w:ascii="Arial" w:eastAsia="Arial" w:hAnsi="Arial" w:cs="Arial"/>
          <w:b/>
        </w:rPr>
      </w:pPr>
    </w:p>
    <w:p w:rsidR="00837898" w:rsidRDefault="00537A55">
      <w:pPr>
        <w:spacing w:line="276" w:lineRule="auto"/>
        <w:jc w:val="both"/>
        <w:rPr>
          <w:rFonts w:ascii="Arial" w:hAnsi="Arial" w:cs="Arial"/>
        </w:rPr>
      </w:pPr>
      <w:r>
        <w:rPr>
          <w:rFonts w:ascii="Arial" w:hAnsi="Arial" w:cs="Arial"/>
        </w:rPr>
        <w:t>_____________________________________</w:t>
      </w:r>
    </w:p>
    <w:p w:rsidR="00837898" w:rsidRDefault="00537A55">
      <w:pPr>
        <w:spacing w:line="276" w:lineRule="auto"/>
        <w:rPr>
          <w:rFonts w:ascii="Arial" w:hAnsi="Arial" w:cs="Arial"/>
          <w:b/>
        </w:rPr>
      </w:pPr>
      <w:r>
        <w:rPr>
          <w:rFonts w:ascii="Arial" w:hAnsi="Arial" w:cs="Arial"/>
          <w:b/>
        </w:rPr>
        <w:t>LICENCIADO DOROTEO PAREDES GRANADO</w:t>
      </w:r>
    </w:p>
    <w:p w:rsidR="00837898" w:rsidRDefault="00537A55">
      <w:pPr>
        <w:spacing w:line="276" w:lineRule="auto"/>
        <w:rPr>
          <w:rFonts w:ascii="Arial" w:hAnsi="Arial" w:cs="Arial"/>
          <w:b/>
        </w:rPr>
      </w:pPr>
      <w:r>
        <w:rPr>
          <w:rFonts w:ascii="Arial" w:hAnsi="Arial" w:cs="Arial"/>
          <w:b/>
        </w:rPr>
        <w:t>VICEFISCAL E INTEGRANTE DEL COMITÉ DE TRANSPARENCIA.</w:t>
      </w:r>
    </w:p>
    <w:p w:rsidR="00837898" w:rsidRDefault="00837898">
      <w:pPr>
        <w:spacing w:line="276" w:lineRule="auto"/>
        <w:jc w:val="both"/>
        <w:rPr>
          <w:rFonts w:ascii="Arial" w:hAnsi="Arial" w:cs="Arial"/>
          <w:b/>
        </w:rPr>
      </w:pPr>
    </w:p>
    <w:p w:rsidR="00837898" w:rsidRDefault="00837898">
      <w:pPr>
        <w:spacing w:line="276" w:lineRule="auto"/>
        <w:jc w:val="both"/>
        <w:rPr>
          <w:rFonts w:ascii="Arial" w:hAnsi="Arial" w:cs="Arial"/>
          <w:b/>
        </w:rPr>
      </w:pPr>
    </w:p>
    <w:p w:rsidR="00837898" w:rsidRDefault="00837898">
      <w:pPr>
        <w:spacing w:line="276" w:lineRule="auto"/>
        <w:jc w:val="both"/>
        <w:rPr>
          <w:rFonts w:ascii="Arial" w:hAnsi="Arial" w:cs="Arial"/>
          <w:b/>
        </w:rPr>
      </w:pPr>
    </w:p>
    <w:p w:rsidR="00837898" w:rsidRDefault="00837898">
      <w:pPr>
        <w:spacing w:line="276" w:lineRule="auto"/>
        <w:jc w:val="both"/>
        <w:rPr>
          <w:rFonts w:ascii="Arial" w:hAnsi="Arial" w:cs="Arial"/>
          <w:b/>
        </w:rPr>
      </w:pPr>
    </w:p>
    <w:p w:rsidR="00837898" w:rsidRDefault="00537A55">
      <w:pPr>
        <w:spacing w:line="276" w:lineRule="auto"/>
        <w:jc w:val="both"/>
        <w:rPr>
          <w:rFonts w:ascii="Arial" w:hAnsi="Arial" w:cs="Arial"/>
        </w:rPr>
      </w:pPr>
      <w:r>
        <w:rPr>
          <w:rFonts w:ascii="Arial" w:hAnsi="Arial" w:cs="Arial"/>
        </w:rPr>
        <w:t>_____________________________________</w:t>
      </w:r>
    </w:p>
    <w:p w:rsidR="00837898" w:rsidRDefault="00537A55">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837898" w:rsidRDefault="00537A55">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837898">
      <w:headerReference w:type="even" r:id="rId10"/>
      <w:headerReference w:type="default" r:id="rId11"/>
      <w:footerReference w:type="even" r:id="rId12"/>
      <w:footerReference w:type="default" r:id="rId13"/>
      <w:headerReference w:type="first" r:id="rId14"/>
      <w:footerReference w:type="first" r:id="rId15"/>
      <w:pgSz w:w="12240" w:h="15840"/>
      <w:pgMar w:top="3509" w:right="1134" w:bottom="1418" w:left="1134" w:header="709" w:footer="7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AE1" w:rsidRDefault="00D02AE1">
      <w:r>
        <w:separator/>
      </w:r>
    </w:p>
  </w:endnote>
  <w:endnote w:type="continuationSeparator" w:id="0">
    <w:p w:rsidR="00D02AE1" w:rsidRDefault="00D02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1BC" w:rsidRDefault="00AA41B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8DE" w:rsidRDefault="00C678D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0288" behindDoc="1" locked="0" layoutInCell="1" allowOverlap="1">
          <wp:simplePos x="0" y="0"/>
          <wp:positionH relativeFrom="column">
            <wp:posOffset>-662940</wp:posOffset>
          </wp:positionH>
          <wp:positionV relativeFrom="paragraph">
            <wp:posOffset>80645</wp:posOffset>
          </wp:positionV>
          <wp:extent cx="7729855" cy="802005"/>
          <wp:effectExtent l="0" t="0" r="444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29855" cy="802005"/>
                  </a:xfrm>
                  <a:prstGeom prst="rect">
                    <a:avLst/>
                  </a:prstGeom>
                </pic:spPr>
              </pic:pic>
            </a:graphicData>
          </a:graphic>
        </wp:anchor>
      </w:drawing>
    </w:r>
    <w:r>
      <w:rPr>
        <w:rFonts w:ascii="Arial" w:hAnsi="Arial" w:cs="Arial"/>
        <w:color w:val="000000" w:themeColor="text1"/>
        <w:sz w:val="13"/>
      </w:rPr>
      <w:t>Fiscalía General del Estado de SLP</w:t>
    </w:r>
  </w:p>
  <w:p w:rsidR="00C678DE" w:rsidRDefault="00C678D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C678DE" w:rsidRDefault="00C678D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C678DE" w:rsidRDefault="00C678D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C678DE" w:rsidRDefault="00C678DE">
    <w:pPr>
      <w:pStyle w:val="Piedepgina"/>
      <w:jc w:val="right"/>
      <w:rPr>
        <w:rFonts w:ascii="Arial" w:hAnsi="Arial" w:cs="Arial"/>
        <w:color w:val="000000" w:themeColor="text1"/>
        <w:sz w:val="13"/>
      </w:rPr>
    </w:pPr>
    <w:r>
      <w:rPr>
        <w:rFonts w:ascii="Arial" w:hAnsi="Arial" w:cs="Arial"/>
        <w:color w:val="000000" w:themeColor="text1"/>
        <w:sz w:val="13"/>
      </w:rPr>
      <w:t>Tel. 01 (444) 812 26 24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1BC" w:rsidRDefault="00AA41B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AE1" w:rsidRDefault="00D02AE1">
      <w:r>
        <w:separator/>
      </w:r>
    </w:p>
  </w:footnote>
  <w:footnote w:type="continuationSeparator" w:id="0">
    <w:p w:rsidR="00D02AE1" w:rsidRDefault="00D02A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1BC" w:rsidRDefault="00AA41B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191400"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8DE" w:rsidRDefault="00AA41B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191401" o:spid="_x0000_s2051"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C678DE">
      <w:rPr>
        <w:noProof/>
        <w:lang w:eastAsia="es-MX"/>
      </w:rPr>
      <w:drawing>
        <wp:anchor distT="0" distB="0" distL="114300" distR="114300" simplePos="0" relativeHeight="251659264" behindDoc="1" locked="0" layoutInCell="1" allowOverlap="1">
          <wp:simplePos x="0" y="0"/>
          <wp:positionH relativeFrom="column">
            <wp:posOffset>-663575</wp:posOffset>
          </wp:positionH>
          <wp:positionV relativeFrom="paragraph">
            <wp:posOffset>-488315</wp:posOffset>
          </wp:positionV>
          <wp:extent cx="7896225" cy="1431290"/>
          <wp:effectExtent l="0" t="0" r="9525"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290"/>
                  </a:xfrm>
                  <a:prstGeom prst="rect">
                    <a:avLst/>
                  </a:prstGeom>
                  <a:noFill/>
                  <a:ln>
                    <a:noFill/>
                  </a:ln>
                </pic:spPr>
              </pic:pic>
            </a:graphicData>
          </a:graphic>
        </wp:anchor>
      </w:drawing>
    </w:r>
    <w:sdt>
      <w:sdtPr>
        <w:rPr>
          <w:lang w:eastAsia="es-MX"/>
        </w:rPr>
        <w:id w:val="1058291611"/>
      </w:sdtPr>
      <w:sdtEndPr/>
      <w:sdtContent>
        <w:r w:rsidR="00C678DE">
          <w:rPr>
            <w:noProof/>
            <w:lang w:eastAsia="es-MX"/>
          </w:rPr>
          <mc:AlternateContent>
            <mc:Choice Requires="wps">
              <w:drawing>
                <wp:anchor distT="0" distB="0" distL="114300" distR="114300" simplePos="0" relativeHeight="251661312"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C678DE" w:rsidRDefault="00C678D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A41BC" w:rsidRPr="00AA41BC">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6131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C678DE" w:rsidRDefault="00C678D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A41BC" w:rsidRPr="00AA41BC">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C678DE">
      <w:rPr>
        <w:lang w:eastAsia="es-MX"/>
      </w:rPr>
      <w:t xml:space="preserve"> </w:t>
    </w:r>
    <w:r w:rsidR="00C678DE">
      <w:tab/>
    </w:r>
    <w:r w:rsidR="00C678DE">
      <w:tab/>
    </w:r>
  </w:p>
  <w:p w:rsidR="00C678DE" w:rsidRDefault="00C678DE">
    <w:pPr>
      <w:pStyle w:val="Encabezado"/>
      <w:tabs>
        <w:tab w:val="clear" w:pos="4419"/>
        <w:tab w:val="clear" w:pos="8838"/>
        <w:tab w:val="left" w:pos="812"/>
      </w:tabs>
    </w:pPr>
  </w:p>
  <w:p w:rsidR="00C678DE" w:rsidRDefault="00C678DE">
    <w:pPr>
      <w:pStyle w:val="Encabezado"/>
      <w:tabs>
        <w:tab w:val="clear" w:pos="4419"/>
        <w:tab w:val="clear" w:pos="8838"/>
        <w:tab w:val="left" w:pos="812"/>
      </w:tabs>
    </w:pPr>
  </w:p>
  <w:p w:rsidR="00C678DE" w:rsidRDefault="00C678DE">
    <w:pPr>
      <w:pStyle w:val="Encabezado"/>
      <w:tabs>
        <w:tab w:val="clear" w:pos="4419"/>
        <w:tab w:val="clear" w:pos="8838"/>
        <w:tab w:val="left" w:pos="812"/>
      </w:tabs>
    </w:pPr>
  </w:p>
  <w:p w:rsidR="00C678DE" w:rsidRDefault="00C678D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2336" behindDoc="0" locked="0" layoutInCell="1" allowOverlap="1">
              <wp:simplePos x="0" y="0"/>
              <wp:positionH relativeFrom="column">
                <wp:posOffset>-130810</wp:posOffset>
              </wp:positionH>
              <wp:positionV relativeFrom="paragraph">
                <wp:posOffset>123825</wp:posOffset>
              </wp:positionV>
              <wp:extent cx="6550660" cy="527050"/>
              <wp:effectExtent l="19050" t="19050" r="22225" b="25400"/>
              <wp:wrapNone/>
              <wp:docPr id="2" name="2 Cuadro de texto"/>
              <wp:cNvGraphicFramePr/>
              <a:graphic xmlns:a="http://schemas.openxmlformats.org/drawingml/2006/main">
                <a:graphicData uri="http://schemas.microsoft.com/office/word/2010/wordprocessingShape">
                  <wps:wsp>
                    <wps:cNvSpPr txBox="1"/>
                    <wps:spPr>
                      <a:xfrm>
                        <a:off x="0" y="0"/>
                        <a:ext cx="6550659" cy="527322"/>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C678DE" w:rsidRDefault="00C678DE">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 xml:space="preserve">Acuerdo de reserva </w:t>
                          </w:r>
                          <w:r>
                            <w:rPr>
                              <w:rFonts w:ascii="Arial" w:hAnsi="Arial" w:cs="Arial"/>
                              <w:b/>
                              <w:color w:val="FFFFFF" w:themeColor="background1"/>
                              <w:sz w:val="18"/>
                              <w:szCs w:val="18"/>
                            </w:rPr>
                            <w:t xml:space="preserve">total FGE/D01/SLP/UIH/006/2023 </w:t>
                          </w:r>
                          <w:r>
                            <w:rPr>
                              <w:rFonts w:ascii="Arial" w:hAnsi="Arial" w:cs="Arial"/>
                              <w:b/>
                              <w:color w:val="FFFFFF" w:themeColor="background1"/>
                              <w:sz w:val="18"/>
                              <w:szCs w:val="18"/>
                              <w:lang w:val="es-ES"/>
                            </w:rPr>
                            <w:t xml:space="preserve">que emite </w:t>
                          </w:r>
                          <w:r>
                            <w:rPr>
                              <w:rFonts w:ascii="Arial" w:hAnsi="Arial" w:cs="Arial"/>
                              <w:b/>
                              <w:color w:val="FFFFFF" w:themeColor="background1"/>
                              <w:sz w:val="18"/>
                              <w:szCs w:val="18"/>
                            </w:rPr>
                            <w:t>el Titular de la Unidad Especializada en Homicidios de la Fiscalía General del Estado</w:t>
                          </w:r>
                          <w:r w:rsidR="003D5CA8">
                            <w:rPr>
                              <w:rFonts w:ascii="Arial" w:hAnsi="Arial" w:cs="Arial"/>
                              <w:b/>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2 Cuadro de texto" o:spid="_x0000_s1027" type="#_x0000_t202" style="position:absolute;margin-left:-10.3pt;margin-top:9.75pt;width:515.8pt;height:4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" fillcolor="#aeaaaa [2414]" strokecolor="#0070c0" strokeweight="2.25pt">
              <v:textbox>
                <w:txbxContent>
                  <w:p w:rsidR="00C678DE" w:rsidRDefault="00C678DE">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 xml:space="preserve">Acuerdo de reserva </w:t>
                    </w:r>
                    <w:r>
                      <w:rPr>
                        <w:rFonts w:ascii="Arial" w:hAnsi="Arial" w:cs="Arial"/>
                        <w:b/>
                        <w:color w:val="FFFFFF" w:themeColor="background1"/>
                        <w:sz w:val="18"/>
                        <w:szCs w:val="18"/>
                      </w:rPr>
                      <w:t xml:space="preserve">total FGE/D01/SLP/UIH/006/2023 </w:t>
                    </w:r>
                    <w:r>
                      <w:rPr>
                        <w:rFonts w:ascii="Arial" w:hAnsi="Arial" w:cs="Arial"/>
                        <w:b/>
                        <w:color w:val="FFFFFF" w:themeColor="background1"/>
                        <w:sz w:val="18"/>
                        <w:szCs w:val="18"/>
                        <w:lang w:val="es-ES"/>
                      </w:rPr>
                      <w:t xml:space="preserve">que emite </w:t>
                    </w:r>
                    <w:r>
                      <w:rPr>
                        <w:rFonts w:ascii="Arial" w:hAnsi="Arial" w:cs="Arial"/>
                        <w:b/>
                        <w:color w:val="FFFFFF" w:themeColor="background1"/>
                        <w:sz w:val="18"/>
                        <w:szCs w:val="18"/>
                      </w:rPr>
                      <w:t>el Titular de la Unidad Especializada en Homicidios de la Fiscalía General del Estado</w:t>
                    </w:r>
                    <w:r w:rsidR="003D5CA8">
                      <w:rPr>
                        <w:rFonts w:ascii="Arial" w:hAnsi="Arial" w:cs="Arial"/>
                        <w:b/>
                        <w:color w:val="FFFFFF" w:themeColor="background1"/>
                        <w:sz w:val="18"/>
                        <w:szCs w:val="18"/>
                      </w:rPr>
                      <w:t>.</w:t>
                    </w:r>
                  </w:p>
                </w:txbxContent>
              </v:textbox>
            </v:shape>
          </w:pict>
        </mc:Fallback>
      </mc:AlternateContent>
    </w:r>
  </w:p>
  <w:p w:rsidR="00C678DE" w:rsidRDefault="00C678DE">
    <w:pPr>
      <w:pStyle w:val="Encabezado"/>
      <w:tabs>
        <w:tab w:val="clear" w:pos="4419"/>
        <w:tab w:val="clear" w:pos="8838"/>
        <w:tab w:val="left" w:pos="812"/>
      </w:tabs>
    </w:pPr>
  </w:p>
  <w:p w:rsidR="00C678DE" w:rsidRDefault="00C678DE">
    <w:pPr>
      <w:spacing w:after="200" w:line="276" w:lineRule="auto"/>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1BC" w:rsidRDefault="00AA41B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191399"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1C031"/>
    <w:multiLevelType w:val="singleLevel"/>
    <w:tmpl w:val="26D1C031"/>
    <w:lvl w:ilvl="0">
      <w:start w:val="1"/>
      <w:numFmt w:val="upperRoman"/>
      <w:suff w:val="space"/>
      <w:lvlText w:val="%1."/>
      <w:lvlJc w:val="left"/>
    </w:lvl>
  </w:abstractNum>
  <w:abstractNum w:abstractNumId="1">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0158"/>
    <w:rsid w:val="00011757"/>
    <w:rsid w:val="00012344"/>
    <w:rsid w:val="000214CF"/>
    <w:rsid w:val="000215E3"/>
    <w:rsid w:val="000279DE"/>
    <w:rsid w:val="000316F8"/>
    <w:rsid w:val="00043EA6"/>
    <w:rsid w:val="0004691F"/>
    <w:rsid w:val="00047BEE"/>
    <w:rsid w:val="000516AB"/>
    <w:rsid w:val="00060363"/>
    <w:rsid w:val="0006789D"/>
    <w:rsid w:val="00074CBB"/>
    <w:rsid w:val="00077689"/>
    <w:rsid w:val="0009152F"/>
    <w:rsid w:val="00092311"/>
    <w:rsid w:val="00094BF8"/>
    <w:rsid w:val="00097461"/>
    <w:rsid w:val="00097472"/>
    <w:rsid w:val="000A001A"/>
    <w:rsid w:val="000B4E59"/>
    <w:rsid w:val="000B4E6F"/>
    <w:rsid w:val="000B5998"/>
    <w:rsid w:val="000C09C1"/>
    <w:rsid w:val="000E151A"/>
    <w:rsid w:val="000E33F8"/>
    <w:rsid w:val="000E6D81"/>
    <w:rsid w:val="000F0028"/>
    <w:rsid w:val="000F00E8"/>
    <w:rsid w:val="000F34F2"/>
    <w:rsid w:val="0010091A"/>
    <w:rsid w:val="00104B37"/>
    <w:rsid w:val="0010725A"/>
    <w:rsid w:val="001122B3"/>
    <w:rsid w:val="0011388F"/>
    <w:rsid w:val="00117688"/>
    <w:rsid w:val="00122709"/>
    <w:rsid w:val="00131492"/>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5709"/>
    <w:rsid w:val="00192119"/>
    <w:rsid w:val="00196E5A"/>
    <w:rsid w:val="001A0FF2"/>
    <w:rsid w:val="001A1BA9"/>
    <w:rsid w:val="001A32B1"/>
    <w:rsid w:val="001A7172"/>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30EFA"/>
    <w:rsid w:val="00234321"/>
    <w:rsid w:val="00241C03"/>
    <w:rsid w:val="00244CB1"/>
    <w:rsid w:val="00244E15"/>
    <w:rsid w:val="00244EE4"/>
    <w:rsid w:val="002513CE"/>
    <w:rsid w:val="0025149A"/>
    <w:rsid w:val="0025537D"/>
    <w:rsid w:val="002561B1"/>
    <w:rsid w:val="00256AE8"/>
    <w:rsid w:val="00257429"/>
    <w:rsid w:val="00262F6F"/>
    <w:rsid w:val="002648E0"/>
    <w:rsid w:val="002652A7"/>
    <w:rsid w:val="00273340"/>
    <w:rsid w:val="00275CAB"/>
    <w:rsid w:val="00276DC7"/>
    <w:rsid w:val="002903E6"/>
    <w:rsid w:val="00291A4A"/>
    <w:rsid w:val="002935FF"/>
    <w:rsid w:val="002B62D5"/>
    <w:rsid w:val="002C182D"/>
    <w:rsid w:val="002D0260"/>
    <w:rsid w:val="002D4E8D"/>
    <w:rsid w:val="002E1A1F"/>
    <w:rsid w:val="002E30D8"/>
    <w:rsid w:val="002E3CBD"/>
    <w:rsid w:val="002E6666"/>
    <w:rsid w:val="002E7CE8"/>
    <w:rsid w:val="002F210D"/>
    <w:rsid w:val="002F47AF"/>
    <w:rsid w:val="002F5CAB"/>
    <w:rsid w:val="002F7281"/>
    <w:rsid w:val="003003C1"/>
    <w:rsid w:val="00303ECE"/>
    <w:rsid w:val="00311032"/>
    <w:rsid w:val="0032003C"/>
    <w:rsid w:val="00322663"/>
    <w:rsid w:val="0032311B"/>
    <w:rsid w:val="00326DD7"/>
    <w:rsid w:val="00330F5F"/>
    <w:rsid w:val="003311E5"/>
    <w:rsid w:val="0033544C"/>
    <w:rsid w:val="0033754B"/>
    <w:rsid w:val="00337E40"/>
    <w:rsid w:val="00340F4C"/>
    <w:rsid w:val="00342CCD"/>
    <w:rsid w:val="00350C59"/>
    <w:rsid w:val="0035409F"/>
    <w:rsid w:val="00364EBE"/>
    <w:rsid w:val="0037773A"/>
    <w:rsid w:val="003834BC"/>
    <w:rsid w:val="003924E6"/>
    <w:rsid w:val="003930E6"/>
    <w:rsid w:val="003A0D63"/>
    <w:rsid w:val="003A2C50"/>
    <w:rsid w:val="003A4CFA"/>
    <w:rsid w:val="003C1381"/>
    <w:rsid w:val="003C17BE"/>
    <w:rsid w:val="003C2D3B"/>
    <w:rsid w:val="003C7962"/>
    <w:rsid w:val="003D3322"/>
    <w:rsid w:val="003D379C"/>
    <w:rsid w:val="003D5CA8"/>
    <w:rsid w:val="003D6E37"/>
    <w:rsid w:val="003E03FF"/>
    <w:rsid w:val="003E74F2"/>
    <w:rsid w:val="003E7A82"/>
    <w:rsid w:val="003F07CA"/>
    <w:rsid w:val="003F4311"/>
    <w:rsid w:val="003F62EE"/>
    <w:rsid w:val="00402430"/>
    <w:rsid w:val="00405289"/>
    <w:rsid w:val="00410772"/>
    <w:rsid w:val="004231C1"/>
    <w:rsid w:val="00433942"/>
    <w:rsid w:val="00433D8C"/>
    <w:rsid w:val="00437D50"/>
    <w:rsid w:val="00440E63"/>
    <w:rsid w:val="00443DB4"/>
    <w:rsid w:val="004477C0"/>
    <w:rsid w:val="00447A5C"/>
    <w:rsid w:val="004647AD"/>
    <w:rsid w:val="00465075"/>
    <w:rsid w:val="00473BF0"/>
    <w:rsid w:val="00473FA8"/>
    <w:rsid w:val="00476DC3"/>
    <w:rsid w:val="004832E2"/>
    <w:rsid w:val="00485D65"/>
    <w:rsid w:val="00493C1E"/>
    <w:rsid w:val="00496189"/>
    <w:rsid w:val="004972F8"/>
    <w:rsid w:val="00497E2D"/>
    <w:rsid w:val="004A184C"/>
    <w:rsid w:val="004B1662"/>
    <w:rsid w:val="004B2C7C"/>
    <w:rsid w:val="004B475C"/>
    <w:rsid w:val="004B6BFE"/>
    <w:rsid w:val="004C0F6D"/>
    <w:rsid w:val="004C1B6F"/>
    <w:rsid w:val="004C5296"/>
    <w:rsid w:val="004D4720"/>
    <w:rsid w:val="004D49ED"/>
    <w:rsid w:val="004D7C2D"/>
    <w:rsid w:val="004E497E"/>
    <w:rsid w:val="004F640E"/>
    <w:rsid w:val="004F7019"/>
    <w:rsid w:val="00502579"/>
    <w:rsid w:val="005078F4"/>
    <w:rsid w:val="005137BF"/>
    <w:rsid w:val="0052013D"/>
    <w:rsid w:val="005203B3"/>
    <w:rsid w:val="00522390"/>
    <w:rsid w:val="00525599"/>
    <w:rsid w:val="00533E32"/>
    <w:rsid w:val="005357A2"/>
    <w:rsid w:val="00536224"/>
    <w:rsid w:val="00537A55"/>
    <w:rsid w:val="00540338"/>
    <w:rsid w:val="0054303C"/>
    <w:rsid w:val="005433FA"/>
    <w:rsid w:val="00544069"/>
    <w:rsid w:val="00545219"/>
    <w:rsid w:val="005454A4"/>
    <w:rsid w:val="00546CCD"/>
    <w:rsid w:val="005502C0"/>
    <w:rsid w:val="00551DF0"/>
    <w:rsid w:val="00554106"/>
    <w:rsid w:val="00554315"/>
    <w:rsid w:val="0055658F"/>
    <w:rsid w:val="00562A91"/>
    <w:rsid w:val="00570815"/>
    <w:rsid w:val="005753B3"/>
    <w:rsid w:val="00581A7F"/>
    <w:rsid w:val="00584602"/>
    <w:rsid w:val="00590E1C"/>
    <w:rsid w:val="00597895"/>
    <w:rsid w:val="005A2227"/>
    <w:rsid w:val="005B0334"/>
    <w:rsid w:val="005C069E"/>
    <w:rsid w:val="005C118D"/>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3EBB"/>
    <w:rsid w:val="00660EA9"/>
    <w:rsid w:val="00661CDD"/>
    <w:rsid w:val="006639DB"/>
    <w:rsid w:val="006655C2"/>
    <w:rsid w:val="006656E1"/>
    <w:rsid w:val="00670055"/>
    <w:rsid w:val="00672CB0"/>
    <w:rsid w:val="00677AEE"/>
    <w:rsid w:val="00687D08"/>
    <w:rsid w:val="006937A4"/>
    <w:rsid w:val="00697AE7"/>
    <w:rsid w:val="006A44DB"/>
    <w:rsid w:val="006B0801"/>
    <w:rsid w:val="006B331C"/>
    <w:rsid w:val="006B4084"/>
    <w:rsid w:val="006C0831"/>
    <w:rsid w:val="006C25A9"/>
    <w:rsid w:val="006C5FA7"/>
    <w:rsid w:val="006C6463"/>
    <w:rsid w:val="006E21D7"/>
    <w:rsid w:val="006E2EDF"/>
    <w:rsid w:val="006E6D1D"/>
    <w:rsid w:val="006F077F"/>
    <w:rsid w:val="006F086E"/>
    <w:rsid w:val="006F20E9"/>
    <w:rsid w:val="006F4999"/>
    <w:rsid w:val="0070291D"/>
    <w:rsid w:val="0070596D"/>
    <w:rsid w:val="00710C84"/>
    <w:rsid w:val="00711658"/>
    <w:rsid w:val="00717045"/>
    <w:rsid w:val="00717CF8"/>
    <w:rsid w:val="00723AF7"/>
    <w:rsid w:val="007248BE"/>
    <w:rsid w:val="00740F43"/>
    <w:rsid w:val="0074476D"/>
    <w:rsid w:val="007460DC"/>
    <w:rsid w:val="00751B33"/>
    <w:rsid w:val="00752DEA"/>
    <w:rsid w:val="0076137E"/>
    <w:rsid w:val="007617F9"/>
    <w:rsid w:val="00767FC1"/>
    <w:rsid w:val="00771908"/>
    <w:rsid w:val="00774F4B"/>
    <w:rsid w:val="0077560A"/>
    <w:rsid w:val="007768CC"/>
    <w:rsid w:val="00781D2F"/>
    <w:rsid w:val="00786EE7"/>
    <w:rsid w:val="0079645E"/>
    <w:rsid w:val="007A18C2"/>
    <w:rsid w:val="007A28F6"/>
    <w:rsid w:val="007A292F"/>
    <w:rsid w:val="007A4E3C"/>
    <w:rsid w:val="007A6796"/>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0849"/>
    <w:rsid w:val="007F2DA8"/>
    <w:rsid w:val="007F4E72"/>
    <w:rsid w:val="00805092"/>
    <w:rsid w:val="00806055"/>
    <w:rsid w:val="00812BF7"/>
    <w:rsid w:val="00814012"/>
    <w:rsid w:val="008232B9"/>
    <w:rsid w:val="008235C2"/>
    <w:rsid w:val="00823D57"/>
    <w:rsid w:val="0082794C"/>
    <w:rsid w:val="00831099"/>
    <w:rsid w:val="00837898"/>
    <w:rsid w:val="00845198"/>
    <w:rsid w:val="00850661"/>
    <w:rsid w:val="00854CCF"/>
    <w:rsid w:val="0086255E"/>
    <w:rsid w:val="008669B5"/>
    <w:rsid w:val="00871464"/>
    <w:rsid w:val="008760A4"/>
    <w:rsid w:val="00876A3D"/>
    <w:rsid w:val="008777CC"/>
    <w:rsid w:val="00885156"/>
    <w:rsid w:val="008929DA"/>
    <w:rsid w:val="008B2F16"/>
    <w:rsid w:val="008C1FCF"/>
    <w:rsid w:val="008C5A4E"/>
    <w:rsid w:val="008D1E6A"/>
    <w:rsid w:val="008D3B76"/>
    <w:rsid w:val="008D4F07"/>
    <w:rsid w:val="008F4DEC"/>
    <w:rsid w:val="008F508A"/>
    <w:rsid w:val="009007AA"/>
    <w:rsid w:val="00904454"/>
    <w:rsid w:val="00920E6D"/>
    <w:rsid w:val="00926017"/>
    <w:rsid w:val="00926C71"/>
    <w:rsid w:val="00927902"/>
    <w:rsid w:val="00930C23"/>
    <w:rsid w:val="00931B62"/>
    <w:rsid w:val="00936591"/>
    <w:rsid w:val="00943A60"/>
    <w:rsid w:val="00943CBC"/>
    <w:rsid w:val="009445F1"/>
    <w:rsid w:val="00952023"/>
    <w:rsid w:val="009527D5"/>
    <w:rsid w:val="00953594"/>
    <w:rsid w:val="00954944"/>
    <w:rsid w:val="0095660D"/>
    <w:rsid w:val="00961F3B"/>
    <w:rsid w:val="009633D5"/>
    <w:rsid w:val="00967709"/>
    <w:rsid w:val="00981293"/>
    <w:rsid w:val="00987CF2"/>
    <w:rsid w:val="00991CC1"/>
    <w:rsid w:val="00991EE3"/>
    <w:rsid w:val="0099252F"/>
    <w:rsid w:val="00992721"/>
    <w:rsid w:val="009A0CA9"/>
    <w:rsid w:val="009A1E76"/>
    <w:rsid w:val="009A3010"/>
    <w:rsid w:val="009A3CAC"/>
    <w:rsid w:val="009A4F60"/>
    <w:rsid w:val="009B3FF4"/>
    <w:rsid w:val="009C36F2"/>
    <w:rsid w:val="009C71D2"/>
    <w:rsid w:val="009D1416"/>
    <w:rsid w:val="009D3B37"/>
    <w:rsid w:val="009D3B91"/>
    <w:rsid w:val="009D5B45"/>
    <w:rsid w:val="009E0009"/>
    <w:rsid w:val="009E1324"/>
    <w:rsid w:val="009E4CCF"/>
    <w:rsid w:val="009E7578"/>
    <w:rsid w:val="009F1F56"/>
    <w:rsid w:val="009F25F5"/>
    <w:rsid w:val="009F7723"/>
    <w:rsid w:val="00A00378"/>
    <w:rsid w:val="00A027E0"/>
    <w:rsid w:val="00A142C3"/>
    <w:rsid w:val="00A17CBC"/>
    <w:rsid w:val="00A20C0F"/>
    <w:rsid w:val="00A21527"/>
    <w:rsid w:val="00A23464"/>
    <w:rsid w:val="00A30513"/>
    <w:rsid w:val="00A3119E"/>
    <w:rsid w:val="00A42F99"/>
    <w:rsid w:val="00A430C0"/>
    <w:rsid w:val="00A44A53"/>
    <w:rsid w:val="00A45C43"/>
    <w:rsid w:val="00A61FE0"/>
    <w:rsid w:val="00A63F9C"/>
    <w:rsid w:val="00A67F68"/>
    <w:rsid w:val="00A720FD"/>
    <w:rsid w:val="00A80CA3"/>
    <w:rsid w:val="00A85761"/>
    <w:rsid w:val="00A90E40"/>
    <w:rsid w:val="00A94E88"/>
    <w:rsid w:val="00A97941"/>
    <w:rsid w:val="00AA120F"/>
    <w:rsid w:val="00AA41BC"/>
    <w:rsid w:val="00AA5A00"/>
    <w:rsid w:val="00AB0017"/>
    <w:rsid w:val="00AB161E"/>
    <w:rsid w:val="00AC091B"/>
    <w:rsid w:val="00AC1176"/>
    <w:rsid w:val="00AC14B9"/>
    <w:rsid w:val="00AC29C8"/>
    <w:rsid w:val="00AC3865"/>
    <w:rsid w:val="00AD79A6"/>
    <w:rsid w:val="00AE4C4A"/>
    <w:rsid w:val="00AE70C4"/>
    <w:rsid w:val="00AF7A5D"/>
    <w:rsid w:val="00B00015"/>
    <w:rsid w:val="00B0559D"/>
    <w:rsid w:val="00B06822"/>
    <w:rsid w:val="00B07D95"/>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074A"/>
    <w:rsid w:val="00BB225B"/>
    <w:rsid w:val="00BB6845"/>
    <w:rsid w:val="00BC0B10"/>
    <w:rsid w:val="00BC37ED"/>
    <w:rsid w:val="00BD2550"/>
    <w:rsid w:val="00BD570D"/>
    <w:rsid w:val="00BD5941"/>
    <w:rsid w:val="00BE5C2C"/>
    <w:rsid w:val="00BE6BCF"/>
    <w:rsid w:val="00BF5146"/>
    <w:rsid w:val="00BF5740"/>
    <w:rsid w:val="00BF7C0E"/>
    <w:rsid w:val="00C01500"/>
    <w:rsid w:val="00C204E9"/>
    <w:rsid w:val="00C218EC"/>
    <w:rsid w:val="00C2217A"/>
    <w:rsid w:val="00C269D1"/>
    <w:rsid w:val="00C35708"/>
    <w:rsid w:val="00C40442"/>
    <w:rsid w:val="00C42AC3"/>
    <w:rsid w:val="00C44251"/>
    <w:rsid w:val="00C45988"/>
    <w:rsid w:val="00C5041B"/>
    <w:rsid w:val="00C54B5D"/>
    <w:rsid w:val="00C60803"/>
    <w:rsid w:val="00C62917"/>
    <w:rsid w:val="00C63027"/>
    <w:rsid w:val="00C678DE"/>
    <w:rsid w:val="00C70971"/>
    <w:rsid w:val="00C71829"/>
    <w:rsid w:val="00C760CF"/>
    <w:rsid w:val="00C76C0B"/>
    <w:rsid w:val="00C90D83"/>
    <w:rsid w:val="00C96F2F"/>
    <w:rsid w:val="00CA32D1"/>
    <w:rsid w:val="00CB2DB5"/>
    <w:rsid w:val="00CB5E80"/>
    <w:rsid w:val="00CB78A0"/>
    <w:rsid w:val="00CD106D"/>
    <w:rsid w:val="00CD3676"/>
    <w:rsid w:val="00CD4B66"/>
    <w:rsid w:val="00CD7BBA"/>
    <w:rsid w:val="00CE70F9"/>
    <w:rsid w:val="00CF11DE"/>
    <w:rsid w:val="00CF5326"/>
    <w:rsid w:val="00D01046"/>
    <w:rsid w:val="00D024F4"/>
    <w:rsid w:val="00D02AE1"/>
    <w:rsid w:val="00D0353D"/>
    <w:rsid w:val="00D06E6C"/>
    <w:rsid w:val="00D07876"/>
    <w:rsid w:val="00D123AA"/>
    <w:rsid w:val="00D156E9"/>
    <w:rsid w:val="00D20F23"/>
    <w:rsid w:val="00D37E78"/>
    <w:rsid w:val="00D40B51"/>
    <w:rsid w:val="00D44519"/>
    <w:rsid w:val="00D44B8D"/>
    <w:rsid w:val="00D47683"/>
    <w:rsid w:val="00D511D2"/>
    <w:rsid w:val="00D550D0"/>
    <w:rsid w:val="00D66600"/>
    <w:rsid w:val="00D812EA"/>
    <w:rsid w:val="00D843EF"/>
    <w:rsid w:val="00D855D5"/>
    <w:rsid w:val="00D93F6F"/>
    <w:rsid w:val="00D951F0"/>
    <w:rsid w:val="00D96174"/>
    <w:rsid w:val="00DA1E52"/>
    <w:rsid w:val="00DA2785"/>
    <w:rsid w:val="00DA3298"/>
    <w:rsid w:val="00DB2030"/>
    <w:rsid w:val="00DB51DB"/>
    <w:rsid w:val="00DC2367"/>
    <w:rsid w:val="00DC37CD"/>
    <w:rsid w:val="00DD6DC7"/>
    <w:rsid w:val="00DE7DFD"/>
    <w:rsid w:val="00E01F09"/>
    <w:rsid w:val="00E03D33"/>
    <w:rsid w:val="00E11EFC"/>
    <w:rsid w:val="00E1239C"/>
    <w:rsid w:val="00E1624C"/>
    <w:rsid w:val="00E16530"/>
    <w:rsid w:val="00E21D0D"/>
    <w:rsid w:val="00E24478"/>
    <w:rsid w:val="00E27421"/>
    <w:rsid w:val="00E27D91"/>
    <w:rsid w:val="00E334C7"/>
    <w:rsid w:val="00E34CB2"/>
    <w:rsid w:val="00E36D27"/>
    <w:rsid w:val="00E40A44"/>
    <w:rsid w:val="00E57A6F"/>
    <w:rsid w:val="00E6469D"/>
    <w:rsid w:val="00E65E29"/>
    <w:rsid w:val="00E716B5"/>
    <w:rsid w:val="00E7366C"/>
    <w:rsid w:val="00E739B3"/>
    <w:rsid w:val="00E74D9F"/>
    <w:rsid w:val="00E75443"/>
    <w:rsid w:val="00E76116"/>
    <w:rsid w:val="00E82FD0"/>
    <w:rsid w:val="00E852E0"/>
    <w:rsid w:val="00E864EA"/>
    <w:rsid w:val="00E8769E"/>
    <w:rsid w:val="00E928B5"/>
    <w:rsid w:val="00E92BE2"/>
    <w:rsid w:val="00E95EBE"/>
    <w:rsid w:val="00E974C6"/>
    <w:rsid w:val="00EA134F"/>
    <w:rsid w:val="00EA4BE5"/>
    <w:rsid w:val="00EC1AE7"/>
    <w:rsid w:val="00EC29D1"/>
    <w:rsid w:val="00EC3CB4"/>
    <w:rsid w:val="00EC5923"/>
    <w:rsid w:val="00EC6DC8"/>
    <w:rsid w:val="00ED1602"/>
    <w:rsid w:val="00EE1B94"/>
    <w:rsid w:val="00EE2AB2"/>
    <w:rsid w:val="00EF1BD7"/>
    <w:rsid w:val="00EF3268"/>
    <w:rsid w:val="00EF583B"/>
    <w:rsid w:val="00EF6001"/>
    <w:rsid w:val="00F0180B"/>
    <w:rsid w:val="00F052CF"/>
    <w:rsid w:val="00F06897"/>
    <w:rsid w:val="00F0748B"/>
    <w:rsid w:val="00F104DC"/>
    <w:rsid w:val="00F113DD"/>
    <w:rsid w:val="00F117DB"/>
    <w:rsid w:val="00F1577E"/>
    <w:rsid w:val="00F251D7"/>
    <w:rsid w:val="00F25244"/>
    <w:rsid w:val="00F31137"/>
    <w:rsid w:val="00F32008"/>
    <w:rsid w:val="00F32AE5"/>
    <w:rsid w:val="00F40511"/>
    <w:rsid w:val="00F46007"/>
    <w:rsid w:val="00F47D67"/>
    <w:rsid w:val="00F57D2A"/>
    <w:rsid w:val="00F66C46"/>
    <w:rsid w:val="00F678C6"/>
    <w:rsid w:val="00F75E0E"/>
    <w:rsid w:val="00F76C58"/>
    <w:rsid w:val="00F83DF1"/>
    <w:rsid w:val="00F9186B"/>
    <w:rsid w:val="00F9233E"/>
    <w:rsid w:val="00F9513D"/>
    <w:rsid w:val="00FA1BCA"/>
    <w:rsid w:val="00FA5344"/>
    <w:rsid w:val="00FA5484"/>
    <w:rsid w:val="00FB1319"/>
    <w:rsid w:val="00FC1A90"/>
    <w:rsid w:val="00FD1CEE"/>
    <w:rsid w:val="00FD3263"/>
    <w:rsid w:val="00FD7A01"/>
    <w:rsid w:val="00FE1464"/>
    <w:rsid w:val="00FE54F5"/>
    <w:rsid w:val="00FE6BAB"/>
    <w:rsid w:val="00FF0343"/>
    <w:rsid w:val="00FF5573"/>
    <w:rsid w:val="00FF7F6D"/>
    <w:rsid w:val="07D068BA"/>
    <w:rsid w:val="0D35696A"/>
    <w:rsid w:val="149543F1"/>
    <w:rsid w:val="15353059"/>
    <w:rsid w:val="1AB33DDA"/>
    <w:rsid w:val="1CAF24AF"/>
    <w:rsid w:val="1ED91DDE"/>
    <w:rsid w:val="257A29D1"/>
    <w:rsid w:val="2853422E"/>
    <w:rsid w:val="2D7846E4"/>
    <w:rsid w:val="33A97FFD"/>
    <w:rsid w:val="371C3BD6"/>
    <w:rsid w:val="37451B16"/>
    <w:rsid w:val="3B9C0F14"/>
    <w:rsid w:val="3EB31FEC"/>
    <w:rsid w:val="48BD08FC"/>
    <w:rsid w:val="4A36642E"/>
    <w:rsid w:val="4E925476"/>
    <w:rsid w:val="60D02BC3"/>
    <w:rsid w:val="677D1BBA"/>
    <w:rsid w:val="692E6978"/>
    <w:rsid w:val="69DF2AF7"/>
    <w:rsid w:val="6BBC1F31"/>
    <w:rsid w:val="73FA42D5"/>
    <w:rsid w:val="7B0068CC"/>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uiPriority="59" w:qFormat="1"/>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table" w:styleId="Tablaconcuadrcula">
    <w:name w:val="Table Grid"/>
    <w:basedOn w:val="Tabla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qFormat/>
    <w:rPr>
      <w:rFonts w:ascii="UICTFontTextStyleBody" w:hAnsi="UICTFontTextStyleBody" w:hint="default"/>
      <w:sz w:val="35"/>
      <w:szCs w:val="3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uiPriority="59" w:qFormat="1"/>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table" w:styleId="Tablaconcuadrcula">
    <w:name w:val="Table Grid"/>
    <w:basedOn w:val="Tabla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qFormat/>
    <w:rPr>
      <w:rFonts w:ascii="UICTFontTextStyleBody" w:hAnsi="UICTFontTextStyleBody" w:hint="default"/>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E92BE2-3FE9-4435-9BED-59A8D3071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11</Pages>
  <Words>3419</Words>
  <Characters>18809</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41</cp:revision>
  <cp:lastPrinted>2023-12-11T19:07:00Z</cp:lastPrinted>
  <dcterms:created xsi:type="dcterms:W3CDTF">2023-06-20T16:50:00Z</dcterms:created>
  <dcterms:modified xsi:type="dcterms:W3CDTF">2023-12-20T21:06:00Z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5974B68C4975415F828A1552F2CF8348_13</vt:lpwstr>
  </property>
</Properties>
</file>