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81F3C" w14:textId="2BEF38C6" w:rsidR="00612EA0" w:rsidRPr="00612EA0" w:rsidRDefault="00612EA0">
      <w:pPr>
        <w:rPr>
          <w:lang w:val="es-ES"/>
        </w:rPr>
      </w:pPr>
      <w:r>
        <w:rPr>
          <w:lang w:val="es-ES"/>
        </w:rPr>
        <w:t>LOS CONTRATOS SE ENCUENTRAN EN FIRMA EN CUANTO ESTEN LIBERADOS SERÁN GENERADOS SUS HIPERVINCULOS RESPECTIVOS.</w:t>
      </w:r>
    </w:p>
    <w:sectPr w:rsidR="00612EA0" w:rsidRPr="00612E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EA0"/>
    <w:rsid w:val="0061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ADA698"/>
  <w15:chartTrackingRefBased/>
  <w15:docId w15:val="{A358FD5E-F4B1-F749-9A3D-340778029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CARRANZA</dc:creator>
  <cp:keywords/>
  <dc:description/>
  <cp:lastModifiedBy>BEATRIZ CARRANZA</cp:lastModifiedBy>
  <cp:revision>1</cp:revision>
  <dcterms:created xsi:type="dcterms:W3CDTF">2023-11-09T19:05:00Z</dcterms:created>
  <dcterms:modified xsi:type="dcterms:W3CDTF">2023-11-09T19:05:00Z</dcterms:modified>
</cp:coreProperties>
</file>