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27152" w14:textId="77777777" w:rsidR="00913F62" w:rsidRPr="0014384E" w:rsidRDefault="00913F62" w:rsidP="000E167E">
      <w:pPr>
        <w:spacing w:line="360" w:lineRule="auto"/>
        <w:ind w:firstLine="708"/>
        <w:jc w:val="both"/>
        <w:rPr>
          <w:rFonts w:ascii="Arial" w:hAnsi="Arial" w:cs="Arial"/>
          <w:color w:val="323E4F" w:themeColor="text2" w:themeShade="BF"/>
          <w:sz w:val="22"/>
          <w:szCs w:val="22"/>
        </w:rPr>
      </w:pPr>
      <w:r w:rsidRPr="0014384E">
        <w:rPr>
          <w:rFonts w:ascii="Arial" w:hAnsi="Arial" w:cs="Arial"/>
          <w:color w:val="323E4F" w:themeColor="text2" w:themeShade="BF"/>
          <w:sz w:val="22"/>
          <w:szCs w:val="22"/>
        </w:rPr>
        <w:t>Visto el estado procesal que guarda el expediente citado al rubro; se procede a dictar Acuerdo, con base en los antecedentes y considerandos siguientes:</w:t>
      </w:r>
    </w:p>
    <w:p w14:paraId="39173386" w14:textId="77777777" w:rsidR="000E167E" w:rsidRPr="0014384E" w:rsidRDefault="000E167E" w:rsidP="00913F62">
      <w:pPr>
        <w:spacing w:line="360" w:lineRule="auto"/>
        <w:jc w:val="center"/>
        <w:rPr>
          <w:rFonts w:ascii="Arial" w:hAnsi="Arial" w:cs="Arial"/>
          <w:b/>
          <w:color w:val="323E4F" w:themeColor="text2" w:themeShade="BF"/>
          <w:sz w:val="22"/>
          <w:szCs w:val="22"/>
          <w:lang w:eastAsia="es-MX"/>
        </w:rPr>
      </w:pPr>
    </w:p>
    <w:p w14:paraId="59D4517E" w14:textId="32927ECC" w:rsidR="00913F62" w:rsidRPr="0014384E" w:rsidRDefault="00913F62" w:rsidP="000E167E">
      <w:pPr>
        <w:pStyle w:val="Prrafodelista"/>
        <w:numPr>
          <w:ilvl w:val="0"/>
          <w:numId w:val="12"/>
        </w:numPr>
        <w:spacing w:line="360" w:lineRule="auto"/>
        <w:jc w:val="center"/>
        <w:rPr>
          <w:rFonts w:ascii="Arial" w:hAnsi="Arial" w:cs="Arial"/>
          <w:b/>
          <w:color w:val="323E4F" w:themeColor="text2" w:themeShade="BF"/>
          <w:sz w:val="22"/>
          <w:szCs w:val="22"/>
          <w:lang w:eastAsia="es-MX"/>
        </w:rPr>
      </w:pPr>
      <w:r w:rsidRPr="0014384E">
        <w:rPr>
          <w:rFonts w:ascii="Arial" w:hAnsi="Arial" w:cs="Arial"/>
          <w:b/>
          <w:color w:val="323E4F" w:themeColor="text2" w:themeShade="BF"/>
          <w:sz w:val="22"/>
          <w:szCs w:val="22"/>
          <w:lang w:eastAsia="es-MX"/>
        </w:rPr>
        <w:t>RESULTANDO</w:t>
      </w:r>
    </w:p>
    <w:p w14:paraId="52343087" w14:textId="6A845443" w:rsidR="009C6E8D" w:rsidRPr="0014384E" w:rsidRDefault="00E02535" w:rsidP="009C6E8D">
      <w:pPr>
        <w:pStyle w:val="Prrafodelista"/>
        <w:numPr>
          <w:ilvl w:val="0"/>
          <w:numId w:val="21"/>
        </w:numPr>
        <w:spacing w:line="360" w:lineRule="auto"/>
        <w:jc w:val="both"/>
        <w:rPr>
          <w:rFonts w:ascii="Arial" w:hAnsi="Arial" w:cs="Arial"/>
          <w:b/>
          <w:color w:val="323E4F" w:themeColor="text2" w:themeShade="BF"/>
          <w:sz w:val="22"/>
          <w:szCs w:val="22"/>
          <w:lang w:eastAsia="es-MX"/>
        </w:rPr>
      </w:pPr>
      <w:r w:rsidRPr="0014384E">
        <w:rPr>
          <w:rFonts w:ascii="Arial" w:eastAsia="Arial Unicode MS" w:hAnsi="Arial" w:cs="Arial"/>
          <w:color w:val="323E4F" w:themeColor="text2" w:themeShade="BF"/>
          <w:sz w:val="22"/>
          <w:szCs w:val="22"/>
        </w:rPr>
        <w:t xml:space="preserve">El </w:t>
      </w:r>
      <w:r w:rsidR="00C01DF9" w:rsidRPr="0014384E">
        <w:rPr>
          <w:rFonts w:ascii="Arial" w:eastAsia="Arial Unicode MS" w:hAnsi="Arial" w:cs="Arial"/>
          <w:color w:val="323E4F" w:themeColor="text2" w:themeShade="BF"/>
          <w:sz w:val="22"/>
          <w:szCs w:val="22"/>
        </w:rPr>
        <w:t>30</w:t>
      </w:r>
      <w:r w:rsidR="008B394E" w:rsidRPr="0014384E">
        <w:rPr>
          <w:rFonts w:ascii="Arial" w:eastAsia="Arial Unicode MS" w:hAnsi="Arial" w:cs="Arial"/>
          <w:color w:val="323E4F" w:themeColor="text2" w:themeShade="BF"/>
          <w:sz w:val="22"/>
          <w:szCs w:val="22"/>
        </w:rPr>
        <w:t xml:space="preserve"> </w:t>
      </w:r>
      <w:r w:rsidR="00C01DF9" w:rsidRPr="0014384E">
        <w:rPr>
          <w:rFonts w:ascii="Arial" w:eastAsia="Arial Unicode MS" w:hAnsi="Arial" w:cs="Arial"/>
          <w:color w:val="323E4F" w:themeColor="text2" w:themeShade="BF"/>
          <w:sz w:val="22"/>
          <w:szCs w:val="22"/>
        </w:rPr>
        <w:t>treinta</w:t>
      </w:r>
      <w:r w:rsidR="005A248B" w:rsidRPr="0014384E">
        <w:rPr>
          <w:rFonts w:ascii="Arial" w:eastAsia="Arial Unicode MS" w:hAnsi="Arial" w:cs="Arial"/>
          <w:color w:val="323E4F" w:themeColor="text2" w:themeShade="BF"/>
          <w:sz w:val="22"/>
          <w:szCs w:val="22"/>
        </w:rPr>
        <w:t xml:space="preserve"> </w:t>
      </w:r>
      <w:r w:rsidR="00267627" w:rsidRPr="0014384E">
        <w:rPr>
          <w:rFonts w:ascii="Arial" w:eastAsia="Arial Unicode MS" w:hAnsi="Arial" w:cs="Arial"/>
          <w:color w:val="323E4F" w:themeColor="text2" w:themeShade="BF"/>
          <w:sz w:val="22"/>
          <w:szCs w:val="22"/>
        </w:rPr>
        <w:t xml:space="preserve">de </w:t>
      </w:r>
      <w:r w:rsidR="00C01DF9" w:rsidRPr="0014384E">
        <w:rPr>
          <w:rFonts w:ascii="Arial" w:eastAsia="Arial Unicode MS" w:hAnsi="Arial" w:cs="Arial"/>
          <w:color w:val="323E4F" w:themeColor="text2" w:themeShade="BF"/>
          <w:sz w:val="22"/>
          <w:szCs w:val="22"/>
        </w:rPr>
        <w:t>septiembre</w:t>
      </w:r>
      <w:r w:rsidRPr="0014384E">
        <w:rPr>
          <w:rFonts w:ascii="Arial" w:eastAsia="Arial Unicode MS" w:hAnsi="Arial" w:cs="Arial"/>
          <w:color w:val="323E4F" w:themeColor="text2" w:themeShade="BF"/>
          <w:sz w:val="22"/>
          <w:szCs w:val="22"/>
        </w:rPr>
        <w:t xml:space="preserve"> </w:t>
      </w:r>
      <w:r w:rsidR="00DE7922" w:rsidRPr="0014384E">
        <w:rPr>
          <w:rFonts w:ascii="Arial" w:eastAsia="Arial Unicode MS" w:hAnsi="Arial" w:cs="Arial"/>
          <w:color w:val="323E4F" w:themeColor="text2" w:themeShade="BF"/>
          <w:sz w:val="22"/>
          <w:szCs w:val="22"/>
        </w:rPr>
        <w:t>de</w:t>
      </w:r>
      <w:r w:rsidR="00C01DF9" w:rsidRPr="0014384E">
        <w:rPr>
          <w:rFonts w:ascii="Arial" w:eastAsia="Arial Unicode MS" w:hAnsi="Arial" w:cs="Arial"/>
          <w:color w:val="323E4F" w:themeColor="text2" w:themeShade="BF"/>
          <w:sz w:val="22"/>
          <w:szCs w:val="22"/>
        </w:rPr>
        <w:t xml:space="preserve"> 2022 </w:t>
      </w:r>
      <w:r w:rsidR="00ED0A0E" w:rsidRPr="0014384E">
        <w:rPr>
          <w:rFonts w:ascii="Arial" w:eastAsia="Arial Unicode MS" w:hAnsi="Arial" w:cs="Arial"/>
          <w:color w:val="323E4F" w:themeColor="text2" w:themeShade="BF"/>
          <w:sz w:val="22"/>
          <w:szCs w:val="22"/>
        </w:rPr>
        <w:t>dos mil veinti</w:t>
      </w:r>
      <w:r w:rsidR="00C01DF9" w:rsidRPr="0014384E">
        <w:rPr>
          <w:rFonts w:ascii="Arial" w:eastAsia="Arial Unicode MS" w:hAnsi="Arial" w:cs="Arial"/>
          <w:color w:val="323E4F" w:themeColor="text2" w:themeShade="BF"/>
          <w:sz w:val="22"/>
          <w:szCs w:val="22"/>
        </w:rPr>
        <w:t>dós</w:t>
      </w:r>
      <w:r w:rsidR="00ED0A0E" w:rsidRPr="0014384E">
        <w:rPr>
          <w:rFonts w:ascii="Arial" w:eastAsia="Arial Unicode MS" w:hAnsi="Arial" w:cs="Arial"/>
          <w:color w:val="323E4F" w:themeColor="text2" w:themeShade="BF"/>
          <w:sz w:val="22"/>
          <w:szCs w:val="22"/>
        </w:rPr>
        <w:t xml:space="preserve"> el recurrente</w:t>
      </w:r>
      <w:r w:rsidR="00913F62" w:rsidRPr="0014384E">
        <w:rPr>
          <w:rFonts w:ascii="Arial" w:eastAsia="Arial Unicode MS" w:hAnsi="Arial" w:cs="Arial"/>
          <w:color w:val="323E4F" w:themeColor="text2" w:themeShade="BF"/>
          <w:sz w:val="22"/>
          <w:szCs w:val="22"/>
        </w:rPr>
        <w:t xml:space="preserve"> diri</w:t>
      </w:r>
      <w:r w:rsidR="00C66E62" w:rsidRPr="0014384E">
        <w:rPr>
          <w:rFonts w:ascii="Arial" w:eastAsia="Arial Unicode MS" w:hAnsi="Arial" w:cs="Arial"/>
          <w:color w:val="323E4F" w:themeColor="text2" w:themeShade="BF"/>
          <w:sz w:val="22"/>
          <w:szCs w:val="22"/>
        </w:rPr>
        <w:t>gió</w:t>
      </w:r>
      <w:r w:rsidR="00B062D9" w:rsidRPr="0014384E">
        <w:rPr>
          <w:rFonts w:ascii="Arial" w:eastAsia="Arial Unicode MS" w:hAnsi="Arial" w:cs="Arial"/>
          <w:color w:val="323E4F" w:themeColor="text2" w:themeShade="BF"/>
          <w:sz w:val="22"/>
          <w:szCs w:val="22"/>
        </w:rPr>
        <w:t xml:space="preserve"> una solicitud de información </w:t>
      </w:r>
      <w:r w:rsidR="00F44A28" w:rsidRPr="0014384E">
        <w:rPr>
          <w:rFonts w:ascii="Arial" w:eastAsia="Arial Unicode MS" w:hAnsi="Arial" w:cs="Arial"/>
          <w:color w:val="323E4F" w:themeColor="text2" w:themeShade="BF"/>
          <w:sz w:val="22"/>
          <w:szCs w:val="22"/>
        </w:rPr>
        <w:t>a</w:t>
      </w:r>
      <w:r w:rsidR="005A248B" w:rsidRPr="0014384E">
        <w:rPr>
          <w:rFonts w:ascii="Arial" w:eastAsia="Arial Unicode MS" w:hAnsi="Arial" w:cs="Arial"/>
          <w:color w:val="323E4F" w:themeColor="text2" w:themeShade="BF"/>
          <w:sz w:val="22"/>
          <w:szCs w:val="22"/>
        </w:rPr>
        <w:t xml:space="preserve">l </w:t>
      </w:r>
      <w:r w:rsidR="00C01DF9" w:rsidRPr="0014384E">
        <w:rPr>
          <w:rFonts w:ascii="Arial" w:eastAsia="Arial Unicode MS" w:hAnsi="Arial" w:cs="Arial"/>
          <w:color w:val="323E4F" w:themeColor="text2" w:themeShade="BF"/>
          <w:sz w:val="22"/>
          <w:szCs w:val="22"/>
        </w:rPr>
        <w:t>Sistema Municipal DIF</w:t>
      </w:r>
      <w:r w:rsidR="005A248B" w:rsidRPr="0014384E">
        <w:rPr>
          <w:rFonts w:ascii="Arial" w:eastAsia="Arial Unicode MS" w:hAnsi="Arial" w:cs="Arial"/>
          <w:color w:val="323E4F" w:themeColor="text2" w:themeShade="BF"/>
          <w:sz w:val="22"/>
          <w:szCs w:val="22"/>
        </w:rPr>
        <w:t xml:space="preserve"> de Aquismón</w:t>
      </w:r>
      <w:r w:rsidR="00913F62" w:rsidRPr="0014384E">
        <w:rPr>
          <w:rFonts w:ascii="Arial" w:eastAsia="Arial Unicode MS" w:hAnsi="Arial" w:cs="Arial"/>
          <w:color w:val="323E4F" w:themeColor="text2" w:themeShade="BF"/>
          <w:sz w:val="22"/>
          <w:szCs w:val="22"/>
        </w:rPr>
        <w:t xml:space="preserve">, requiriendo lo siguiente:  </w:t>
      </w:r>
    </w:p>
    <w:p w14:paraId="75C567A4" w14:textId="77777777" w:rsidR="005C265E" w:rsidRPr="00163B48" w:rsidRDefault="005C265E" w:rsidP="005C265E">
      <w:pPr>
        <w:pStyle w:val="Prrafodelista"/>
        <w:spacing w:line="360" w:lineRule="auto"/>
        <w:ind w:left="644"/>
        <w:jc w:val="both"/>
        <w:rPr>
          <w:rFonts w:ascii="Arial" w:hAnsi="Arial" w:cs="Arial"/>
          <w:b/>
          <w:i/>
          <w:color w:val="323E4F" w:themeColor="text2" w:themeShade="BF"/>
          <w:szCs w:val="22"/>
          <w:lang w:eastAsia="es-MX"/>
        </w:rPr>
      </w:pPr>
    </w:p>
    <w:p w14:paraId="44D6EFA6" w14:textId="50E69D48" w:rsidR="005A248B" w:rsidRPr="0014384E" w:rsidRDefault="00C01DF9" w:rsidP="005A248B">
      <w:pPr>
        <w:ind w:left="1134" w:right="1185"/>
        <w:contextualSpacing/>
        <w:jc w:val="both"/>
        <w:rPr>
          <w:rFonts w:ascii="Arial" w:eastAsia="Arial Unicode MS" w:hAnsi="Arial" w:cs="Arial"/>
          <w:i/>
          <w:iCs/>
          <w:color w:val="323E4F" w:themeColor="text2" w:themeShade="BF"/>
          <w:sz w:val="20"/>
          <w:szCs w:val="22"/>
        </w:rPr>
      </w:pPr>
      <w:r w:rsidRPr="0014384E">
        <w:rPr>
          <w:rFonts w:ascii="Arial" w:eastAsia="Arial Unicode MS" w:hAnsi="Arial" w:cs="Arial"/>
          <w:i/>
          <w:iCs/>
          <w:color w:val="323E4F" w:themeColor="text2" w:themeShade="BF"/>
          <w:sz w:val="20"/>
          <w:szCs w:val="22"/>
        </w:rPr>
        <w:t xml:space="preserve">Con base en el artículo 115, fracción III, inciso i) de la Constitución Política Mexicana-en donde se señala que las legislaturas municipales determinarán con base en las capacidades administrativas y financieras los servicios que los municipios </w:t>
      </w:r>
      <w:r w:rsidR="00D7673C" w:rsidRPr="0014384E">
        <w:rPr>
          <w:rFonts w:ascii="Arial" w:eastAsia="Arial Unicode MS" w:hAnsi="Arial" w:cs="Arial"/>
          <w:i/>
          <w:iCs/>
          <w:color w:val="323E4F" w:themeColor="text2" w:themeShade="BF"/>
          <w:sz w:val="20"/>
          <w:szCs w:val="22"/>
        </w:rPr>
        <w:t>brindarán</w:t>
      </w:r>
      <w:r w:rsidRPr="0014384E">
        <w:rPr>
          <w:rFonts w:ascii="Arial" w:eastAsia="Arial Unicode MS" w:hAnsi="Arial" w:cs="Arial"/>
          <w:i/>
          <w:iCs/>
          <w:color w:val="323E4F" w:themeColor="text2" w:themeShade="BF"/>
          <w:sz w:val="20"/>
          <w:szCs w:val="22"/>
        </w:rPr>
        <w:t xml:space="preserve"> a su población- se solicita la siguiente información de preferencia en un archivo de </w:t>
      </w:r>
      <w:r w:rsidR="00D7673C" w:rsidRPr="0014384E">
        <w:rPr>
          <w:rFonts w:ascii="Arial" w:eastAsia="Arial Unicode MS" w:hAnsi="Arial" w:cs="Arial"/>
          <w:i/>
          <w:iCs/>
          <w:color w:val="323E4F" w:themeColor="text2" w:themeShade="BF"/>
          <w:sz w:val="20"/>
          <w:szCs w:val="22"/>
        </w:rPr>
        <w:t>Excel</w:t>
      </w:r>
      <w:r w:rsidRPr="0014384E">
        <w:rPr>
          <w:rFonts w:ascii="Arial" w:eastAsia="Arial Unicode MS" w:hAnsi="Arial" w:cs="Arial"/>
          <w:i/>
          <w:iCs/>
          <w:color w:val="323E4F" w:themeColor="text2" w:themeShade="BF"/>
          <w:sz w:val="20"/>
          <w:szCs w:val="22"/>
        </w:rPr>
        <w:t>:</w:t>
      </w:r>
    </w:p>
    <w:p w14:paraId="470DFCA4" w14:textId="229505C7" w:rsidR="00C01DF9" w:rsidRPr="0014384E" w:rsidRDefault="00C01DF9" w:rsidP="005A248B">
      <w:pPr>
        <w:ind w:left="1134" w:right="1185"/>
        <w:contextualSpacing/>
        <w:jc w:val="both"/>
        <w:rPr>
          <w:rFonts w:ascii="Arial" w:eastAsia="Arial Unicode MS" w:hAnsi="Arial" w:cs="Arial"/>
          <w:i/>
          <w:iCs/>
          <w:color w:val="323E4F" w:themeColor="text2" w:themeShade="BF"/>
          <w:sz w:val="20"/>
          <w:szCs w:val="22"/>
        </w:rPr>
      </w:pPr>
      <w:r w:rsidRPr="0014384E">
        <w:rPr>
          <w:rFonts w:ascii="Arial" w:eastAsia="Arial Unicode MS" w:hAnsi="Arial" w:cs="Arial"/>
          <w:i/>
          <w:iCs/>
          <w:color w:val="323E4F" w:themeColor="text2" w:themeShade="BF"/>
          <w:sz w:val="20"/>
          <w:szCs w:val="22"/>
        </w:rPr>
        <w:t xml:space="preserve">Los programas o acciones que realiza el municipio en materia de servicios para el cuidado de niñas y niños en la primera infancia. En particular, se </w:t>
      </w:r>
      <w:r w:rsidR="00D7673C" w:rsidRPr="0014384E">
        <w:rPr>
          <w:rFonts w:ascii="Arial" w:eastAsia="Arial Unicode MS" w:hAnsi="Arial" w:cs="Arial"/>
          <w:i/>
          <w:iCs/>
          <w:color w:val="323E4F" w:themeColor="text2" w:themeShade="BF"/>
          <w:sz w:val="20"/>
          <w:szCs w:val="22"/>
        </w:rPr>
        <w:t>solicita</w:t>
      </w:r>
      <w:r w:rsidRPr="0014384E">
        <w:rPr>
          <w:rFonts w:ascii="Arial" w:eastAsia="Arial Unicode MS" w:hAnsi="Arial" w:cs="Arial"/>
          <w:i/>
          <w:iCs/>
          <w:color w:val="323E4F" w:themeColor="text2" w:themeShade="BF"/>
          <w:sz w:val="20"/>
          <w:szCs w:val="22"/>
        </w:rPr>
        <w:t xml:space="preserve">: el </w:t>
      </w:r>
      <w:r w:rsidR="00D7673C" w:rsidRPr="0014384E">
        <w:rPr>
          <w:rFonts w:ascii="Arial" w:eastAsia="Arial Unicode MS" w:hAnsi="Arial" w:cs="Arial"/>
          <w:i/>
          <w:iCs/>
          <w:color w:val="323E4F" w:themeColor="text2" w:themeShade="BF"/>
          <w:sz w:val="20"/>
          <w:szCs w:val="22"/>
        </w:rPr>
        <w:t>nombre</w:t>
      </w:r>
      <w:r w:rsidRPr="0014384E">
        <w:rPr>
          <w:rFonts w:ascii="Arial" w:eastAsia="Arial Unicode MS" w:hAnsi="Arial" w:cs="Arial"/>
          <w:i/>
          <w:iCs/>
          <w:color w:val="323E4F" w:themeColor="text2" w:themeShade="BF"/>
          <w:sz w:val="20"/>
          <w:szCs w:val="22"/>
        </w:rPr>
        <w:t xml:space="preserve"> del programa/estrategia/acción de gobierno: </w:t>
      </w:r>
      <w:r w:rsidR="00F56BD1" w:rsidRPr="0014384E">
        <w:rPr>
          <w:rFonts w:ascii="Arial" w:eastAsia="Arial Unicode MS" w:hAnsi="Arial" w:cs="Arial"/>
          <w:i/>
          <w:iCs/>
          <w:color w:val="323E4F" w:themeColor="text2" w:themeShade="BF"/>
          <w:sz w:val="20"/>
          <w:szCs w:val="22"/>
        </w:rPr>
        <w:t xml:space="preserve">tipo de apoyo </w:t>
      </w:r>
      <w:r w:rsidR="00E60BA1" w:rsidRPr="0014384E">
        <w:rPr>
          <w:rFonts w:ascii="Arial" w:eastAsia="Arial Unicode MS" w:hAnsi="Arial" w:cs="Arial"/>
          <w:i/>
          <w:iCs/>
          <w:color w:val="323E4F" w:themeColor="text2" w:themeShade="BF"/>
          <w:sz w:val="20"/>
          <w:szCs w:val="22"/>
        </w:rPr>
        <w:t xml:space="preserve">(económico, en especie o según sea el caso); los beneficiarios (tutores del infante o estancias infantiles/guarderías, según sea el caso); la cantidad y periodicidad del apoyo otorgado; año a partir del cual comenzó a operar el programa: tipo de infantes atendidos (por ejemplo, </w:t>
      </w:r>
      <w:r w:rsidR="0073120F" w:rsidRPr="0014384E">
        <w:rPr>
          <w:rFonts w:ascii="Arial" w:eastAsia="Arial Unicode MS" w:hAnsi="Arial" w:cs="Arial"/>
          <w:i/>
          <w:iCs/>
          <w:color w:val="323E4F" w:themeColor="text2" w:themeShade="BF"/>
          <w:sz w:val="20"/>
          <w:szCs w:val="22"/>
        </w:rPr>
        <w:t xml:space="preserve">si se aceptan con alguna discapacidad) y edad. De ser el caso, el nombre y la ubicación de la Estancia beneficiaria, la cantidad de niños atendidos por cada Estancia y la cantidad de personal que presta servicios dentro de la misma; o la información que tenga disponible. </w:t>
      </w:r>
    </w:p>
    <w:p w14:paraId="4A0B72B7" w14:textId="77777777" w:rsidR="0073120F" w:rsidRDefault="0073120F" w:rsidP="005A248B">
      <w:pPr>
        <w:ind w:left="1134" w:right="1185"/>
        <w:contextualSpacing/>
        <w:jc w:val="both"/>
        <w:rPr>
          <w:rFonts w:ascii="Arial" w:eastAsia="Arial Unicode MS" w:hAnsi="Arial" w:cs="Arial"/>
          <w:i/>
          <w:iCs/>
          <w:color w:val="323E4F" w:themeColor="text2" w:themeShade="BF"/>
          <w:sz w:val="22"/>
          <w:szCs w:val="22"/>
        </w:rPr>
      </w:pPr>
    </w:p>
    <w:p w14:paraId="4F799ED9" w14:textId="03CC3FC4" w:rsidR="009739D0" w:rsidRDefault="0073120F" w:rsidP="009C6E8D">
      <w:pPr>
        <w:pStyle w:val="Prrafodelista"/>
        <w:numPr>
          <w:ilvl w:val="0"/>
          <w:numId w:val="21"/>
        </w:numPr>
        <w:spacing w:line="360" w:lineRule="auto"/>
        <w:ind w:right="-91"/>
        <w:jc w:val="both"/>
        <w:rPr>
          <w:rFonts w:ascii="Arial" w:hAnsi="Arial" w:cs="Arial"/>
          <w:b/>
          <w:color w:val="323E4F" w:themeColor="text2" w:themeShade="BF"/>
          <w:sz w:val="22"/>
          <w:szCs w:val="22"/>
        </w:rPr>
      </w:pPr>
      <w:r>
        <w:rPr>
          <w:rFonts w:ascii="Arial" w:hAnsi="Arial" w:cs="Arial"/>
          <w:color w:val="323E4F" w:themeColor="text2" w:themeShade="BF"/>
          <w:sz w:val="22"/>
          <w:szCs w:val="22"/>
        </w:rPr>
        <w:t>El 24</w:t>
      </w:r>
      <w:r w:rsidR="005A248B">
        <w:rPr>
          <w:rFonts w:ascii="Arial" w:hAnsi="Arial" w:cs="Arial"/>
          <w:color w:val="323E4F" w:themeColor="text2" w:themeShade="BF"/>
          <w:sz w:val="22"/>
          <w:szCs w:val="22"/>
        </w:rPr>
        <w:t xml:space="preserve"> </w:t>
      </w:r>
      <w:r w:rsidR="00CA1CF9">
        <w:rPr>
          <w:rFonts w:ascii="Arial" w:hAnsi="Arial" w:cs="Arial"/>
          <w:color w:val="323E4F" w:themeColor="text2" w:themeShade="BF"/>
          <w:sz w:val="22"/>
          <w:szCs w:val="22"/>
        </w:rPr>
        <w:t>veinti</w:t>
      </w:r>
      <w:r>
        <w:rPr>
          <w:rFonts w:ascii="Arial" w:hAnsi="Arial" w:cs="Arial"/>
          <w:color w:val="323E4F" w:themeColor="text2" w:themeShade="BF"/>
          <w:sz w:val="22"/>
          <w:szCs w:val="22"/>
        </w:rPr>
        <w:t xml:space="preserve">cuatro </w:t>
      </w:r>
      <w:r w:rsidR="00396F72" w:rsidRPr="00CF33EC">
        <w:rPr>
          <w:rFonts w:ascii="Arial" w:hAnsi="Arial" w:cs="Arial"/>
          <w:color w:val="323E4F" w:themeColor="text2" w:themeShade="BF"/>
          <w:sz w:val="22"/>
          <w:szCs w:val="22"/>
        </w:rPr>
        <w:t xml:space="preserve">de </w:t>
      </w:r>
      <w:r>
        <w:rPr>
          <w:rFonts w:ascii="Arial" w:hAnsi="Arial" w:cs="Arial"/>
          <w:color w:val="323E4F" w:themeColor="text2" w:themeShade="BF"/>
          <w:sz w:val="22"/>
          <w:szCs w:val="22"/>
        </w:rPr>
        <w:t>octubre</w:t>
      </w:r>
      <w:r w:rsidR="00857174" w:rsidRPr="00CF33EC">
        <w:rPr>
          <w:rFonts w:ascii="Arial" w:hAnsi="Arial" w:cs="Arial"/>
          <w:color w:val="323E4F" w:themeColor="text2" w:themeShade="BF"/>
          <w:sz w:val="22"/>
          <w:szCs w:val="22"/>
        </w:rPr>
        <w:t xml:space="preserve"> de 202</w:t>
      </w:r>
      <w:r w:rsidR="00CA1CF9">
        <w:rPr>
          <w:rFonts w:ascii="Arial" w:hAnsi="Arial" w:cs="Arial"/>
          <w:color w:val="323E4F" w:themeColor="text2" w:themeShade="BF"/>
          <w:sz w:val="22"/>
          <w:szCs w:val="22"/>
        </w:rPr>
        <w:t>2</w:t>
      </w:r>
      <w:r w:rsidR="000C3483" w:rsidRPr="00CF33EC">
        <w:rPr>
          <w:rFonts w:ascii="Arial" w:hAnsi="Arial" w:cs="Arial"/>
          <w:color w:val="323E4F" w:themeColor="text2" w:themeShade="BF"/>
          <w:sz w:val="22"/>
          <w:szCs w:val="22"/>
        </w:rPr>
        <w:t xml:space="preserve"> dos mil veinti</w:t>
      </w:r>
      <w:r w:rsidR="00CA1CF9">
        <w:rPr>
          <w:rFonts w:ascii="Arial" w:hAnsi="Arial" w:cs="Arial"/>
          <w:color w:val="323E4F" w:themeColor="text2" w:themeShade="BF"/>
          <w:sz w:val="22"/>
          <w:szCs w:val="22"/>
        </w:rPr>
        <w:t>dós</w:t>
      </w:r>
      <w:r w:rsidR="009739D0" w:rsidRPr="00CF33EC">
        <w:rPr>
          <w:rFonts w:ascii="Arial" w:hAnsi="Arial" w:cs="Arial"/>
          <w:color w:val="323E4F" w:themeColor="text2" w:themeShade="BF"/>
          <w:sz w:val="22"/>
          <w:szCs w:val="22"/>
        </w:rPr>
        <w:t>, se interpuso Recurso de Revisión en contra de la respuesta otorgada por el Sujeto Obligado.</w:t>
      </w:r>
      <w:r w:rsidR="009739D0" w:rsidRPr="00CF33EC">
        <w:rPr>
          <w:rFonts w:ascii="Arial" w:hAnsi="Arial" w:cs="Arial"/>
          <w:b/>
          <w:color w:val="323E4F" w:themeColor="text2" w:themeShade="BF"/>
          <w:sz w:val="22"/>
          <w:szCs w:val="22"/>
        </w:rPr>
        <w:t xml:space="preserve"> </w:t>
      </w:r>
    </w:p>
    <w:p w14:paraId="0890985E" w14:textId="77777777" w:rsidR="00CF33EC" w:rsidRDefault="00CF33EC" w:rsidP="00CF33EC">
      <w:pPr>
        <w:spacing w:line="360" w:lineRule="auto"/>
        <w:ind w:right="1183"/>
        <w:jc w:val="both"/>
        <w:rPr>
          <w:rFonts w:ascii="Arial" w:hAnsi="Arial" w:cs="Arial"/>
          <w:b/>
          <w:color w:val="323E4F" w:themeColor="text2" w:themeShade="BF"/>
          <w:sz w:val="22"/>
          <w:szCs w:val="22"/>
        </w:rPr>
      </w:pPr>
    </w:p>
    <w:p w14:paraId="513E1557" w14:textId="099D3F2F" w:rsidR="00955C31" w:rsidRPr="00CF33EC" w:rsidRDefault="00CF33EC" w:rsidP="005A248B">
      <w:pPr>
        <w:pStyle w:val="Prrafodelista"/>
        <w:numPr>
          <w:ilvl w:val="0"/>
          <w:numId w:val="21"/>
        </w:numPr>
        <w:spacing w:line="360" w:lineRule="auto"/>
        <w:ind w:right="-93"/>
        <w:jc w:val="both"/>
        <w:rPr>
          <w:rFonts w:ascii="Arial" w:eastAsiaTheme="minorHAnsi" w:hAnsi="Arial" w:cs="Arial"/>
          <w:i/>
          <w:color w:val="323E4F" w:themeColor="text2" w:themeShade="BF"/>
          <w:sz w:val="20"/>
          <w:lang w:eastAsia="en-US"/>
        </w:rPr>
      </w:pPr>
      <w:r w:rsidRPr="00CF33EC">
        <w:rPr>
          <w:rFonts w:ascii="Arial" w:hAnsi="Arial" w:cs="Arial"/>
          <w:color w:val="323E4F" w:themeColor="text2" w:themeShade="BF"/>
          <w:sz w:val="22"/>
          <w:szCs w:val="22"/>
        </w:rPr>
        <w:t>El 25</w:t>
      </w:r>
      <w:r w:rsidR="00864F43" w:rsidRPr="00CF33EC">
        <w:rPr>
          <w:rFonts w:ascii="Arial" w:hAnsi="Arial" w:cs="Arial"/>
          <w:color w:val="323E4F" w:themeColor="text2" w:themeShade="BF"/>
          <w:sz w:val="22"/>
          <w:szCs w:val="22"/>
        </w:rPr>
        <w:t xml:space="preserve"> </w:t>
      </w:r>
      <w:r w:rsidRPr="00CF33EC">
        <w:rPr>
          <w:rFonts w:ascii="Arial" w:hAnsi="Arial" w:cs="Arial"/>
          <w:color w:val="323E4F" w:themeColor="text2" w:themeShade="BF"/>
          <w:sz w:val="22"/>
          <w:szCs w:val="22"/>
        </w:rPr>
        <w:t>veinticinco</w:t>
      </w:r>
      <w:r w:rsidR="005421E5" w:rsidRPr="00CF33EC">
        <w:rPr>
          <w:rFonts w:ascii="Arial" w:hAnsi="Arial" w:cs="Arial"/>
          <w:color w:val="323E4F" w:themeColor="text2" w:themeShade="BF"/>
          <w:sz w:val="22"/>
          <w:szCs w:val="22"/>
        </w:rPr>
        <w:t xml:space="preserve"> de </w:t>
      </w:r>
      <w:r w:rsidR="0073120F">
        <w:rPr>
          <w:rFonts w:ascii="Arial" w:hAnsi="Arial" w:cs="Arial"/>
          <w:color w:val="323E4F" w:themeColor="text2" w:themeShade="BF"/>
          <w:sz w:val="22"/>
          <w:szCs w:val="22"/>
        </w:rPr>
        <w:t xml:space="preserve">enero </w:t>
      </w:r>
      <w:r w:rsidR="00192A3A" w:rsidRPr="00CF33EC">
        <w:rPr>
          <w:rFonts w:ascii="Arial" w:hAnsi="Arial" w:cs="Arial"/>
          <w:color w:val="323E4F" w:themeColor="text2" w:themeShade="BF"/>
          <w:sz w:val="22"/>
          <w:szCs w:val="22"/>
        </w:rPr>
        <w:t>de 202</w:t>
      </w:r>
      <w:r w:rsidR="0073120F">
        <w:rPr>
          <w:rFonts w:ascii="Arial" w:hAnsi="Arial" w:cs="Arial"/>
          <w:color w:val="323E4F" w:themeColor="text2" w:themeShade="BF"/>
          <w:sz w:val="22"/>
          <w:szCs w:val="22"/>
        </w:rPr>
        <w:t>3</w:t>
      </w:r>
      <w:r w:rsidR="009739D0" w:rsidRPr="00CF33EC">
        <w:rPr>
          <w:rFonts w:ascii="Arial" w:hAnsi="Arial" w:cs="Arial"/>
          <w:color w:val="323E4F" w:themeColor="text2" w:themeShade="BF"/>
          <w:sz w:val="22"/>
          <w:szCs w:val="22"/>
        </w:rPr>
        <w:t xml:space="preserve"> dos mil veinti</w:t>
      </w:r>
      <w:r w:rsidR="0073120F">
        <w:rPr>
          <w:rFonts w:ascii="Arial" w:hAnsi="Arial" w:cs="Arial"/>
          <w:color w:val="323E4F" w:themeColor="text2" w:themeShade="BF"/>
          <w:sz w:val="22"/>
          <w:szCs w:val="22"/>
        </w:rPr>
        <w:t>trés</w:t>
      </w:r>
      <w:r w:rsidR="009739D0" w:rsidRPr="00CF33EC">
        <w:rPr>
          <w:rFonts w:ascii="Arial" w:hAnsi="Arial" w:cs="Arial"/>
          <w:color w:val="323E4F" w:themeColor="text2" w:themeShade="BF"/>
          <w:sz w:val="22"/>
          <w:szCs w:val="22"/>
        </w:rPr>
        <w:t xml:space="preserve"> este Órgano Garante dictó la resolución correspondiente en la cual se determinó</w:t>
      </w:r>
      <w:r w:rsidR="00396F72" w:rsidRPr="00CF33EC">
        <w:rPr>
          <w:rFonts w:ascii="Arial" w:hAnsi="Arial" w:cs="Arial"/>
          <w:color w:val="323E4F" w:themeColor="text2" w:themeShade="BF"/>
          <w:sz w:val="22"/>
          <w:szCs w:val="22"/>
        </w:rPr>
        <w:t xml:space="preserve"> </w:t>
      </w:r>
      <w:r w:rsidR="00820C64" w:rsidRPr="00CF33EC">
        <w:rPr>
          <w:rFonts w:ascii="Arial" w:hAnsi="Arial" w:cs="Arial"/>
          <w:b/>
          <w:color w:val="323E4F" w:themeColor="text2" w:themeShade="BF"/>
          <w:sz w:val="22"/>
          <w:szCs w:val="22"/>
        </w:rPr>
        <w:t>aplicar el Principio de Afirmativa Ficta</w:t>
      </w:r>
      <w:r w:rsidR="004D3676" w:rsidRPr="00CF33EC">
        <w:rPr>
          <w:rFonts w:ascii="Arial" w:hAnsi="Arial" w:cs="Arial"/>
          <w:color w:val="323E4F" w:themeColor="text2" w:themeShade="BF"/>
          <w:sz w:val="22"/>
          <w:szCs w:val="22"/>
        </w:rPr>
        <w:t xml:space="preserve">, </w:t>
      </w:r>
      <w:r w:rsidR="0073120F">
        <w:rPr>
          <w:rFonts w:ascii="Arial" w:hAnsi="Arial" w:cs="Arial"/>
          <w:color w:val="323E4F" w:themeColor="text2" w:themeShade="BF"/>
          <w:sz w:val="22"/>
          <w:szCs w:val="22"/>
        </w:rPr>
        <w:t>contemplada en foja 37 reverso</w:t>
      </w:r>
      <w:r w:rsidRPr="00CF33EC">
        <w:rPr>
          <w:rFonts w:ascii="Arial" w:hAnsi="Arial" w:cs="Arial"/>
          <w:color w:val="323E4F" w:themeColor="text2" w:themeShade="BF"/>
          <w:sz w:val="22"/>
          <w:szCs w:val="22"/>
        </w:rPr>
        <w:t xml:space="preserve"> del presente recurso de revisión. </w:t>
      </w:r>
    </w:p>
    <w:p w14:paraId="236C2B46" w14:textId="6A4B6A07" w:rsidR="0028441A" w:rsidRPr="00820C64" w:rsidRDefault="0028441A" w:rsidP="00960360">
      <w:pPr>
        <w:ind w:left="1134" w:right="1183" w:firstLine="708"/>
        <w:jc w:val="both"/>
        <w:rPr>
          <w:rFonts w:ascii="Arial" w:eastAsiaTheme="minorHAnsi" w:hAnsi="Arial" w:cs="Arial"/>
          <w:i/>
          <w:color w:val="323E4F" w:themeColor="text2" w:themeShade="BF"/>
          <w:sz w:val="18"/>
          <w:lang w:eastAsia="en-US"/>
        </w:rPr>
      </w:pPr>
    </w:p>
    <w:p w14:paraId="44E4E252" w14:textId="77777777" w:rsidR="00C13F04" w:rsidRDefault="00C13F04" w:rsidP="00C13F04">
      <w:pPr>
        <w:spacing w:line="360" w:lineRule="auto"/>
        <w:jc w:val="both"/>
        <w:rPr>
          <w:rFonts w:ascii="Arial" w:hAnsi="Arial" w:cs="Arial"/>
          <w:b/>
          <w:color w:val="323E4F" w:themeColor="text2" w:themeShade="BF"/>
          <w:szCs w:val="22"/>
          <w:lang w:eastAsia="es-MX"/>
        </w:rPr>
      </w:pPr>
    </w:p>
    <w:p w14:paraId="26D47C1C" w14:textId="5A352BF9" w:rsidR="00DC1F71" w:rsidRPr="0014384E" w:rsidRDefault="00DC1F71" w:rsidP="00DC1F71">
      <w:pPr>
        <w:spacing w:line="360" w:lineRule="auto"/>
        <w:jc w:val="center"/>
        <w:rPr>
          <w:rFonts w:ascii="Arial" w:hAnsi="Arial" w:cs="Arial"/>
          <w:b/>
          <w:color w:val="323E4F" w:themeColor="text2" w:themeShade="BF"/>
          <w:sz w:val="22"/>
          <w:szCs w:val="22"/>
          <w:lang w:eastAsia="es-MX"/>
        </w:rPr>
      </w:pPr>
      <w:r w:rsidRPr="0014384E">
        <w:rPr>
          <w:rFonts w:ascii="Arial" w:hAnsi="Arial" w:cs="Arial"/>
          <w:b/>
          <w:color w:val="323E4F" w:themeColor="text2" w:themeShade="BF"/>
          <w:sz w:val="22"/>
          <w:szCs w:val="22"/>
          <w:lang w:eastAsia="es-MX"/>
        </w:rPr>
        <w:lastRenderedPageBreak/>
        <w:t>CONSIDERANDOS</w:t>
      </w:r>
    </w:p>
    <w:p w14:paraId="40A9F40C" w14:textId="5B215ECC" w:rsidR="00DC1F71" w:rsidRPr="0014384E" w:rsidRDefault="00DC1F71" w:rsidP="00DC1F71">
      <w:pPr>
        <w:spacing w:line="360" w:lineRule="auto"/>
        <w:ind w:firstLine="708"/>
        <w:jc w:val="both"/>
        <w:rPr>
          <w:rFonts w:ascii="Arial" w:hAnsi="Arial" w:cs="Arial"/>
          <w:color w:val="323E4F" w:themeColor="text2" w:themeShade="BF"/>
          <w:sz w:val="22"/>
          <w:szCs w:val="22"/>
        </w:rPr>
      </w:pPr>
      <w:r w:rsidRPr="0014384E">
        <w:rPr>
          <w:rFonts w:ascii="Arial" w:hAnsi="Arial" w:cs="Arial"/>
          <w:b/>
          <w:color w:val="323E4F" w:themeColor="text2" w:themeShade="BF"/>
          <w:sz w:val="22"/>
          <w:szCs w:val="22"/>
          <w:lang w:eastAsia="es-MX"/>
        </w:rPr>
        <w:t xml:space="preserve">PRIMERO. </w:t>
      </w:r>
      <w:r w:rsidRPr="0014384E">
        <w:rPr>
          <w:rFonts w:ascii="Arial" w:hAnsi="Arial" w:cs="Arial"/>
          <w:color w:val="323E4F" w:themeColor="text2" w:themeShade="BF"/>
          <w:sz w:val="22"/>
          <w:szCs w:val="22"/>
        </w:rPr>
        <w:t>La Comisionada Ponente es competente dictar el presente proveído,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7FC33433" w14:textId="77777777" w:rsidR="00D903A6" w:rsidRPr="0014384E" w:rsidRDefault="00D903A6" w:rsidP="00D903A6">
      <w:pPr>
        <w:spacing w:line="360" w:lineRule="auto"/>
        <w:ind w:firstLine="708"/>
        <w:jc w:val="both"/>
        <w:rPr>
          <w:rFonts w:ascii="Arial" w:hAnsi="Arial" w:cs="Arial"/>
          <w:sz w:val="22"/>
        </w:rPr>
      </w:pPr>
    </w:p>
    <w:p w14:paraId="3E328BC0" w14:textId="34280E8E" w:rsidR="00D903A6" w:rsidRPr="0014384E" w:rsidRDefault="00D903A6" w:rsidP="00D903A6">
      <w:pPr>
        <w:spacing w:line="360" w:lineRule="auto"/>
        <w:ind w:firstLine="708"/>
        <w:jc w:val="both"/>
        <w:rPr>
          <w:rFonts w:ascii="Arial" w:hAnsi="Arial" w:cs="Arial"/>
          <w:color w:val="323E4F" w:themeColor="text2" w:themeShade="BF"/>
          <w:sz w:val="22"/>
        </w:rPr>
      </w:pPr>
      <w:r w:rsidRPr="0014384E">
        <w:rPr>
          <w:rFonts w:ascii="Arial" w:hAnsi="Arial" w:cs="Arial"/>
          <w:color w:val="323E4F" w:themeColor="text2" w:themeShade="BF"/>
          <w:sz w:val="22"/>
        </w:rPr>
        <w:t xml:space="preserve">La suscrita es competente para dictar el presente Acuerdo, de conformidad con lo establecido en los artículos 27 y </w:t>
      </w:r>
      <w:r w:rsidRPr="0014384E">
        <w:rPr>
          <w:rFonts w:ascii="Arial" w:hAnsi="Arial" w:cs="Arial"/>
          <w:color w:val="323E4F" w:themeColor="text2" w:themeShade="BF"/>
          <w:sz w:val="22"/>
          <w:shd w:val="clear" w:color="auto" w:fill="FFFFFF"/>
        </w:rPr>
        <w:t xml:space="preserve">34 fracción I y II de la Ley de Transparencia y Acceso a la Información Pública del Estado de San Luis Potosí; así como los artículos 2°, 5º, </w:t>
      </w:r>
      <w:r w:rsidRPr="0014384E">
        <w:rPr>
          <w:rFonts w:ascii="Arial" w:hAnsi="Arial" w:cs="Arial"/>
          <w:color w:val="323E4F" w:themeColor="text2" w:themeShade="BF"/>
          <w:sz w:val="22"/>
        </w:rPr>
        <w:t xml:space="preserve">8º fracción II y </w:t>
      </w:r>
      <w:r w:rsidRPr="0014384E">
        <w:rPr>
          <w:rFonts w:ascii="Arial" w:eastAsia="Calibri" w:hAnsi="Arial" w:cs="Arial"/>
          <w:color w:val="323E4F" w:themeColor="text2" w:themeShade="BF"/>
          <w:sz w:val="22"/>
        </w:rPr>
        <w:t xml:space="preserve">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w:t>
      </w:r>
    </w:p>
    <w:p w14:paraId="53043AD6" w14:textId="77777777" w:rsidR="00DC1F71" w:rsidRPr="0014384E" w:rsidRDefault="00DC1F71" w:rsidP="00DC1F71">
      <w:pPr>
        <w:spacing w:line="360" w:lineRule="auto"/>
        <w:jc w:val="both"/>
        <w:rPr>
          <w:rFonts w:ascii="Arial" w:hAnsi="Arial" w:cs="Arial"/>
          <w:color w:val="323E4F" w:themeColor="text2" w:themeShade="BF"/>
          <w:sz w:val="22"/>
          <w:szCs w:val="22"/>
        </w:rPr>
      </w:pPr>
    </w:p>
    <w:p w14:paraId="645212B6" w14:textId="77777777" w:rsidR="00DC1F71" w:rsidRPr="0014384E" w:rsidRDefault="00DC1F71" w:rsidP="00DC1F71">
      <w:pPr>
        <w:spacing w:line="360" w:lineRule="auto"/>
        <w:ind w:firstLine="708"/>
        <w:jc w:val="both"/>
        <w:rPr>
          <w:rFonts w:ascii="Arial" w:hAnsi="Arial" w:cs="Arial"/>
          <w:color w:val="323E4F" w:themeColor="text2" w:themeShade="BF"/>
          <w:sz w:val="22"/>
          <w:szCs w:val="22"/>
          <w:lang w:eastAsia="es-MX"/>
        </w:rPr>
      </w:pPr>
      <w:r w:rsidRPr="0014384E">
        <w:rPr>
          <w:rFonts w:ascii="Arial" w:hAnsi="Arial" w:cs="Arial"/>
          <w:b/>
          <w:color w:val="323E4F" w:themeColor="text2" w:themeShade="BF"/>
          <w:sz w:val="22"/>
          <w:szCs w:val="22"/>
          <w:lang w:eastAsia="es-MX"/>
        </w:rPr>
        <w:t>SEGUNDO.</w:t>
      </w:r>
      <w:r w:rsidRPr="0014384E">
        <w:rPr>
          <w:rFonts w:ascii="Arial" w:hAnsi="Arial" w:cs="Arial"/>
          <w:color w:val="323E4F" w:themeColor="text2" w:themeShade="BF"/>
          <w:sz w:val="22"/>
          <w:szCs w:val="22"/>
          <w:lang w:eastAsia="es-MX"/>
        </w:rPr>
        <w:t xml:space="preserve"> </w:t>
      </w:r>
      <w:r w:rsidRPr="0014384E">
        <w:rPr>
          <w:rFonts w:ascii="Arial" w:eastAsia="Arial" w:hAnsi="Arial" w:cs="Arial"/>
          <w:color w:val="323E4F" w:themeColor="text2" w:themeShade="BF"/>
          <w:spacing w:val="1"/>
          <w:sz w:val="22"/>
          <w:szCs w:val="22"/>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BA4AA55" w14:textId="77777777" w:rsidR="00DC1F71" w:rsidRPr="0014384E" w:rsidRDefault="00DC1F71" w:rsidP="00DC1F71">
      <w:pPr>
        <w:pStyle w:val="Textoindependienteprimerasangra"/>
        <w:spacing w:before="100" w:beforeAutospacing="1" w:after="100" w:afterAutospacing="1"/>
        <w:ind w:firstLine="708"/>
        <w:rPr>
          <w:rFonts w:ascii="Arial" w:hAnsi="Arial" w:cs="Arial"/>
          <w:color w:val="323E4F" w:themeColor="text2" w:themeShade="BF"/>
          <w:sz w:val="22"/>
          <w:szCs w:val="22"/>
        </w:rPr>
      </w:pPr>
      <w:r w:rsidRPr="0014384E">
        <w:rPr>
          <w:rFonts w:ascii="Arial" w:hAnsi="Arial" w:cs="Arial"/>
          <w:color w:val="323E4F" w:themeColor="text2" w:themeShade="BF"/>
          <w:sz w:val="22"/>
          <w:szCs w:val="22"/>
        </w:rPr>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w:t>
      </w:r>
      <w:r w:rsidRPr="0014384E">
        <w:rPr>
          <w:rFonts w:ascii="Arial" w:hAnsi="Arial" w:cs="Arial"/>
          <w:color w:val="323E4F" w:themeColor="text2" w:themeShade="BF"/>
          <w:sz w:val="22"/>
          <w:szCs w:val="22"/>
        </w:rPr>
        <w:lastRenderedPageBreak/>
        <w:t xml:space="preserve">de la Federación y su Gaceta, Novena Época, t. XXII, diciembre de 2005, p. 2365, cuyo rubro y texto señalan: </w:t>
      </w:r>
    </w:p>
    <w:p w14:paraId="37274D08" w14:textId="316AD915" w:rsidR="00DC1F71" w:rsidRPr="0014384E" w:rsidRDefault="00DC1F71" w:rsidP="00DC1F71">
      <w:pPr>
        <w:spacing w:after="240"/>
        <w:ind w:left="1134" w:right="1183"/>
        <w:jc w:val="both"/>
        <w:rPr>
          <w:rFonts w:ascii="Arial" w:hAnsi="Arial" w:cs="Arial"/>
          <w:color w:val="323E4F" w:themeColor="text2" w:themeShade="BF"/>
          <w:sz w:val="20"/>
          <w:szCs w:val="22"/>
        </w:rPr>
      </w:pPr>
      <w:r w:rsidRPr="0014384E">
        <w:rPr>
          <w:rFonts w:ascii="Arial" w:hAnsi="Arial" w:cs="Arial"/>
          <w:b/>
          <w:color w:val="323E4F" w:themeColor="text2" w:themeShade="BF"/>
          <w:sz w:val="20"/>
          <w:szCs w:val="22"/>
        </w:rPr>
        <w:t>ACTOS CONSENTIDOS. SON LOS QUE NO SE IMPUGNAN MEDIANTE EL RECURSO IDÓNEO.</w:t>
      </w:r>
      <w:r w:rsidRPr="0014384E">
        <w:rPr>
          <w:rFonts w:ascii="Arial" w:hAnsi="Arial" w:cs="Arial"/>
          <w:color w:val="323E4F" w:themeColor="text2" w:themeShade="BF"/>
          <w:sz w:val="20"/>
          <w:szCs w:val="22"/>
        </w:rPr>
        <w:t xml:space="preserve"> Debe reputarse como consentido el acto que no se impugnó por el medio establecido por la ley, </w:t>
      </w:r>
      <w:r w:rsidR="00FA7782" w:rsidRPr="0014384E">
        <w:rPr>
          <w:rFonts w:ascii="Arial" w:hAnsi="Arial" w:cs="Arial"/>
          <w:color w:val="323E4F" w:themeColor="text2" w:themeShade="BF"/>
          <w:sz w:val="20"/>
          <w:szCs w:val="22"/>
        </w:rPr>
        <w:t>ya que,</w:t>
      </w:r>
      <w:r w:rsidRPr="0014384E">
        <w:rPr>
          <w:rFonts w:ascii="Arial" w:hAnsi="Arial" w:cs="Arial"/>
          <w:color w:val="323E4F" w:themeColor="text2" w:themeShade="BF"/>
          <w:sz w:val="20"/>
          <w:szCs w:val="22"/>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79C2F0B0" w14:textId="77777777" w:rsidR="00DC1F71" w:rsidRPr="0014384E" w:rsidRDefault="00DC1F71" w:rsidP="00DC1F71">
      <w:pPr>
        <w:spacing w:line="360" w:lineRule="auto"/>
        <w:ind w:firstLine="708"/>
        <w:jc w:val="both"/>
        <w:rPr>
          <w:rFonts w:ascii="Arial" w:hAnsi="Arial" w:cs="Arial"/>
          <w:color w:val="323E4F" w:themeColor="text2" w:themeShade="BF"/>
          <w:sz w:val="22"/>
          <w:szCs w:val="22"/>
        </w:rPr>
      </w:pPr>
      <w:r w:rsidRPr="0014384E">
        <w:rPr>
          <w:rFonts w:ascii="Arial" w:hAnsi="Arial" w:cs="Arial"/>
          <w:color w:val="323E4F" w:themeColor="text2" w:themeShade="BF"/>
          <w:sz w:val="22"/>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46988666" w14:textId="77777777" w:rsidR="00DC1F71" w:rsidRPr="00DF7A8C" w:rsidRDefault="00DC1F71" w:rsidP="00DC1F71">
      <w:pPr>
        <w:rPr>
          <w:rFonts w:ascii="Arial" w:hAnsi="Arial" w:cs="Arial"/>
          <w:color w:val="323E4F" w:themeColor="text2" w:themeShade="BF"/>
          <w:szCs w:val="22"/>
        </w:rPr>
      </w:pPr>
    </w:p>
    <w:p w14:paraId="6468D7A3" w14:textId="77777777" w:rsidR="00DC1F71" w:rsidRPr="0014384E" w:rsidRDefault="00DC1F71" w:rsidP="00DC1F71">
      <w:pPr>
        <w:ind w:left="1134" w:right="1185"/>
        <w:jc w:val="both"/>
        <w:rPr>
          <w:rFonts w:ascii="Arial" w:hAnsi="Arial" w:cs="Arial"/>
          <w:color w:val="323E4F" w:themeColor="text2" w:themeShade="BF"/>
          <w:sz w:val="20"/>
          <w:szCs w:val="22"/>
        </w:rPr>
      </w:pPr>
      <w:r w:rsidRPr="0014384E">
        <w:rPr>
          <w:rFonts w:ascii="Arial" w:hAnsi="Arial" w:cs="Arial"/>
          <w:b/>
          <w:bCs/>
          <w:color w:val="323E4F" w:themeColor="text2" w:themeShade="BF"/>
          <w:sz w:val="20"/>
          <w:szCs w:val="22"/>
        </w:rPr>
        <w:t>Actos consentidos tácitamente.  Improcedencia de su análisis.</w:t>
      </w:r>
      <w:r w:rsidRPr="0014384E">
        <w:rPr>
          <w:rFonts w:ascii="Arial" w:hAnsi="Arial" w:cs="Arial"/>
          <w:color w:val="323E4F" w:themeColor="text2" w:themeShade="BF"/>
          <w:sz w:val="20"/>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525673A" w14:textId="77777777" w:rsidR="00DC1F71" w:rsidRPr="00DF7A8C" w:rsidRDefault="00DC1F71" w:rsidP="00DC1F71">
      <w:pPr>
        <w:rPr>
          <w:rFonts w:ascii="Arial" w:hAnsi="Arial" w:cs="Arial"/>
          <w:color w:val="323E4F" w:themeColor="text2" w:themeShade="BF"/>
          <w:sz w:val="22"/>
          <w:szCs w:val="22"/>
        </w:rPr>
      </w:pPr>
    </w:p>
    <w:p w14:paraId="26F5DBD6" w14:textId="19C9658D" w:rsidR="00DC1F71" w:rsidRPr="0014384E" w:rsidRDefault="00DC1F71" w:rsidP="00DC1F71">
      <w:pPr>
        <w:spacing w:after="240" w:line="360" w:lineRule="auto"/>
        <w:ind w:firstLine="708"/>
        <w:jc w:val="both"/>
        <w:rPr>
          <w:rFonts w:ascii="Arial" w:hAnsi="Arial" w:cs="Arial"/>
          <w:color w:val="323E4F" w:themeColor="text2" w:themeShade="BF"/>
          <w:sz w:val="22"/>
          <w:szCs w:val="22"/>
          <w:lang w:eastAsia="es-MX"/>
        </w:rPr>
      </w:pPr>
      <w:r w:rsidRPr="0014384E">
        <w:rPr>
          <w:rFonts w:ascii="Arial" w:hAnsi="Arial" w:cs="Arial"/>
          <w:color w:val="323E4F" w:themeColor="text2" w:themeShade="BF"/>
          <w:sz w:val="22"/>
          <w:szCs w:val="22"/>
        </w:rPr>
        <w:t>Por lo anterior, a fin de comprender la respuesta que el Sujeto Obligado emitió para efecto de subsanar la anotada omisión que se generó en la respuesta ot</w:t>
      </w:r>
      <w:r w:rsidR="00260B2F" w:rsidRPr="0014384E">
        <w:rPr>
          <w:rFonts w:ascii="Arial" w:hAnsi="Arial" w:cs="Arial"/>
          <w:color w:val="323E4F" w:themeColor="text2" w:themeShade="BF"/>
          <w:sz w:val="22"/>
          <w:szCs w:val="22"/>
        </w:rPr>
        <w:t>orgada, es menester señalar que</w:t>
      </w:r>
      <w:r w:rsidR="00192A3A" w:rsidRPr="0014384E">
        <w:rPr>
          <w:rFonts w:ascii="Arial" w:hAnsi="Arial" w:cs="Arial"/>
          <w:color w:val="323E4F" w:themeColor="text2" w:themeShade="BF"/>
          <w:sz w:val="22"/>
          <w:szCs w:val="22"/>
        </w:rPr>
        <w:t xml:space="preserve"> </w:t>
      </w:r>
      <w:r w:rsidR="0073120F" w:rsidRPr="0014384E">
        <w:rPr>
          <w:rFonts w:ascii="Arial" w:hAnsi="Arial" w:cs="Arial"/>
          <w:color w:val="323E4F" w:themeColor="text2" w:themeShade="BF"/>
          <w:sz w:val="22"/>
          <w:szCs w:val="22"/>
        </w:rPr>
        <w:t>La Presidenta del Sistema Municipal DIF de Aquismón</w:t>
      </w:r>
      <w:r w:rsidR="00260B2F" w:rsidRPr="0014384E">
        <w:rPr>
          <w:rFonts w:ascii="Arial" w:hAnsi="Arial" w:cs="Arial"/>
          <w:color w:val="323E4F" w:themeColor="text2" w:themeShade="BF"/>
          <w:sz w:val="22"/>
          <w:szCs w:val="22"/>
        </w:rPr>
        <w:t xml:space="preserve"> de aduce</w:t>
      </w:r>
      <w:r w:rsidRPr="0014384E">
        <w:rPr>
          <w:rFonts w:ascii="Arial" w:hAnsi="Arial" w:cs="Arial"/>
          <w:color w:val="323E4F" w:themeColor="text2" w:themeShade="BF"/>
          <w:sz w:val="22"/>
          <w:szCs w:val="22"/>
          <w:lang w:eastAsia="es-MX"/>
        </w:rPr>
        <w:t xml:space="preserve"> haber hecho las gestiones, a fin de dar cumplimiento al fallo de mérito, de conformidad con lo estipulado por el artículo 153 de la Ley de Transparencia y Acceso a la Información Pública en el Estado. </w:t>
      </w:r>
    </w:p>
    <w:p w14:paraId="0DCB1946" w14:textId="77777777" w:rsidR="007A3A8F" w:rsidRPr="0014384E" w:rsidRDefault="00DC1F71" w:rsidP="007A3A8F">
      <w:pPr>
        <w:spacing w:after="240" w:line="360" w:lineRule="auto"/>
        <w:ind w:firstLine="708"/>
        <w:jc w:val="both"/>
        <w:rPr>
          <w:rFonts w:ascii="Arial" w:hAnsi="Arial" w:cs="Arial"/>
          <w:color w:val="323E4F" w:themeColor="text2" w:themeShade="BF"/>
          <w:sz w:val="22"/>
          <w:szCs w:val="22"/>
        </w:rPr>
      </w:pPr>
      <w:r w:rsidRPr="0014384E">
        <w:rPr>
          <w:rFonts w:ascii="Arial" w:hAnsi="Arial" w:cs="Arial"/>
          <w:color w:val="323E4F" w:themeColor="text2" w:themeShade="BF"/>
          <w:sz w:val="22"/>
          <w:szCs w:val="22"/>
        </w:rPr>
        <w:t xml:space="preserve">En este sentido, se estima que la respuesta otorgada por el sujeto obligado atiende los efectos señalados en la determinación adoptada por el Pleno de esta </w:t>
      </w:r>
      <w:r w:rsidRPr="0014384E">
        <w:rPr>
          <w:rFonts w:ascii="Arial" w:hAnsi="Arial" w:cs="Arial"/>
          <w:color w:val="323E4F" w:themeColor="text2" w:themeShade="BF"/>
          <w:sz w:val="22"/>
          <w:szCs w:val="22"/>
        </w:rPr>
        <w:lastRenderedPageBreak/>
        <w:t>comisión, ello así en virtud de que se atienden los puntos form</w:t>
      </w:r>
      <w:r w:rsidR="007A3A8F" w:rsidRPr="0014384E">
        <w:rPr>
          <w:rFonts w:ascii="Arial" w:hAnsi="Arial" w:cs="Arial"/>
          <w:color w:val="323E4F" w:themeColor="text2" w:themeShade="BF"/>
          <w:sz w:val="22"/>
          <w:szCs w:val="22"/>
        </w:rPr>
        <w:t>ulados en la referida solicitud.</w:t>
      </w:r>
    </w:p>
    <w:p w14:paraId="219EB3DE" w14:textId="015AA726" w:rsidR="00DC1F71" w:rsidRPr="0014384E" w:rsidRDefault="00DC1F71" w:rsidP="007A3A8F">
      <w:pPr>
        <w:spacing w:after="240" w:line="360" w:lineRule="auto"/>
        <w:ind w:firstLine="708"/>
        <w:jc w:val="both"/>
        <w:rPr>
          <w:rFonts w:ascii="Arial" w:hAnsi="Arial" w:cs="Arial"/>
          <w:color w:val="323E4F" w:themeColor="text2" w:themeShade="BF"/>
          <w:sz w:val="22"/>
          <w:szCs w:val="22"/>
          <w:lang w:val="es-ES"/>
        </w:rPr>
      </w:pPr>
      <w:r w:rsidRPr="0014384E">
        <w:rPr>
          <w:rFonts w:ascii="Arial" w:hAnsi="Arial" w:cs="Arial"/>
          <w:color w:val="323E4F" w:themeColor="text2" w:themeShade="BF"/>
          <w:sz w:val="22"/>
          <w:szCs w:val="22"/>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60670A96" w14:textId="77777777" w:rsidR="00DC1F71" w:rsidRPr="0014384E" w:rsidRDefault="00DC1F71" w:rsidP="00DC1F71">
      <w:pPr>
        <w:spacing w:line="360" w:lineRule="auto"/>
        <w:ind w:firstLine="708"/>
        <w:jc w:val="both"/>
        <w:rPr>
          <w:rFonts w:ascii="Arial" w:hAnsi="Arial" w:cs="Arial"/>
          <w:color w:val="323E4F" w:themeColor="text2" w:themeShade="BF"/>
          <w:sz w:val="22"/>
          <w:szCs w:val="22"/>
          <w:lang w:val="es-ES"/>
        </w:rPr>
      </w:pPr>
      <w:r w:rsidRPr="0014384E">
        <w:rPr>
          <w:rFonts w:ascii="Arial" w:hAnsi="Arial" w:cs="Arial"/>
          <w:color w:val="323E4F" w:themeColor="text2" w:themeShade="BF"/>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6C0E0C82" w14:textId="77777777" w:rsidR="00DC1F71" w:rsidRPr="00DF7A8C" w:rsidRDefault="00DC1F71" w:rsidP="00DC1F71">
      <w:pPr>
        <w:spacing w:line="360" w:lineRule="auto"/>
        <w:jc w:val="both"/>
        <w:rPr>
          <w:rFonts w:ascii="Arial" w:hAnsi="Arial" w:cs="Arial"/>
          <w:color w:val="323E4F" w:themeColor="text2" w:themeShade="BF"/>
          <w:szCs w:val="22"/>
          <w:lang w:val="es-ES"/>
        </w:rPr>
      </w:pPr>
    </w:p>
    <w:p w14:paraId="7202C644" w14:textId="77777777" w:rsidR="00DC1F71" w:rsidRPr="0014384E" w:rsidRDefault="00DC1F71" w:rsidP="00DC1F71">
      <w:pPr>
        <w:ind w:left="1134" w:right="1072"/>
        <w:jc w:val="both"/>
        <w:rPr>
          <w:rFonts w:ascii="Arial" w:hAnsi="Arial" w:cs="Arial"/>
          <w:color w:val="323E4F" w:themeColor="text2" w:themeShade="BF"/>
          <w:sz w:val="20"/>
          <w:szCs w:val="22"/>
          <w:lang w:val="es-ES"/>
        </w:rPr>
      </w:pPr>
      <w:r w:rsidRPr="0014384E">
        <w:rPr>
          <w:rFonts w:ascii="Arial" w:hAnsi="Arial" w:cs="Arial"/>
          <w:b/>
          <w:bCs/>
          <w:color w:val="323E4F" w:themeColor="text2" w:themeShade="BF"/>
          <w:sz w:val="20"/>
          <w:szCs w:val="22"/>
          <w:lang w:val="es-ES"/>
        </w:rPr>
        <w:t xml:space="preserve">“NOTIFICACIÓN ELECTRÓNICA. AL PRACTICARLA, LA AUTORIDAD DEBE ANEXAR EN AUTOS DEL EXPEDIENTE ADMINISTRATIVO O JUDICIAL DEL QUE DERIVE, LA CONSTANCIA FEHACIENTE DE RECEPCIÓN POR SU DESTINATARIO. </w:t>
      </w:r>
      <w:r w:rsidRPr="0014384E">
        <w:rPr>
          <w:rFonts w:ascii="Arial" w:hAnsi="Arial" w:cs="Arial"/>
          <w:color w:val="323E4F" w:themeColor="text2" w:themeShade="BF"/>
          <w:sz w:val="20"/>
          <w:szCs w:val="22"/>
          <w:lang w:val="es-ES"/>
        </w:rPr>
        <w:t>La </w:t>
      </w:r>
      <w:r w:rsidRPr="0014384E">
        <w:rPr>
          <w:rFonts w:ascii="Arial" w:hAnsi="Arial" w:cs="Arial"/>
          <w:bCs/>
          <w:color w:val="323E4F" w:themeColor="text2" w:themeShade="BF"/>
          <w:sz w:val="20"/>
          <w:szCs w:val="22"/>
          <w:lang w:val="es-ES"/>
        </w:rPr>
        <w:t>notificación</w:t>
      </w:r>
      <w:r w:rsidRPr="0014384E">
        <w:rPr>
          <w:rFonts w:ascii="Arial" w:hAnsi="Arial" w:cs="Arial"/>
          <w:color w:val="323E4F" w:themeColor="text2" w:themeShade="BF"/>
          <w:sz w:val="20"/>
          <w:szCs w:val="22"/>
          <w:lang w:val="es-ES"/>
        </w:rPr>
        <w:t> </w:t>
      </w:r>
      <w:r w:rsidRPr="0014384E">
        <w:rPr>
          <w:rFonts w:ascii="Arial" w:hAnsi="Arial" w:cs="Arial"/>
          <w:bCs/>
          <w:color w:val="323E4F" w:themeColor="text2" w:themeShade="BF"/>
          <w:sz w:val="20"/>
          <w:szCs w:val="22"/>
          <w:lang w:val="es-ES"/>
        </w:rPr>
        <w:t>electrónica</w:t>
      </w:r>
      <w:r w:rsidRPr="0014384E">
        <w:rPr>
          <w:rFonts w:ascii="Arial" w:hAnsi="Arial" w:cs="Arial"/>
          <w:color w:val="323E4F" w:themeColor="text2" w:themeShade="BF"/>
          <w:sz w:val="20"/>
          <w:szCs w:val="22"/>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14384E">
          <w:rPr>
            <w:rStyle w:val="Hipervnculo"/>
            <w:color w:val="323E4F" w:themeColor="text2" w:themeShade="BF"/>
            <w:sz w:val="20"/>
            <w:szCs w:val="22"/>
            <w:lang w:val="es-ES"/>
          </w:rPr>
          <w:t>fracción I del artículo 172 de la Ley de Amparo</w:t>
        </w:r>
      </w:hyperlink>
      <w:r w:rsidRPr="0014384E">
        <w:rPr>
          <w:rFonts w:ascii="Arial" w:hAnsi="Arial" w:cs="Arial"/>
          <w:color w:val="323E4F" w:themeColor="text2" w:themeShade="BF"/>
          <w:sz w:val="20"/>
          <w:szCs w:val="22"/>
          <w:lang w:val="es-ES"/>
        </w:rPr>
        <w:t>, vigente a partir del 3 de abril de 2013”.</w:t>
      </w:r>
    </w:p>
    <w:p w14:paraId="6F7D2665" w14:textId="77777777" w:rsidR="00DC1F71" w:rsidRPr="00DF7A8C" w:rsidRDefault="00DC1F71" w:rsidP="00DC1F71">
      <w:pPr>
        <w:spacing w:line="360" w:lineRule="auto"/>
        <w:ind w:firstLine="708"/>
        <w:jc w:val="both"/>
        <w:rPr>
          <w:rFonts w:ascii="Arial" w:hAnsi="Arial" w:cs="Arial"/>
          <w:color w:val="323E4F" w:themeColor="text2" w:themeShade="BF"/>
          <w:sz w:val="22"/>
          <w:szCs w:val="22"/>
          <w:lang w:val="es-ES"/>
        </w:rPr>
      </w:pPr>
    </w:p>
    <w:p w14:paraId="2F36EF19" w14:textId="36961C88" w:rsidR="00DC1F71" w:rsidRPr="0014384E" w:rsidRDefault="00DC1F71" w:rsidP="00DC1F71">
      <w:pPr>
        <w:spacing w:line="360" w:lineRule="auto"/>
        <w:ind w:firstLine="708"/>
        <w:jc w:val="both"/>
        <w:rPr>
          <w:rFonts w:ascii="Arial" w:hAnsi="Arial" w:cs="Arial"/>
          <w:color w:val="323E4F" w:themeColor="text2" w:themeShade="BF"/>
          <w:sz w:val="22"/>
          <w:szCs w:val="22"/>
          <w:lang w:val="es-ES"/>
        </w:rPr>
      </w:pPr>
      <w:r w:rsidRPr="0014384E">
        <w:rPr>
          <w:rFonts w:ascii="Arial" w:hAnsi="Arial" w:cs="Arial"/>
          <w:color w:val="323E4F" w:themeColor="text2" w:themeShade="BF"/>
          <w:sz w:val="22"/>
          <w:szCs w:val="22"/>
          <w:lang w:val="es-ES"/>
        </w:rPr>
        <w:lastRenderedPageBreak/>
        <w:t>En razón de la tesis invocada y del análisis de las constancias que acompañó el sujeto obligado, se pued</w:t>
      </w:r>
      <w:r w:rsidR="00CA3E68" w:rsidRPr="0014384E">
        <w:rPr>
          <w:rFonts w:ascii="Arial" w:hAnsi="Arial" w:cs="Arial"/>
          <w:color w:val="323E4F" w:themeColor="text2" w:themeShade="BF"/>
          <w:sz w:val="22"/>
          <w:szCs w:val="22"/>
          <w:lang w:val="es-ES"/>
        </w:rPr>
        <w:t xml:space="preserve">e verificar </w:t>
      </w:r>
      <w:r w:rsidR="0073120F" w:rsidRPr="0014384E">
        <w:rPr>
          <w:rFonts w:ascii="Arial" w:hAnsi="Arial" w:cs="Arial"/>
          <w:color w:val="323E4F" w:themeColor="text2" w:themeShade="BF"/>
          <w:sz w:val="22"/>
          <w:szCs w:val="22"/>
          <w:lang w:val="es-ES"/>
        </w:rPr>
        <w:t xml:space="preserve">en la plataforma Nacional de Transparencia </w:t>
      </w:r>
      <w:r w:rsidRPr="0014384E">
        <w:rPr>
          <w:rFonts w:ascii="Arial" w:hAnsi="Arial" w:cs="Arial"/>
          <w:color w:val="323E4F" w:themeColor="text2" w:themeShade="BF"/>
          <w:sz w:val="22"/>
          <w:szCs w:val="22"/>
          <w:lang w:val="es-ES"/>
        </w:rPr>
        <w:t xml:space="preserve">la </w:t>
      </w:r>
      <w:r w:rsidR="0073120F" w:rsidRPr="0014384E">
        <w:rPr>
          <w:rFonts w:ascii="Arial" w:hAnsi="Arial" w:cs="Arial"/>
          <w:color w:val="323E4F" w:themeColor="text2" w:themeShade="BF"/>
          <w:sz w:val="22"/>
          <w:szCs w:val="22"/>
          <w:lang w:val="es-ES"/>
        </w:rPr>
        <w:t xml:space="preserve">información solicitada, y entregada al recurrente. </w:t>
      </w:r>
    </w:p>
    <w:p w14:paraId="697F560A" w14:textId="77777777" w:rsidR="00DC1F71" w:rsidRPr="0014384E" w:rsidRDefault="00DC1F71" w:rsidP="00DC1F71">
      <w:pPr>
        <w:spacing w:line="360" w:lineRule="auto"/>
        <w:jc w:val="both"/>
        <w:rPr>
          <w:rFonts w:ascii="Arial" w:hAnsi="Arial" w:cs="Arial"/>
          <w:color w:val="323E4F" w:themeColor="text2" w:themeShade="BF"/>
          <w:sz w:val="22"/>
          <w:szCs w:val="22"/>
          <w:lang w:val="es-ES"/>
        </w:rPr>
      </w:pPr>
    </w:p>
    <w:p w14:paraId="5514B42B" w14:textId="77777777" w:rsidR="00DC1F71" w:rsidRPr="0014384E" w:rsidRDefault="00DC1F71" w:rsidP="00DC1F71">
      <w:pPr>
        <w:spacing w:line="360" w:lineRule="auto"/>
        <w:ind w:firstLine="708"/>
        <w:jc w:val="both"/>
        <w:rPr>
          <w:rFonts w:ascii="Arial" w:hAnsi="Arial" w:cs="Arial"/>
          <w:color w:val="323E4F" w:themeColor="text2" w:themeShade="BF"/>
          <w:sz w:val="22"/>
          <w:szCs w:val="22"/>
          <w:lang w:val="es-ES"/>
        </w:rPr>
      </w:pPr>
      <w:r w:rsidRPr="0014384E">
        <w:rPr>
          <w:rFonts w:ascii="Arial" w:hAnsi="Arial" w:cs="Arial"/>
          <w:color w:val="323E4F" w:themeColor="text2" w:themeShade="BF"/>
          <w:sz w:val="22"/>
          <w:szCs w:val="22"/>
          <w:lang w:val="es-ES"/>
        </w:rPr>
        <w:t xml:space="preserve">Asimismo, de las constancias aportadas al presente sumario, se advierte que el particular no realizo manifestaciones, por lo que es </w:t>
      </w:r>
      <w:r w:rsidRPr="0014384E">
        <w:rPr>
          <w:rFonts w:ascii="Arial" w:hAnsi="Arial" w:cs="Arial"/>
          <w:color w:val="323E4F" w:themeColor="text2" w:themeShade="BF"/>
          <w:sz w:val="22"/>
          <w:szCs w:val="22"/>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14:paraId="1650BD1A" w14:textId="77777777" w:rsidR="00DC1F71" w:rsidRPr="0014384E" w:rsidRDefault="00DC1F71" w:rsidP="00DC1F71">
      <w:pPr>
        <w:spacing w:before="240" w:after="240" w:line="360" w:lineRule="auto"/>
        <w:ind w:firstLine="708"/>
        <w:jc w:val="both"/>
        <w:rPr>
          <w:rFonts w:ascii="Arial" w:hAnsi="Arial" w:cs="Arial"/>
          <w:color w:val="323E4F" w:themeColor="text2" w:themeShade="BF"/>
          <w:sz w:val="22"/>
          <w:szCs w:val="22"/>
        </w:rPr>
      </w:pPr>
      <w:r w:rsidRPr="0014384E">
        <w:rPr>
          <w:rFonts w:ascii="Arial" w:hAnsi="Arial" w:cs="Arial"/>
          <w:color w:val="323E4F" w:themeColor="text2" w:themeShade="BF"/>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14384E">
        <w:rPr>
          <w:rFonts w:ascii="Arial" w:hAnsi="Arial" w:cs="Arial"/>
          <w:b/>
          <w:color w:val="323E4F" w:themeColor="text2" w:themeShade="BF"/>
          <w:sz w:val="22"/>
          <w:szCs w:val="22"/>
          <w:u w:val="single"/>
        </w:rPr>
        <w:t>cumplida</w:t>
      </w:r>
      <w:r w:rsidRPr="0014384E">
        <w:rPr>
          <w:rFonts w:ascii="Arial" w:hAnsi="Arial" w:cs="Arial"/>
          <w:b/>
          <w:color w:val="323E4F" w:themeColor="text2" w:themeShade="BF"/>
          <w:sz w:val="22"/>
          <w:szCs w:val="22"/>
        </w:rPr>
        <w:t xml:space="preserve"> </w:t>
      </w:r>
      <w:r w:rsidRPr="0014384E">
        <w:rPr>
          <w:rFonts w:ascii="Arial" w:hAnsi="Arial" w:cs="Arial"/>
          <w:color w:val="323E4F" w:themeColor="text2" w:themeShade="BF"/>
          <w:sz w:val="22"/>
          <w:szCs w:val="22"/>
        </w:rPr>
        <w:t xml:space="preserve">la presente resolución. </w:t>
      </w:r>
    </w:p>
    <w:p w14:paraId="32733C01" w14:textId="77777777" w:rsidR="00DC1F71" w:rsidRPr="0014384E" w:rsidRDefault="00DC1F71" w:rsidP="00DC1F71">
      <w:pPr>
        <w:ind w:firstLine="708"/>
        <w:rPr>
          <w:rFonts w:ascii="Arial" w:hAnsi="Arial" w:cs="Arial"/>
          <w:color w:val="323E4F" w:themeColor="text2" w:themeShade="BF"/>
          <w:sz w:val="22"/>
          <w:szCs w:val="22"/>
        </w:rPr>
      </w:pPr>
      <w:r w:rsidRPr="0014384E">
        <w:rPr>
          <w:rFonts w:ascii="Arial" w:hAnsi="Arial" w:cs="Arial"/>
          <w:color w:val="323E4F" w:themeColor="text2" w:themeShade="BF"/>
          <w:sz w:val="22"/>
          <w:szCs w:val="22"/>
        </w:rPr>
        <w:t>Por lo anteriormente expuesto y fundado, se emite el siguiente:</w:t>
      </w:r>
    </w:p>
    <w:p w14:paraId="09D1B6A0" w14:textId="77777777" w:rsidR="00DC1F71" w:rsidRPr="0014384E" w:rsidRDefault="00DC1F71" w:rsidP="00DC1F71">
      <w:pPr>
        <w:spacing w:line="360" w:lineRule="auto"/>
        <w:jc w:val="center"/>
        <w:rPr>
          <w:rFonts w:ascii="Arial" w:hAnsi="Arial" w:cs="Arial"/>
          <w:b/>
          <w:color w:val="323E4F" w:themeColor="text2" w:themeShade="BF"/>
          <w:sz w:val="22"/>
          <w:szCs w:val="22"/>
        </w:rPr>
      </w:pPr>
    </w:p>
    <w:p w14:paraId="4D57DDCF" w14:textId="77777777" w:rsidR="00DC1F71" w:rsidRPr="0014384E" w:rsidRDefault="00DC1F71" w:rsidP="00DC1F71">
      <w:pPr>
        <w:spacing w:line="360" w:lineRule="auto"/>
        <w:jc w:val="center"/>
        <w:rPr>
          <w:rFonts w:ascii="Arial" w:hAnsi="Arial" w:cs="Arial"/>
          <w:b/>
          <w:color w:val="323E4F" w:themeColor="text2" w:themeShade="BF"/>
          <w:sz w:val="22"/>
          <w:szCs w:val="22"/>
        </w:rPr>
      </w:pPr>
      <w:r w:rsidRPr="0014384E">
        <w:rPr>
          <w:rFonts w:ascii="Arial" w:hAnsi="Arial" w:cs="Arial"/>
          <w:b/>
          <w:color w:val="323E4F" w:themeColor="text2" w:themeShade="BF"/>
          <w:sz w:val="22"/>
          <w:szCs w:val="22"/>
        </w:rPr>
        <w:t>ACUERDO</w:t>
      </w:r>
    </w:p>
    <w:p w14:paraId="3EE52531" w14:textId="77777777" w:rsidR="00DC1F71" w:rsidRPr="0014384E" w:rsidRDefault="00DC1F71" w:rsidP="00DC1F71">
      <w:pPr>
        <w:spacing w:line="360" w:lineRule="auto"/>
        <w:ind w:right="111" w:firstLine="708"/>
        <w:jc w:val="both"/>
        <w:rPr>
          <w:rFonts w:ascii="Arial" w:hAnsi="Arial" w:cs="Arial"/>
          <w:color w:val="323E4F" w:themeColor="text2" w:themeShade="BF"/>
          <w:spacing w:val="1"/>
          <w:sz w:val="22"/>
          <w:szCs w:val="22"/>
        </w:rPr>
      </w:pPr>
      <w:r w:rsidRPr="0014384E">
        <w:rPr>
          <w:rFonts w:ascii="Arial" w:hAnsi="Arial" w:cs="Arial"/>
          <w:b/>
          <w:color w:val="323E4F" w:themeColor="text2" w:themeShade="BF"/>
          <w:spacing w:val="1"/>
          <w:sz w:val="22"/>
          <w:szCs w:val="22"/>
        </w:rPr>
        <w:t xml:space="preserve">PRIMERO. </w:t>
      </w:r>
      <w:r w:rsidRPr="0014384E">
        <w:rPr>
          <w:rFonts w:ascii="Arial" w:hAnsi="Arial" w:cs="Arial"/>
          <w:color w:val="323E4F" w:themeColor="text2" w:themeShade="BF"/>
          <w:spacing w:val="1"/>
          <w:sz w:val="22"/>
          <w:szCs w:val="22"/>
        </w:rPr>
        <w:t xml:space="preserve">Con base en el artículo 185 de la Ley de Transparencia y Acceso a la Información Pública del Estado, declara </w:t>
      </w:r>
      <w:r w:rsidRPr="0014384E">
        <w:rPr>
          <w:rFonts w:ascii="Arial" w:hAnsi="Arial" w:cs="Arial"/>
          <w:b/>
          <w:color w:val="323E4F" w:themeColor="text2" w:themeShade="BF"/>
          <w:spacing w:val="1"/>
          <w:sz w:val="22"/>
          <w:szCs w:val="22"/>
          <w:u w:val="single"/>
        </w:rPr>
        <w:t>cumplida</w:t>
      </w:r>
      <w:r w:rsidRPr="0014384E">
        <w:rPr>
          <w:rFonts w:ascii="Arial" w:hAnsi="Arial" w:cs="Arial"/>
          <w:color w:val="323E4F" w:themeColor="text2" w:themeShade="BF"/>
          <w:spacing w:val="1"/>
          <w:sz w:val="22"/>
          <w:szCs w:val="22"/>
        </w:rPr>
        <w:t xml:space="preserve"> la resolución que en definitiva se dictó en el presente asunto.</w:t>
      </w:r>
    </w:p>
    <w:p w14:paraId="77D09E37" w14:textId="77777777" w:rsidR="00DC1F71" w:rsidRPr="0014384E" w:rsidRDefault="00DC1F71" w:rsidP="00DC1F71">
      <w:pPr>
        <w:spacing w:line="360" w:lineRule="auto"/>
        <w:jc w:val="center"/>
        <w:rPr>
          <w:rFonts w:ascii="Arial" w:hAnsi="Arial" w:cs="Arial"/>
          <w:color w:val="323E4F" w:themeColor="text2" w:themeShade="BF"/>
          <w:sz w:val="22"/>
          <w:szCs w:val="22"/>
        </w:rPr>
      </w:pPr>
    </w:p>
    <w:p w14:paraId="1952A6E2" w14:textId="77777777" w:rsidR="00DC1F71" w:rsidRPr="0014384E" w:rsidRDefault="00DC1F71" w:rsidP="00DC1F71">
      <w:pPr>
        <w:spacing w:line="360" w:lineRule="auto"/>
        <w:ind w:firstLine="708"/>
        <w:jc w:val="both"/>
        <w:rPr>
          <w:rFonts w:ascii="Arial" w:hAnsi="Arial" w:cs="Arial"/>
          <w:color w:val="323E4F" w:themeColor="text2" w:themeShade="BF"/>
          <w:sz w:val="22"/>
          <w:szCs w:val="22"/>
        </w:rPr>
      </w:pPr>
      <w:r w:rsidRPr="0014384E">
        <w:rPr>
          <w:rFonts w:ascii="Arial" w:hAnsi="Arial" w:cs="Arial"/>
          <w:b/>
          <w:color w:val="323E4F" w:themeColor="text2" w:themeShade="BF"/>
          <w:sz w:val="22"/>
          <w:szCs w:val="22"/>
          <w:highlight w:val="white"/>
        </w:rPr>
        <w:t>SEGUNDO.</w:t>
      </w:r>
      <w:r w:rsidRPr="0014384E">
        <w:rPr>
          <w:rFonts w:ascii="Arial" w:hAnsi="Arial" w:cs="Arial"/>
          <w:b/>
          <w:color w:val="323E4F" w:themeColor="text2" w:themeShade="BF"/>
          <w:sz w:val="22"/>
          <w:szCs w:val="22"/>
        </w:rPr>
        <w:t xml:space="preserve"> </w:t>
      </w:r>
      <w:r w:rsidRPr="0014384E">
        <w:rPr>
          <w:rFonts w:ascii="Arial" w:hAnsi="Arial" w:cs="Arial"/>
          <w:color w:val="323E4F" w:themeColor="text2" w:themeShade="BF"/>
          <w:sz w:val="22"/>
          <w:szCs w:val="22"/>
        </w:rPr>
        <w:t>Con fundamento en los artículos 2 fracción XII y 9 de los Lineamientos para la Gestión de Archivos Administrativos y Resguardo de la Información Pública del Estado de San Luis Potosí, emitidos por esta Comisión,</w:t>
      </w:r>
      <w:r w:rsidRPr="0014384E">
        <w:rPr>
          <w:rFonts w:ascii="Arial" w:hAnsi="Arial" w:cs="Arial"/>
          <w:b/>
          <w:color w:val="323E4F" w:themeColor="text2" w:themeShade="BF"/>
          <w:sz w:val="22"/>
          <w:szCs w:val="22"/>
        </w:rPr>
        <w:t xml:space="preserve"> se remite el </w:t>
      </w:r>
      <w:r w:rsidRPr="0014384E">
        <w:rPr>
          <w:rFonts w:ascii="Arial" w:hAnsi="Arial" w:cs="Arial"/>
          <w:b/>
          <w:color w:val="323E4F" w:themeColor="text2" w:themeShade="BF"/>
          <w:sz w:val="22"/>
          <w:szCs w:val="22"/>
        </w:rPr>
        <w:lastRenderedPageBreak/>
        <w:t xml:space="preserve">presente asunto al Archivo de Concentración de este Órgano Garante, </w:t>
      </w:r>
      <w:r w:rsidRPr="0014384E">
        <w:rPr>
          <w:rFonts w:ascii="Arial" w:hAnsi="Arial" w:cs="Arial"/>
          <w:color w:val="323E4F" w:themeColor="text2" w:themeShade="BF"/>
          <w:sz w:val="22"/>
          <w:szCs w:val="22"/>
        </w:rPr>
        <w:t>como asunto concluido.</w:t>
      </w:r>
    </w:p>
    <w:p w14:paraId="12D8EC2B" w14:textId="77777777" w:rsidR="00DC1F71" w:rsidRPr="0014384E" w:rsidRDefault="00DC1F71" w:rsidP="00DC1F71">
      <w:pPr>
        <w:spacing w:line="360" w:lineRule="auto"/>
        <w:jc w:val="both"/>
        <w:rPr>
          <w:rFonts w:ascii="Arial" w:hAnsi="Arial" w:cs="Arial"/>
          <w:b/>
          <w:color w:val="323E4F" w:themeColor="text2" w:themeShade="BF"/>
          <w:sz w:val="22"/>
          <w:szCs w:val="22"/>
        </w:rPr>
      </w:pPr>
    </w:p>
    <w:p w14:paraId="26E8ECB6" w14:textId="77777777" w:rsidR="00DC1F71" w:rsidRPr="0014384E" w:rsidRDefault="00DC1F71" w:rsidP="00DC1F71">
      <w:pPr>
        <w:spacing w:line="360" w:lineRule="auto"/>
        <w:ind w:firstLine="708"/>
        <w:jc w:val="both"/>
        <w:rPr>
          <w:rFonts w:ascii="Arial" w:hAnsi="Arial" w:cs="Arial"/>
          <w:color w:val="323E4F" w:themeColor="text2" w:themeShade="BF"/>
          <w:sz w:val="22"/>
          <w:szCs w:val="22"/>
        </w:rPr>
      </w:pPr>
      <w:r w:rsidRPr="0014384E">
        <w:rPr>
          <w:rFonts w:ascii="Arial" w:hAnsi="Arial" w:cs="Arial"/>
          <w:b/>
          <w:color w:val="323E4F" w:themeColor="text2" w:themeShade="BF"/>
          <w:sz w:val="22"/>
          <w:szCs w:val="22"/>
        </w:rPr>
        <w:t>TERCERO.</w:t>
      </w:r>
      <w:r w:rsidRPr="0014384E">
        <w:rPr>
          <w:rFonts w:ascii="Arial" w:hAnsi="Arial" w:cs="Arial"/>
          <w:color w:val="323E4F" w:themeColor="text2" w:themeShade="BF"/>
          <w:sz w:val="22"/>
          <w:szCs w:val="22"/>
        </w:rPr>
        <w:t xml:space="preserve"> Notifíquese a ambas partes. </w:t>
      </w:r>
    </w:p>
    <w:p w14:paraId="50CDD9B5" w14:textId="77777777" w:rsidR="00DC1F71" w:rsidRPr="0014384E" w:rsidRDefault="00DC1F71" w:rsidP="00DC1F71">
      <w:pPr>
        <w:ind w:left="284"/>
        <w:jc w:val="both"/>
        <w:rPr>
          <w:rFonts w:ascii="Arial" w:hAnsi="Arial" w:cs="Arial"/>
          <w:i/>
          <w:color w:val="323E4F" w:themeColor="text2" w:themeShade="BF"/>
          <w:sz w:val="22"/>
          <w:szCs w:val="22"/>
        </w:rPr>
      </w:pPr>
    </w:p>
    <w:p w14:paraId="7A44BE62" w14:textId="7D7E878E" w:rsidR="005C265E" w:rsidRPr="0014384E" w:rsidRDefault="005C265E" w:rsidP="005C265E">
      <w:pPr>
        <w:spacing w:line="360" w:lineRule="auto"/>
        <w:ind w:firstLine="567"/>
        <w:jc w:val="both"/>
        <w:rPr>
          <w:rFonts w:ascii="Arial" w:eastAsia="Calibri" w:hAnsi="Arial" w:cs="Arial"/>
          <w:color w:val="323E4F" w:themeColor="text2" w:themeShade="BF"/>
          <w:sz w:val="22"/>
          <w:szCs w:val="22"/>
          <w:lang w:eastAsia="en-US"/>
        </w:rPr>
      </w:pPr>
      <w:r w:rsidRPr="0014384E">
        <w:rPr>
          <w:rFonts w:ascii="Arial" w:eastAsia="Calibri" w:hAnsi="Arial" w:cs="Arial"/>
          <w:color w:val="323E4F" w:themeColor="text2" w:themeShade="BF"/>
          <w:sz w:val="22"/>
          <w:szCs w:val="22"/>
          <w:lang w:eastAsia="en-US"/>
        </w:rPr>
        <w:t>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e</w:t>
      </w:r>
      <w:r w:rsidR="007D0F23" w:rsidRPr="0014384E">
        <w:rPr>
          <w:rFonts w:ascii="Arial" w:eastAsia="Calibri" w:hAnsi="Arial" w:cs="Arial"/>
          <w:color w:val="323E4F" w:themeColor="text2" w:themeShade="BF"/>
          <w:sz w:val="22"/>
          <w:szCs w:val="22"/>
          <w:lang w:eastAsia="en-US"/>
        </w:rPr>
        <w:t>n San Luis Potosí, S. L. P., a 2</w:t>
      </w:r>
      <w:r w:rsidR="0073120F" w:rsidRPr="0014384E">
        <w:rPr>
          <w:rFonts w:ascii="Arial" w:eastAsia="Calibri" w:hAnsi="Arial" w:cs="Arial"/>
          <w:color w:val="323E4F" w:themeColor="text2" w:themeShade="BF"/>
          <w:sz w:val="22"/>
          <w:szCs w:val="22"/>
          <w:lang w:eastAsia="en-US"/>
        </w:rPr>
        <w:t>7</w:t>
      </w:r>
      <w:r w:rsidRPr="0014384E">
        <w:rPr>
          <w:rFonts w:ascii="Arial" w:eastAsia="Calibri" w:hAnsi="Arial" w:cs="Arial"/>
          <w:color w:val="323E4F" w:themeColor="text2" w:themeShade="BF"/>
          <w:sz w:val="22"/>
          <w:szCs w:val="22"/>
          <w:lang w:eastAsia="en-US"/>
        </w:rPr>
        <w:t xml:space="preserve"> </w:t>
      </w:r>
      <w:r w:rsidR="00820C64" w:rsidRPr="0014384E">
        <w:rPr>
          <w:rFonts w:ascii="Arial" w:eastAsia="Calibri" w:hAnsi="Arial" w:cs="Arial"/>
          <w:color w:val="323E4F" w:themeColor="text2" w:themeShade="BF"/>
          <w:sz w:val="22"/>
          <w:szCs w:val="22"/>
          <w:lang w:eastAsia="en-US"/>
        </w:rPr>
        <w:t>veinti</w:t>
      </w:r>
      <w:r w:rsidR="0073120F" w:rsidRPr="0014384E">
        <w:rPr>
          <w:rFonts w:ascii="Arial" w:eastAsia="Calibri" w:hAnsi="Arial" w:cs="Arial"/>
          <w:color w:val="323E4F" w:themeColor="text2" w:themeShade="BF"/>
          <w:sz w:val="22"/>
          <w:szCs w:val="22"/>
          <w:lang w:eastAsia="en-US"/>
        </w:rPr>
        <w:t>siete</w:t>
      </w:r>
      <w:r w:rsidRPr="0014384E">
        <w:rPr>
          <w:rFonts w:ascii="Arial" w:eastAsia="Calibri" w:hAnsi="Arial" w:cs="Arial"/>
          <w:color w:val="323E4F" w:themeColor="text2" w:themeShade="BF"/>
          <w:sz w:val="22"/>
          <w:szCs w:val="22"/>
          <w:lang w:eastAsia="en-US"/>
        </w:rPr>
        <w:t xml:space="preserve"> de noviembre de 2023 dos mil veintitrés.</w:t>
      </w:r>
    </w:p>
    <w:p w14:paraId="3A48A94B" w14:textId="77777777" w:rsidR="005C265E" w:rsidRPr="0014384E" w:rsidRDefault="005C265E" w:rsidP="005C265E">
      <w:pPr>
        <w:spacing w:line="360" w:lineRule="auto"/>
        <w:ind w:firstLine="567"/>
        <w:jc w:val="both"/>
        <w:rPr>
          <w:rFonts w:ascii="Arial" w:eastAsia="Calibri" w:hAnsi="Arial" w:cs="Arial"/>
          <w:b/>
          <w:sz w:val="20"/>
          <w:szCs w:val="22"/>
          <w:lang w:eastAsia="en-US"/>
        </w:rPr>
      </w:pPr>
    </w:p>
    <w:p w14:paraId="3B64B885" w14:textId="77777777" w:rsidR="00DC1F71" w:rsidRPr="0014384E" w:rsidRDefault="00DC1F71" w:rsidP="00DC1F71">
      <w:pPr>
        <w:spacing w:line="360" w:lineRule="auto"/>
        <w:jc w:val="both"/>
        <w:rPr>
          <w:rFonts w:ascii="Arial" w:hAnsi="Arial" w:cs="Arial"/>
          <w:color w:val="323E4F" w:themeColor="text2" w:themeShade="BF"/>
          <w:sz w:val="22"/>
          <w:szCs w:val="22"/>
        </w:rPr>
      </w:pPr>
    </w:p>
    <w:p w14:paraId="2207894E" w14:textId="77777777" w:rsidR="00DC1F71" w:rsidRPr="0014384E" w:rsidRDefault="00DC1F71" w:rsidP="00DC1F71">
      <w:pPr>
        <w:spacing w:line="360" w:lineRule="auto"/>
        <w:jc w:val="both"/>
        <w:rPr>
          <w:rFonts w:ascii="Arial" w:hAnsi="Arial" w:cs="Arial"/>
          <w:color w:val="323E4F" w:themeColor="text2" w:themeShade="BF"/>
          <w:sz w:val="22"/>
          <w:szCs w:val="22"/>
        </w:rPr>
      </w:pPr>
    </w:p>
    <w:p w14:paraId="3D2F31C1" w14:textId="77777777" w:rsidR="005C265E" w:rsidRPr="0014384E" w:rsidRDefault="005C265E" w:rsidP="005C265E">
      <w:pPr>
        <w:spacing w:line="360" w:lineRule="auto"/>
        <w:ind w:firstLine="567"/>
        <w:jc w:val="center"/>
        <w:rPr>
          <w:rFonts w:ascii="Arial" w:eastAsia="Calibri" w:hAnsi="Arial" w:cs="Arial"/>
          <w:b/>
          <w:color w:val="323E4F" w:themeColor="text2" w:themeShade="BF"/>
          <w:sz w:val="22"/>
        </w:rPr>
      </w:pPr>
      <w:r w:rsidRPr="0014384E">
        <w:rPr>
          <w:rFonts w:ascii="Arial" w:eastAsia="Calibri" w:hAnsi="Arial" w:cs="Arial"/>
          <w:b/>
          <w:color w:val="323E4F" w:themeColor="text2" w:themeShade="BF"/>
          <w:sz w:val="22"/>
        </w:rPr>
        <w:t>Adriana Berenice Capetillo Reyes</w:t>
      </w:r>
    </w:p>
    <w:p w14:paraId="569499EB" w14:textId="77777777" w:rsidR="005C265E" w:rsidRPr="0014384E" w:rsidRDefault="005C265E" w:rsidP="005C265E">
      <w:pPr>
        <w:spacing w:line="360" w:lineRule="auto"/>
        <w:ind w:firstLine="567"/>
        <w:jc w:val="center"/>
        <w:rPr>
          <w:rFonts w:ascii="Arial" w:eastAsia="Calibri" w:hAnsi="Arial" w:cs="Arial"/>
          <w:b/>
          <w:color w:val="323E4F" w:themeColor="text2" w:themeShade="BF"/>
          <w:sz w:val="22"/>
        </w:rPr>
      </w:pPr>
      <w:r w:rsidRPr="0014384E">
        <w:rPr>
          <w:rFonts w:ascii="Arial" w:eastAsia="Calibri" w:hAnsi="Arial" w:cs="Arial"/>
          <w:b/>
          <w:color w:val="323E4F" w:themeColor="text2" w:themeShade="BF"/>
          <w:sz w:val="22"/>
        </w:rPr>
        <w:t>Proyectista Adscrita a Ponencia Tres</w:t>
      </w:r>
    </w:p>
    <w:p w14:paraId="3962E392" w14:textId="77777777" w:rsidR="00DC1F71" w:rsidRPr="00DF7A8C" w:rsidRDefault="00DC1F71" w:rsidP="00DC1F71">
      <w:pPr>
        <w:spacing w:line="360" w:lineRule="auto"/>
        <w:jc w:val="both"/>
        <w:rPr>
          <w:rFonts w:ascii="Arial" w:hAnsi="Arial" w:cs="Arial"/>
          <w:color w:val="323E4F" w:themeColor="text2" w:themeShade="BF"/>
          <w:sz w:val="18"/>
          <w:szCs w:val="22"/>
        </w:rPr>
      </w:pPr>
      <w:r w:rsidRPr="00DF7A8C">
        <w:rPr>
          <w:rFonts w:ascii="Arial" w:hAnsi="Arial" w:cs="Arial"/>
          <w:color w:val="323E4F" w:themeColor="text2" w:themeShade="BF"/>
          <w:sz w:val="18"/>
          <w:szCs w:val="22"/>
        </w:rPr>
        <w:t>Elaboró: CCL</w:t>
      </w:r>
      <w:bookmarkStart w:id="0" w:name="_GoBack"/>
      <w:bookmarkEnd w:id="0"/>
    </w:p>
    <w:sectPr w:rsidR="00DC1F71" w:rsidRPr="00DF7A8C" w:rsidSect="0014384E">
      <w:headerReference w:type="default" r:id="rId9"/>
      <w:pgSz w:w="12240" w:h="15840" w:code="1"/>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1FA4D" w14:textId="77777777" w:rsidR="00D26912" w:rsidRDefault="00D26912" w:rsidP="00BB58C4">
      <w:r>
        <w:separator/>
      </w:r>
    </w:p>
  </w:endnote>
  <w:endnote w:type="continuationSeparator" w:id="0">
    <w:p w14:paraId="7E7E85EB" w14:textId="77777777" w:rsidR="00D26912" w:rsidRDefault="00D26912"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21874" w14:textId="77777777" w:rsidR="00D26912" w:rsidRDefault="00D26912" w:rsidP="00BB58C4">
      <w:r>
        <w:separator/>
      </w:r>
    </w:p>
  </w:footnote>
  <w:footnote w:type="continuationSeparator" w:id="0">
    <w:p w14:paraId="24FEC87B" w14:textId="77777777" w:rsidR="00D26912" w:rsidRDefault="00D26912"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3ED59599" w:rsidR="00BD2B59" w:rsidRDefault="00BD2B59">
    <w:pPr>
      <w:pStyle w:val="Encabezado"/>
      <w:jc w:val="center"/>
    </w:pP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0E83757F"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RR</w:t>
    </w:r>
    <w:r w:rsidR="005B7790">
      <w:rPr>
        <w:rFonts w:ascii="Arial" w:hAnsi="Arial" w:cs="Arial"/>
        <w:b/>
        <w:sz w:val="26"/>
        <w:szCs w:val="26"/>
      </w:rPr>
      <w:t>-</w:t>
    </w:r>
    <w:r w:rsidR="00943042">
      <w:rPr>
        <w:rFonts w:ascii="Arial" w:hAnsi="Arial" w:cs="Arial"/>
        <w:b/>
        <w:sz w:val="26"/>
        <w:szCs w:val="26"/>
      </w:rPr>
      <w:t>2087</w:t>
    </w:r>
    <w:r w:rsidR="00AA103D">
      <w:rPr>
        <w:rFonts w:ascii="Arial" w:hAnsi="Arial" w:cs="Arial"/>
        <w:b/>
        <w:sz w:val="26"/>
        <w:szCs w:val="26"/>
      </w:rPr>
      <w:t>/202</w:t>
    </w:r>
    <w:r w:rsidR="005A248B">
      <w:rPr>
        <w:rFonts w:ascii="Arial" w:hAnsi="Arial" w:cs="Arial"/>
        <w:b/>
        <w:sz w:val="26"/>
        <w:szCs w:val="26"/>
      </w:rPr>
      <w:t>2</w:t>
    </w:r>
    <w:r w:rsidR="00DE7922">
      <w:rPr>
        <w:rFonts w:ascii="Arial" w:hAnsi="Arial" w:cs="Arial"/>
        <w:b/>
        <w:sz w:val="26"/>
        <w:szCs w:val="26"/>
      </w:rPr>
      <w:t>-3</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43A468E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103F633E"/>
    <w:multiLevelType w:val="hybridMultilevel"/>
    <w:tmpl w:val="BE98571A"/>
    <w:lvl w:ilvl="0" w:tplc="0F044FE6">
      <w:start w:val="1"/>
      <w:numFmt w:val="upperRoman"/>
      <w:lvlText w:val="%1."/>
      <w:lvlJc w:val="right"/>
      <w:pPr>
        <w:ind w:left="360" w:hanging="360"/>
      </w:pPr>
      <w:rPr>
        <w:b w:val="0"/>
        <w:i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53D05B4"/>
    <w:multiLevelType w:val="hybridMultilevel"/>
    <w:tmpl w:val="AC14F890"/>
    <w:lvl w:ilvl="0" w:tplc="9726364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5E17A7D"/>
    <w:multiLevelType w:val="hybridMultilevel"/>
    <w:tmpl w:val="324866B8"/>
    <w:lvl w:ilvl="0" w:tplc="29309BF0">
      <w:start w:val="1"/>
      <w:numFmt w:val="upperRoman"/>
      <w:lvlText w:val="%1."/>
      <w:lvlJc w:val="left"/>
      <w:pPr>
        <w:ind w:left="4412" w:hanging="720"/>
      </w:pPr>
      <w:rPr>
        <w:rFonts w:ascii="Arial" w:eastAsia="Arial Unicode MS" w:hAnsi="Arial" w:cs="Arial"/>
        <w:b w:val="0"/>
        <w:i w:val="0"/>
      </w:rPr>
    </w:lvl>
    <w:lvl w:ilvl="1" w:tplc="080A0019">
      <w:start w:val="1"/>
      <w:numFmt w:val="lowerLetter"/>
      <w:lvlText w:val="%2."/>
      <w:lvlJc w:val="left"/>
      <w:pPr>
        <w:ind w:left="4772" w:hanging="360"/>
      </w:pPr>
    </w:lvl>
    <w:lvl w:ilvl="2" w:tplc="080A001B" w:tentative="1">
      <w:start w:val="1"/>
      <w:numFmt w:val="lowerRoman"/>
      <w:lvlText w:val="%3."/>
      <w:lvlJc w:val="right"/>
      <w:pPr>
        <w:ind w:left="5492" w:hanging="180"/>
      </w:pPr>
    </w:lvl>
    <w:lvl w:ilvl="3" w:tplc="080A000F" w:tentative="1">
      <w:start w:val="1"/>
      <w:numFmt w:val="decimal"/>
      <w:lvlText w:val="%4."/>
      <w:lvlJc w:val="left"/>
      <w:pPr>
        <w:ind w:left="6212" w:hanging="360"/>
      </w:pPr>
    </w:lvl>
    <w:lvl w:ilvl="4" w:tplc="080A0019" w:tentative="1">
      <w:start w:val="1"/>
      <w:numFmt w:val="lowerLetter"/>
      <w:lvlText w:val="%5."/>
      <w:lvlJc w:val="left"/>
      <w:pPr>
        <w:ind w:left="6932" w:hanging="360"/>
      </w:pPr>
    </w:lvl>
    <w:lvl w:ilvl="5" w:tplc="080A001B" w:tentative="1">
      <w:start w:val="1"/>
      <w:numFmt w:val="lowerRoman"/>
      <w:lvlText w:val="%6."/>
      <w:lvlJc w:val="right"/>
      <w:pPr>
        <w:ind w:left="7652" w:hanging="180"/>
      </w:pPr>
    </w:lvl>
    <w:lvl w:ilvl="6" w:tplc="080A000F" w:tentative="1">
      <w:start w:val="1"/>
      <w:numFmt w:val="decimal"/>
      <w:lvlText w:val="%7."/>
      <w:lvlJc w:val="left"/>
      <w:pPr>
        <w:ind w:left="8372" w:hanging="360"/>
      </w:pPr>
    </w:lvl>
    <w:lvl w:ilvl="7" w:tplc="080A0019" w:tentative="1">
      <w:start w:val="1"/>
      <w:numFmt w:val="lowerLetter"/>
      <w:lvlText w:val="%8."/>
      <w:lvlJc w:val="left"/>
      <w:pPr>
        <w:ind w:left="9092" w:hanging="360"/>
      </w:pPr>
    </w:lvl>
    <w:lvl w:ilvl="8" w:tplc="080A001B" w:tentative="1">
      <w:start w:val="1"/>
      <w:numFmt w:val="lowerRoman"/>
      <w:lvlText w:val="%9."/>
      <w:lvlJc w:val="right"/>
      <w:pPr>
        <w:ind w:left="9812" w:hanging="180"/>
      </w:pPr>
    </w:lvl>
  </w:abstractNum>
  <w:abstractNum w:abstractNumId="5" w15:restartNumberingAfterBreak="0">
    <w:nsid w:val="17E311C7"/>
    <w:multiLevelType w:val="hybridMultilevel"/>
    <w:tmpl w:val="6C52F9F6"/>
    <w:lvl w:ilvl="0" w:tplc="080A0001">
      <w:start w:val="1"/>
      <w:numFmt w:val="bullet"/>
      <w:lvlText w:val=""/>
      <w:lvlJc w:val="left"/>
      <w:pPr>
        <w:ind w:left="2562" w:hanging="360"/>
      </w:pPr>
      <w:rPr>
        <w:rFonts w:ascii="Symbol" w:hAnsi="Symbol" w:hint="default"/>
      </w:rPr>
    </w:lvl>
    <w:lvl w:ilvl="1" w:tplc="080A0003" w:tentative="1">
      <w:start w:val="1"/>
      <w:numFmt w:val="bullet"/>
      <w:lvlText w:val="o"/>
      <w:lvlJc w:val="left"/>
      <w:pPr>
        <w:ind w:left="3282" w:hanging="360"/>
      </w:pPr>
      <w:rPr>
        <w:rFonts w:ascii="Courier New" w:hAnsi="Courier New" w:cs="Courier New" w:hint="default"/>
      </w:rPr>
    </w:lvl>
    <w:lvl w:ilvl="2" w:tplc="080A0005" w:tentative="1">
      <w:start w:val="1"/>
      <w:numFmt w:val="bullet"/>
      <w:lvlText w:val=""/>
      <w:lvlJc w:val="left"/>
      <w:pPr>
        <w:ind w:left="4002" w:hanging="360"/>
      </w:pPr>
      <w:rPr>
        <w:rFonts w:ascii="Wingdings" w:hAnsi="Wingdings" w:hint="default"/>
      </w:rPr>
    </w:lvl>
    <w:lvl w:ilvl="3" w:tplc="080A0001" w:tentative="1">
      <w:start w:val="1"/>
      <w:numFmt w:val="bullet"/>
      <w:lvlText w:val=""/>
      <w:lvlJc w:val="left"/>
      <w:pPr>
        <w:ind w:left="4722" w:hanging="360"/>
      </w:pPr>
      <w:rPr>
        <w:rFonts w:ascii="Symbol" w:hAnsi="Symbol" w:hint="default"/>
      </w:rPr>
    </w:lvl>
    <w:lvl w:ilvl="4" w:tplc="080A0003" w:tentative="1">
      <w:start w:val="1"/>
      <w:numFmt w:val="bullet"/>
      <w:lvlText w:val="o"/>
      <w:lvlJc w:val="left"/>
      <w:pPr>
        <w:ind w:left="5442" w:hanging="360"/>
      </w:pPr>
      <w:rPr>
        <w:rFonts w:ascii="Courier New" w:hAnsi="Courier New" w:cs="Courier New" w:hint="default"/>
      </w:rPr>
    </w:lvl>
    <w:lvl w:ilvl="5" w:tplc="080A0005" w:tentative="1">
      <w:start w:val="1"/>
      <w:numFmt w:val="bullet"/>
      <w:lvlText w:val=""/>
      <w:lvlJc w:val="left"/>
      <w:pPr>
        <w:ind w:left="6162" w:hanging="360"/>
      </w:pPr>
      <w:rPr>
        <w:rFonts w:ascii="Wingdings" w:hAnsi="Wingdings" w:hint="default"/>
      </w:rPr>
    </w:lvl>
    <w:lvl w:ilvl="6" w:tplc="080A0001" w:tentative="1">
      <w:start w:val="1"/>
      <w:numFmt w:val="bullet"/>
      <w:lvlText w:val=""/>
      <w:lvlJc w:val="left"/>
      <w:pPr>
        <w:ind w:left="6882" w:hanging="360"/>
      </w:pPr>
      <w:rPr>
        <w:rFonts w:ascii="Symbol" w:hAnsi="Symbol" w:hint="default"/>
      </w:rPr>
    </w:lvl>
    <w:lvl w:ilvl="7" w:tplc="080A0003" w:tentative="1">
      <w:start w:val="1"/>
      <w:numFmt w:val="bullet"/>
      <w:lvlText w:val="o"/>
      <w:lvlJc w:val="left"/>
      <w:pPr>
        <w:ind w:left="7602" w:hanging="360"/>
      </w:pPr>
      <w:rPr>
        <w:rFonts w:ascii="Courier New" w:hAnsi="Courier New" w:cs="Courier New" w:hint="default"/>
      </w:rPr>
    </w:lvl>
    <w:lvl w:ilvl="8" w:tplc="080A0005" w:tentative="1">
      <w:start w:val="1"/>
      <w:numFmt w:val="bullet"/>
      <w:lvlText w:val=""/>
      <w:lvlJc w:val="left"/>
      <w:pPr>
        <w:ind w:left="8322" w:hanging="360"/>
      </w:pPr>
      <w:rPr>
        <w:rFonts w:ascii="Wingdings" w:hAnsi="Wingdings" w:hint="default"/>
      </w:rPr>
    </w:lvl>
  </w:abstractNum>
  <w:abstractNum w:abstractNumId="6"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A4D05"/>
    <w:multiLevelType w:val="hybridMultilevel"/>
    <w:tmpl w:val="0818DAC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1AF01C6"/>
    <w:multiLevelType w:val="hybridMultilevel"/>
    <w:tmpl w:val="5600D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68208E"/>
    <w:multiLevelType w:val="hybridMultilevel"/>
    <w:tmpl w:val="56F09932"/>
    <w:lvl w:ilvl="0" w:tplc="15469C5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D414228"/>
    <w:multiLevelType w:val="hybridMultilevel"/>
    <w:tmpl w:val="ACEA28B0"/>
    <w:lvl w:ilvl="0" w:tplc="C032B66A">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5"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15:restartNumberingAfterBreak="0">
    <w:nsid w:val="3663259F"/>
    <w:multiLevelType w:val="hybridMultilevel"/>
    <w:tmpl w:val="0284FC88"/>
    <w:lvl w:ilvl="0" w:tplc="421464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7"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9EF0E26"/>
    <w:multiLevelType w:val="hybridMultilevel"/>
    <w:tmpl w:val="DD5A4086"/>
    <w:lvl w:ilvl="0" w:tplc="036A71DE">
      <w:start w:val="1"/>
      <w:numFmt w:val="upperRoman"/>
      <w:lvlText w:val="%1."/>
      <w:lvlJc w:val="left"/>
      <w:pPr>
        <w:ind w:left="1080" w:hanging="720"/>
      </w:pPr>
      <w:rPr>
        <w:rFonts w:eastAsia="Arial Unicode M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0"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2" w15:restartNumberingAfterBreak="0">
    <w:nsid w:val="5FDE01CD"/>
    <w:multiLevelType w:val="hybridMultilevel"/>
    <w:tmpl w:val="97FC0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AFA156B"/>
    <w:multiLevelType w:val="hybridMultilevel"/>
    <w:tmpl w:val="34282F3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2"/>
  </w:num>
  <w:num w:numId="5">
    <w:abstractNumId w:val="6"/>
  </w:num>
  <w:num w:numId="6">
    <w:abstractNumId w:val="4"/>
  </w:num>
  <w:num w:numId="7">
    <w:abstractNumId w:val="15"/>
  </w:num>
  <w:num w:numId="8">
    <w:abstractNumId w:val="21"/>
  </w:num>
  <w:num w:numId="9">
    <w:abstractNumId w:val="12"/>
  </w:num>
  <w:num w:numId="10">
    <w:abstractNumId w:val="17"/>
  </w:num>
  <w:num w:numId="11">
    <w:abstractNumId w:val="13"/>
  </w:num>
  <w:num w:numId="12">
    <w:abstractNumId w:val="8"/>
  </w:num>
  <w:num w:numId="13">
    <w:abstractNumId w:val="22"/>
  </w:num>
  <w:num w:numId="14">
    <w:abstractNumId w:val="0"/>
  </w:num>
  <w:num w:numId="15">
    <w:abstractNumId w:val="23"/>
  </w:num>
  <w:num w:numId="16">
    <w:abstractNumId w:val="18"/>
  </w:num>
  <w:num w:numId="17">
    <w:abstractNumId w:val="10"/>
  </w:num>
  <w:num w:numId="18">
    <w:abstractNumId w:val="16"/>
  </w:num>
  <w:num w:numId="19">
    <w:abstractNumId w:val="20"/>
  </w:num>
  <w:num w:numId="20">
    <w:abstractNumId w:val="5"/>
  </w:num>
  <w:num w:numId="21">
    <w:abstractNumId w:val="1"/>
  </w:num>
  <w:num w:numId="22">
    <w:abstractNumId w:val="3"/>
  </w:num>
  <w:num w:numId="23">
    <w:abstractNumId w:val="11"/>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4EB9"/>
    <w:rsid w:val="00043054"/>
    <w:rsid w:val="00082F7A"/>
    <w:rsid w:val="00090C65"/>
    <w:rsid w:val="000A0475"/>
    <w:rsid w:val="000A3D91"/>
    <w:rsid w:val="000A5BAC"/>
    <w:rsid w:val="000A6F40"/>
    <w:rsid w:val="000B0903"/>
    <w:rsid w:val="000B31BD"/>
    <w:rsid w:val="000C3483"/>
    <w:rsid w:val="000D02E3"/>
    <w:rsid w:val="000D6AC7"/>
    <w:rsid w:val="000E016B"/>
    <w:rsid w:val="000E167E"/>
    <w:rsid w:val="000F76BA"/>
    <w:rsid w:val="000F7D99"/>
    <w:rsid w:val="00104745"/>
    <w:rsid w:val="001158A4"/>
    <w:rsid w:val="00126873"/>
    <w:rsid w:val="00135C6F"/>
    <w:rsid w:val="0014384E"/>
    <w:rsid w:val="00163B48"/>
    <w:rsid w:val="001646CB"/>
    <w:rsid w:val="00183625"/>
    <w:rsid w:val="00192A3A"/>
    <w:rsid w:val="001A5E99"/>
    <w:rsid w:val="001B22A6"/>
    <w:rsid w:val="001B2903"/>
    <w:rsid w:val="001B3725"/>
    <w:rsid w:val="001C18F4"/>
    <w:rsid w:val="001C76F7"/>
    <w:rsid w:val="001D514E"/>
    <w:rsid w:val="002138A7"/>
    <w:rsid w:val="0021422B"/>
    <w:rsid w:val="00224308"/>
    <w:rsid w:val="0022601B"/>
    <w:rsid w:val="00231DDE"/>
    <w:rsid w:val="002345FB"/>
    <w:rsid w:val="00240E4A"/>
    <w:rsid w:val="00247EC5"/>
    <w:rsid w:val="00260B2F"/>
    <w:rsid w:val="002675EB"/>
    <w:rsid w:val="00267627"/>
    <w:rsid w:val="002701E9"/>
    <w:rsid w:val="0028441A"/>
    <w:rsid w:val="0029227B"/>
    <w:rsid w:val="00292C1F"/>
    <w:rsid w:val="002B1ACA"/>
    <w:rsid w:val="002B6959"/>
    <w:rsid w:val="002C5727"/>
    <w:rsid w:val="002D1560"/>
    <w:rsid w:val="002D3A8B"/>
    <w:rsid w:val="002D3B04"/>
    <w:rsid w:val="002E55B6"/>
    <w:rsid w:val="0031287D"/>
    <w:rsid w:val="003143BF"/>
    <w:rsid w:val="00315225"/>
    <w:rsid w:val="003153D3"/>
    <w:rsid w:val="0031704A"/>
    <w:rsid w:val="003323E5"/>
    <w:rsid w:val="0034150A"/>
    <w:rsid w:val="00351413"/>
    <w:rsid w:val="003557A7"/>
    <w:rsid w:val="00364D66"/>
    <w:rsid w:val="0037150F"/>
    <w:rsid w:val="003840C3"/>
    <w:rsid w:val="00396F72"/>
    <w:rsid w:val="003A7F26"/>
    <w:rsid w:val="003B6915"/>
    <w:rsid w:val="003D0E86"/>
    <w:rsid w:val="003D1BF3"/>
    <w:rsid w:val="003D5B69"/>
    <w:rsid w:val="003D6FD8"/>
    <w:rsid w:val="003E3B96"/>
    <w:rsid w:val="004137D8"/>
    <w:rsid w:val="004164F9"/>
    <w:rsid w:val="00432971"/>
    <w:rsid w:val="004375D3"/>
    <w:rsid w:val="00441858"/>
    <w:rsid w:val="00443F45"/>
    <w:rsid w:val="004552FD"/>
    <w:rsid w:val="00457219"/>
    <w:rsid w:val="00460010"/>
    <w:rsid w:val="00461F00"/>
    <w:rsid w:val="00462BD4"/>
    <w:rsid w:val="00471043"/>
    <w:rsid w:val="00482496"/>
    <w:rsid w:val="00483CC8"/>
    <w:rsid w:val="004861AD"/>
    <w:rsid w:val="004A0733"/>
    <w:rsid w:val="004A18B6"/>
    <w:rsid w:val="004A75BA"/>
    <w:rsid w:val="004C1D9E"/>
    <w:rsid w:val="004D3676"/>
    <w:rsid w:val="004D381F"/>
    <w:rsid w:val="00500700"/>
    <w:rsid w:val="00502DCE"/>
    <w:rsid w:val="00516EAA"/>
    <w:rsid w:val="0052683D"/>
    <w:rsid w:val="00541994"/>
    <w:rsid w:val="005421E5"/>
    <w:rsid w:val="0054647F"/>
    <w:rsid w:val="005837B4"/>
    <w:rsid w:val="0058469C"/>
    <w:rsid w:val="00590BE2"/>
    <w:rsid w:val="00596A0D"/>
    <w:rsid w:val="005A248B"/>
    <w:rsid w:val="005B557F"/>
    <w:rsid w:val="005B7790"/>
    <w:rsid w:val="005C265E"/>
    <w:rsid w:val="005E344F"/>
    <w:rsid w:val="005F4E79"/>
    <w:rsid w:val="005F5A51"/>
    <w:rsid w:val="006039DC"/>
    <w:rsid w:val="00611897"/>
    <w:rsid w:val="00631E89"/>
    <w:rsid w:val="00655DDC"/>
    <w:rsid w:val="00662909"/>
    <w:rsid w:val="00667E66"/>
    <w:rsid w:val="0068588B"/>
    <w:rsid w:val="00686A50"/>
    <w:rsid w:val="006878A5"/>
    <w:rsid w:val="006969E6"/>
    <w:rsid w:val="006B122E"/>
    <w:rsid w:val="006B29F2"/>
    <w:rsid w:val="006C4601"/>
    <w:rsid w:val="006E7021"/>
    <w:rsid w:val="00720DF8"/>
    <w:rsid w:val="00723EFB"/>
    <w:rsid w:val="0073120F"/>
    <w:rsid w:val="00737808"/>
    <w:rsid w:val="00746820"/>
    <w:rsid w:val="0075382A"/>
    <w:rsid w:val="00760627"/>
    <w:rsid w:val="00777F6B"/>
    <w:rsid w:val="007957A2"/>
    <w:rsid w:val="007964C8"/>
    <w:rsid w:val="00797CA4"/>
    <w:rsid w:val="007A3A8F"/>
    <w:rsid w:val="007B0F6F"/>
    <w:rsid w:val="007B6EF1"/>
    <w:rsid w:val="007D0F23"/>
    <w:rsid w:val="007D1541"/>
    <w:rsid w:val="007D5A09"/>
    <w:rsid w:val="007E51B8"/>
    <w:rsid w:val="007E655D"/>
    <w:rsid w:val="0080725F"/>
    <w:rsid w:val="00810474"/>
    <w:rsid w:val="008171B6"/>
    <w:rsid w:val="00820C64"/>
    <w:rsid w:val="00825313"/>
    <w:rsid w:val="00835D42"/>
    <w:rsid w:val="00847F9F"/>
    <w:rsid w:val="00857174"/>
    <w:rsid w:val="00864F43"/>
    <w:rsid w:val="00881641"/>
    <w:rsid w:val="008867F2"/>
    <w:rsid w:val="008A3EA4"/>
    <w:rsid w:val="008B394E"/>
    <w:rsid w:val="008C21E2"/>
    <w:rsid w:val="008C46EC"/>
    <w:rsid w:val="008C6604"/>
    <w:rsid w:val="008D6CFA"/>
    <w:rsid w:val="00912C9F"/>
    <w:rsid w:val="00913F62"/>
    <w:rsid w:val="00916BB4"/>
    <w:rsid w:val="00920535"/>
    <w:rsid w:val="00925607"/>
    <w:rsid w:val="0093057A"/>
    <w:rsid w:val="00930BE0"/>
    <w:rsid w:val="0093541A"/>
    <w:rsid w:val="00943042"/>
    <w:rsid w:val="00952E8B"/>
    <w:rsid w:val="00953DF5"/>
    <w:rsid w:val="00955C31"/>
    <w:rsid w:val="00960360"/>
    <w:rsid w:val="0097167C"/>
    <w:rsid w:val="009739D0"/>
    <w:rsid w:val="00974F64"/>
    <w:rsid w:val="0098513E"/>
    <w:rsid w:val="009B792E"/>
    <w:rsid w:val="009C3C2B"/>
    <w:rsid w:val="009C6E8D"/>
    <w:rsid w:val="00A031E2"/>
    <w:rsid w:val="00A43468"/>
    <w:rsid w:val="00A43A1F"/>
    <w:rsid w:val="00A52F42"/>
    <w:rsid w:val="00A543D8"/>
    <w:rsid w:val="00A5546D"/>
    <w:rsid w:val="00A56971"/>
    <w:rsid w:val="00A6080A"/>
    <w:rsid w:val="00A706BB"/>
    <w:rsid w:val="00A71F3E"/>
    <w:rsid w:val="00A9137C"/>
    <w:rsid w:val="00A92D86"/>
    <w:rsid w:val="00A94ED6"/>
    <w:rsid w:val="00AA103D"/>
    <w:rsid w:val="00AA5446"/>
    <w:rsid w:val="00AB1FD7"/>
    <w:rsid w:val="00AD0240"/>
    <w:rsid w:val="00AE3470"/>
    <w:rsid w:val="00B062D9"/>
    <w:rsid w:val="00B2223F"/>
    <w:rsid w:val="00B24175"/>
    <w:rsid w:val="00B3340D"/>
    <w:rsid w:val="00B4223C"/>
    <w:rsid w:val="00B43BE3"/>
    <w:rsid w:val="00B60E68"/>
    <w:rsid w:val="00B707A6"/>
    <w:rsid w:val="00B70C17"/>
    <w:rsid w:val="00B74D42"/>
    <w:rsid w:val="00B75B3A"/>
    <w:rsid w:val="00B84C0A"/>
    <w:rsid w:val="00B93195"/>
    <w:rsid w:val="00B972D7"/>
    <w:rsid w:val="00BB58C4"/>
    <w:rsid w:val="00BD26E6"/>
    <w:rsid w:val="00BD2B59"/>
    <w:rsid w:val="00BE32B8"/>
    <w:rsid w:val="00BE576B"/>
    <w:rsid w:val="00BE7281"/>
    <w:rsid w:val="00BF76BC"/>
    <w:rsid w:val="00C01DF9"/>
    <w:rsid w:val="00C13F04"/>
    <w:rsid w:val="00C15AD7"/>
    <w:rsid w:val="00C3089F"/>
    <w:rsid w:val="00C32C5A"/>
    <w:rsid w:val="00C34CD0"/>
    <w:rsid w:val="00C51BA1"/>
    <w:rsid w:val="00C544FC"/>
    <w:rsid w:val="00C66E62"/>
    <w:rsid w:val="00C762A3"/>
    <w:rsid w:val="00CA0DED"/>
    <w:rsid w:val="00CA1CF9"/>
    <w:rsid w:val="00CA1F7C"/>
    <w:rsid w:val="00CA3E68"/>
    <w:rsid w:val="00CC160E"/>
    <w:rsid w:val="00CC2540"/>
    <w:rsid w:val="00CC2CC1"/>
    <w:rsid w:val="00CC3B99"/>
    <w:rsid w:val="00CD6BCE"/>
    <w:rsid w:val="00CF1A95"/>
    <w:rsid w:val="00CF33EC"/>
    <w:rsid w:val="00D26912"/>
    <w:rsid w:val="00D3454F"/>
    <w:rsid w:val="00D4560A"/>
    <w:rsid w:val="00D62B6C"/>
    <w:rsid w:val="00D670E4"/>
    <w:rsid w:val="00D7673C"/>
    <w:rsid w:val="00D801D7"/>
    <w:rsid w:val="00D82A40"/>
    <w:rsid w:val="00D903A6"/>
    <w:rsid w:val="00DA0036"/>
    <w:rsid w:val="00DB1949"/>
    <w:rsid w:val="00DB727E"/>
    <w:rsid w:val="00DC1F71"/>
    <w:rsid w:val="00DD1084"/>
    <w:rsid w:val="00DD2127"/>
    <w:rsid w:val="00DE096C"/>
    <w:rsid w:val="00DE7922"/>
    <w:rsid w:val="00DF0A91"/>
    <w:rsid w:val="00DF2423"/>
    <w:rsid w:val="00DF7A8C"/>
    <w:rsid w:val="00E0037E"/>
    <w:rsid w:val="00E014D4"/>
    <w:rsid w:val="00E02535"/>
    <w:rsid w:val="00E14E14"/>
    <w:rsid w:val="00E25AE4"/>
    <w:rsid w:val="00E32AEF"/>
    <w:rsid w:val="00E45D45"/>
    <w:rsid w:val="00E60BA1"/>
    <w:rsid w:val="00E67927"/>
    <w:rsid w:val="00E965EF"/>
    <w:rsid w:val="00EB7711"/>
    <w:rsid w:val="00EC5815"/>
    <w:rsid w:val="00ED0A0E"/>
    <w:rsid w:val="00EE640D"/>
    <w:rsid w:val="00F064BC"/>
    <w:rsid w:val="00F16ABE"/>
    <w:rsid w:val="00F224D5"/>
    <w:rsid w:val="00F2570F"/>
    <w:rsid w:val="00F32DFB"/>
    <w:rsid w:val="00F44A28"/>
    <w:rsid w:val="00F468F3"/>
    <w:rsid w:val="00F51EC1"/>
    <w:rsid w:val="00F54907"/>
    <w:rsid w:val="00F56BD1"/>
    <w:rsid w:val="00F606EC"/>
    <w:rsid w:val="00F736D2"/>
    <w:rsid w:val="00F812A8"/>
    <w:rsid w:val="00F83B11"/>
    <w:rsid w:val="00F90BE2"/>
    <w:rsid w:val="00F94827"/>
    <w:rsid w:val="00F960A1"/>
    <w:rsid w:val="00FA7782"/>
    <w:rsid w:val="00FB0927"/>
    <w:rsid w:val="00FB2176"/>
    <w:rsid w:val="00FB2291"/>
    <w:rsid w:val="00FC33C6"/>
    <w:rsid w:val="00FD156F"/>
    <w:rsid w:val="00FD4D5B"/>
    <w:rsid w:val="00FE1C69"/>
    <w:rsid w:val="00FE3E58"/>
    <w:rsid w:val="00FE4963"/>
    <w:rsid w:val="00FE53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paragraph" w:styleId="Ttulo1">
    <w:name w:val="heading 1"/>
    <w:basedOn w:val="Normal"/>
    <w:next w:val="Normal"/>
    <w:link w:val="Ttulo1Car"/>
    <w:uiPriority w:val="9"/>
    <w:qFormat/>
    <w:rsid w:val="008D6CF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unhideWhenUsed/>
    <w:rsid w:val="00913F62"/>
    <w:pPr>
      <w:spacing w:after="120"/>
    </w:pPr>
  </w:style>
  <w:style w:type="character" w:customStyle="1" w:styleId="TextoindependienteCar">
    <w:name w:val="Texto independiente Car"/>
    <w:basedOn w:val="Fuentedeprrafopredeter"/>
    <w:link w:val="Textoindependiente"/>
    <w:uiPriority w:val="99"/>
    <w:rsid w:val="00913F62"/>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rsid w:val="00913F62"/>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913F62"/>
    <w:rPr>
      <w:rFonts w:ascii="Calibri" w:eastAsia="Times New Roman" w:hAnsi="Calibri" w:cs="Times New Roman"/>
      <w:sz w:val="26"/>
      <w:szCs w:val="24"/>
      <w:lang w:val="es-MX" w:eastAsia="es-ES"/>
    </w:rPr>
  </w:style>
  <w:style w:type="character" w:customStyle="1" w:styleId="Ttulo1Car">
    <w:name w:val="Título 1 Car"/>
    <w:basedOn w:val="Fuentedeprrafopredeter"/>
    <w:link w:val="Ttulo1"/>
    <w:uiPriority w:val="9"/>
    <w:rsid w:val="008D6CFA"/>
    <w:rPr>
      <w:rFonts w:asciiTheme="majorHAnsi" w:eastAsiaTheme="majorEastAsia" w:hAnsiTheme="majorHAnsi" w:cstheme="majorBidi"/>
      <w:color w:val="2F5496" w:themeColor="accent1" w:themeShade="BF"/>
      <w:sz w:val="32"/>
      <w:szCs w:val="32"/>
      <w:lang w:val="es-MX" w:eastAsia="es-ES"/>
    </w:rPr>
  </w:style>
  <w:style w:type="paragraph" w:styleId="Lista2">
    <w:name w:val="List 2"/>
    <w:basedOn w:val="Normal"/>
    <w:uiPriority w:val="99"/>
    <w:unhideWhenUsed/>
    <w:rsid w:val="008D6CFA"/>
    <w:pPr>
      <w:ind w:left="566" w:hanging="283"/>
      <w:contextualSpacing/>
    </w:pPr>
  </w:style>
  <w:style w:type="paragraph" w:styleId="Sangradetextonormal">
    <w:name w:val="Body Text Indent"/>
    <w:basedOn w:val="Normal"/>
    <w:link w:val="SangradetextonormalCar"/>
    <w:uiPriority w:val="99"/>
    <w:unhideWhenUsed/>
    <w:rsid w:val="008D6CFA"/>
    <w:pPr>
      <w:spacing w:after="120"/>
      <w:ind w:left="283"/>
    </w:pPr>
  </w:style>
  <w:style w:type="character" w:customStyle="1" w:styleId="SangradetextonormalCar">
    <w:name w:val="Sangría de texto normal Car"/>
    <w:basedOn w:val="Fuentedeprrafopredeter"/>
    <w:link w:val="Sangradetextonormal"/>
    <w:uiPriority w:val="99"/>
    <w:rsid w:val="008D6CFA"/>
    <w:rPr>
      <w:rFonts w:ascii="Times New Roman" w:eastAsia="Times New Roman" w:hAnsi="Times New Roman" w:cs="Times New Roman"/>
      <w:sz w:val="24"/>
      <w:szCs w:val="24"/>
      <w:lang w:val="es-MX" w:eastAsia="es-ES"/>
    </w:rPr>
  </w:style>
  <w:style w:type="paragraph" w:styleId="Textoindependienteprimerasangra2">
    <w:name w:val="Body Text First Indent 2"/>
    <w:basedOn w:val="Sangradetextonormal"/>
    <w:link w:val="Textoindependienteprimerasangra2Car"/>
    <w:uiPriority w:val="99"/>
    <w:unhideWhenUsed/>
    <w:rsid w:val="008D6CFA"/>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8D6CFA"/>
    <w:rPr>
      <w:rFonts w:ascii="Times New Roman" w:eastAsia="Times New Roman" w:hAnsi="Times New Roman" w:cs="Times New Roman"/>
      <w:sz w:val="24"/>
      <w:szCs w:val="24"/>
      <w:lang w:val="es-MX" w:eastAsia="es-ES"/>
    </w:rPr>
  </w:style>
  <w:style w:type="paragraph" w:styleId="Listaconvietas2">
    <w:name w:val="List Bullet 2"/>
    <w:basedOn w:val="Normal"/>
    <w:uiPriority w:val="99"/>
    <w:unhideWhenUsed/>
    <w:rsid w:val="00EB7711"/>
    <w:pPr>
      <w:numPr>
        <w:numId w:val="14"/>
      </w:numPr>
      <w:contextualSpacing/>
    </w:pPr>
  </w:style>
  <w:style w:type="character" w:customStyle="1" w:styleId="corte4fondoCar1">
    <w:name w:val="corte4 fondo Car1"/>
    <w:link w:val="corte4fondo"/>
    <w:locked/>
    <w:rsid w:val="00B707A6"/>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B707A6"/>
    <w:pPr>
      <w:spacing w:line="360" w:lineRule="auto"/>
      <w:ind w:firstLine="709"/>
      <w:jc w:val="both"/>
    </w:pPr>
    <w:rPr>
      <w:rFonts w:ascii="Arial" w:hAnsi="Arial"/>
      <w:sz w:val="3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B217D-77D1-433A-87B6-45F328E0A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1502</Words>
  <Characters>8263</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 3</cp:lastModifiedBy>
  <cp:revision>3</cp:revision>
  <cp:lastPrinted>2023-11-28T20:29:00Z</cp:lastPrinted>
  <dcterms:created xsi:type="dcterms:W3CDTF">2023-11-27T17:20:00Z</dcterms:created>
  <dcterms:modified xsi:type="dcterms:W3CDTF">2023-11-28T20:30:00Z</dcterms:modified>
</cp:coreProperties>
</file>