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756E" w:rsidRDefault="00274ECE" w:rsidP="00274ECE">
      <w:pPr>
        <w:jc w:val="both"/>
        <w:rPr>
          <w:lang w:val="es-ES"/>
        </w:rPr>
      </w:pPr>
      <w:r w:rsidRPr="006724B2">
        <w:rPr>
          <w:lang w:val="es-ES"/>
        </w:rPr>
        <w:t xml:space="preserve">Este sujeto obligado si esta </w:t>
      </w:r>
      <w:proofErr w:type="gramStart"/>
      <w:r w:rsidRPr="006724B2">
        <w:rPr>
          <w:lang w:val="es-ES"/>
        </w:rPr>
        <w:t>facultado  para</w:t>
      </w:r>
      <w:proofErr w:type="gramEnd"/>
      <w:r w:rsidRPr="006724B2">
        <w:rPr>
          <w:lang w:val="es-ES"/>
        </w:rPr>
        <w:t xml:space="preserve"> genera</w:t>
      </w:r>
      <w:r>
        <w:rPr>
          <w:lang w:val="es-ES"/>
        </w:rPr>
        <w:t>r</w:t>
      </w:r>
      <w:r w:rsidR="00D12405">
        <w:rPr>
          <w:lang w:val="es-ES"/>
        </w:rPr>
        <w:t xml:space="preserve"> la información./ 2 de </w:t>
      </w:r>
      <w:bookmarkStart w:id="0" w:name="_GoBack"/>
      <w:bookmarkEnd w:id="0"/>
      <w:r w:rsidR="00E1756E">
        <w:rPr>
          <w:lang w:val="es-ES"/>
        </w:rPr>
        <w:t xml:space="preserve">junio </w:t>
      </w:r>
    </w:p>
    <w:p w:rsidR="00274ECE" w:rsidRPr="006724B2" w:rsidRDefault="001D6222" w:rsidP="00274ECE">
      <w:pPr>
        <w:jc w:val="both"/>
        <w:rPr>
          <w:lang w:val="es-ES"/>
        </w:rPr>
      </w:pPr>
      <w:r>
        <w:rPr>
          <w:lang w:val="es-ES"/>
        </w:rPr>
        <w:t xml:space="preserve"> de 2022</w:t>
      </w:r>
      <w:r w:rsidR="00274ECE" w:rsidRPr="006724B2">
        <w:rPr>
          <w:lang w:val="es-ES"/>
        </w:rPr>
        <w:t xml:space="preserve">/ </w:t>
      </w:r>
      <w:proofErr w:type="spellStart"/>
      <w:r w:rsidR="00274ECE" w:rsidRPr="006724B2">
        <w:rPr>
          <w:lang w:val="es-ES"/>
        </w:rPr>
        <w:t>Cedrals.l.p</w:t>
      </w:r>
      <w:proofErr w:type="spellEnd"/>
      <w:r w:rsidR="00274ECE" w:rsidRPr="006724B2">
        <w:rPr>
          <w:lang w:val="es-ES"/>
        </w:rPr>
        <w:t>.</w:t>
      </w:r>
    </w:p>
    <w:p w:rsidR="00274ECE" w:rsidRPr="006724B2" w:rsidRDefault="00274ECE" w:rsidP="00274ECE">
      <w:pPr>
        <w:jc w:val="both"/>
        <w:rPr>
          <w:lang w:val="es-ES"/>
        </w:rPr>
      </w:pPr>
      <w:r w:rsidRPr="006724B2">
        <w:rPr>
          <w:b/>
          <w:bCs/>
        </w:rPr>
        <w:t>NO SE GENERO información</w:t>
      </w:r>
    </w:p>
    <w:p w:rsidR="00274ECE" w:rsidRPr="006724B2" w:rsidRDefault="00274ECE" w:rsidP="00274ECE">
      <w:pPr>
        <w:jc w:val="both"/>
        <w:rPr>
          <w:lang w:val="es-ES"/>
        </w:rPr>
      </w:pPr>
      <w:r w:rsidRPr="006724B2">
        <w:rPr>
          <w:b/>
        </w:rPr>
        <w:t>LEY DE RESPONSABILIDADES ADMINISTRATIVAS PARA EL ESTADO DE SAN LUIS POTOSI</w:t>
      </w:r>
    </w:p>
    <w:p w:rsidR="00274ECE" w:rsidRPr="006724B2" w:rsidRDefault="00274ECE" w:rsidP="00274ECE">
      <w:pPr>
        <w:pStyle w:val="Default"/>
        <w:jc w:val="both"/>
        <w:rPr>
          <w:sz w:val="22"/>
          <w:szCs w:val="22"/>
        </w:rPr>
      </w:pPr>
      <w:r w:rsidRPr="006724B2">
        <w:rPr>
          <w:sz w:val="22"/>
          <w:szCs w:val="22"/>
        </w:rPr>
        <w:t xml:space="preserve">ARTÍCULO 74. En los casos de responsabilidades administrativas por faltas de las catalogadas como no graves, las contralorías o los órganos internos de control impondrán las sanciones administrativas siguientes: Amonestación privada o pública; Suspensión del empleo, cargo o comisión; Destitución del empleo, cargo o comisión, y Inhabilitación temporal para desempeñar empleos, cargos o comisiones en el servicio público y para participar en adquisiciones, arrendamientos, servicios u obras públicas. Las contralorías y los órganos internos de control podrán imponer una o más de las sanciones administrativas señaladas en este artículo, siempre y cuando sean compatibles entre ellas y de acuerdo a la trascendencia de la falta administrativa no grave. La suspensión del empleo, cargo o comisión que se imponga por las contralorías o los órganos internos de control, podrá ser de uno a treinta días naturales y serán ejecutadas por el titular o servidor público competente del ente público correspondiente. En caso de que las contralorías o los órganos internos de control impongan como sanción la inhabilitación temporal, ésta no será menor de tres meses ni podrá exceder de un año y serán ejecutadas en los términos de la resolución dictada. </w:t>
      </w:r>
    </w:p>
    <w:p w:rsidR="00274ECE" w:rsidRDefault="00274ECE" w:rsidP="00274ECE">
      <w:pPr>
        <w:pStyle w:val="Default"/>
        <w:jc w:val="both"/>
        <w:rPr>
          <w:sz w:val="22"/>
          <w:szCs w:val="22"/>
        </w:rPr>
      </w:pPr>
      <w:r w:rsidRPr="006724B2">
        <w:rPr>
          <w:sz w:val="22"/>
          <w:szCs w:val="22"/>
        </w:rPr>
        <w:t xml:space="preserve">ARTÍCULO 77. Las sanciones administrativas que imponga el Tribunal a los servidores públicos, derivado de los procedimientos por la comisión de faltas administrativas graves, consistirán en: Suspensión del empleo, cargo o comisión; Destitución del empleo, cargo o comisión; Sanción económica, y Inhabilitación temporal para desempeñar empleos, cargos o comisiones en el servicio público y para participar en adquisiciones, arrendamientos, servicios u obras públicas. A juicio del Tribunal, podrán ser impuestas al infractor una o más de las sanciones señaladas, siempre y cuando sean compatibles entre ellas y de acuerdo a la gravedad de la falta administrativa grave. La suspensión del empleo, cargo o comisión que se imponga podrá ser de treinta a noventa días naturales. En caso de que se determine la inhabilitación, ésta será de uno hasta diez años si el monto de la afectación de la falta administrativa grave no excede de doscientas veces el valor diario de la unidad de medida y actualización, y de diez a veinte años si dicho monto excede de dicho límite. Cuando no se causen daños o perjuicios, ni exista beneficio o lucro alguno, se podrán imponer de tres meses a un año de inhabilitación. </w:t>
      </w:r>
    </w:p>
    <w:p w:rsidR="00274ECE" w:rsidRDefault="00274ECE" w:rsidP="00274ECE">
      <w:pPr>
        <w:pStyle w:val="Default"/>
        <w:jc w:val="both"/>
        <w:rPr>
          <w:sz w:val="22"/>
          <w:szCs w:val="22"/>
        </w:rPr>
      </w:pPr>
    </w:p>
    <w:p w:rsidR="00274ECE" w:rsidRPr="006724B2" w:rsidRDefault="00274ECE" w:rsidP="00274ECE">
      <w:pPr>
        <w:pStyle w:val="Default"/>
        <w:jc w:val="both"/>
        <w:rPr>
          <w:sz w:val="22"/>
          <w:szCs w:val="22"/>
        </w:rPr>
      </w:pPr>
    </w:p>
    <w:p w:rsidR="00274ECE" w:rsidRPr="006724B2" w:rsidRDefault="00274ECE" w:rsidP="00274ECE">
      <w:pPr>
        <w:ind w:left="1416"/>
        <w:jc w:val="both"/>
        <w:rPr>
          <w:lang w:val="es-ES"/>
        </w:rPr>
      </w:pPr>
      <w:r w:rsidRPr="006724B2">
        <w:rPr>
          <w:b/>
          <w:bCs/>
        </w:rPr>
        <w:t>CONFORME LOS ARTICULOS 74 Y 77 DE LA LEY DE RESPONSABILIDADES ADMINISTRATIVAS DEL ESTADO DE SAN LUIS POTOSI, NO SE LLEVARON A CABO SANCIONES ADMINISTRATIVAS A LOS SERVIDORES PUBLICOS PORQUE NO HUBO FALTAS GRAVES NI FALTAS NO GRAVES</w:t>
      </w:r>
    </w:p>
    <w:p w:rsidR="00274ECE" w:rsidRPr="006724B2" w:rsidRDefault="00274ECE" w:rsidP="00274ECE">
      <w:pPr>
        <w:ind w:left="1416"/>
        <w:rPr>
          <w:lang w:val="es-ES"/>
        </w:rPr>
      </w:pPr>
    </w:p>
    <w:p w:rsidR="008A5F9D" w:rsidRDefault="008A5F9D" w:rsidP="00315B80">
      <w:pPr>
        <w:ind w:left="1416"/>
        <w:rPr>
          <w:lang w:val="es-ES"/>
        </w:rPr>
      </w:pPr>
    </w:p>
    <w:p w:rsidR="000650A9" w:rsidRDefault="000650A9" w:rsidP="00315B80">
      <w:pPr>
        <w:ind w:left="1416"/>
        <w:rPr>
          <w:lang w:val="es-ES"/>
        </w:rPr>
      </w:pPr>
    </w:p>
    <w:p w:rsidR="00634A88" w:rsidRPr="0062135B" w:rsidRDefault="00634A88" w:rsidP="00634A88">
      <w:pPr>
        <w:spacing w:after="0" w:line="240" w:lineRule="auto"/>
        <w:jc w:val="both"/>
        <w:rPr>
          <w:rFonts w:ascii="Calibri" w:eastAsia="Calibri" w:hAnsi="Calibri" w:cs="Times New Roman"/>
        </w:rPr>
      </w:pPr>
    </w:p>
    <w:p w:rsidR="00634A88" w:rsidRPr="0062135B" w:rsidRDefault="00634A88" w:rsidP="00634A88">
      <w:pPr>
        <w:spacing w:after="0" w:line="240" w:lineRule="auto"/>
        <w:jc w:val="both"/>
        <w:rPr>
          <w:rFonts w:ascii="Calibri" w:eastAsia="Calibri" w:hAnsi="Calibri" w:cs="Times New Roman"/>
        </w:rPr>
      </w:pPr>
    </w:p>
    <w:p w:rsidR="000650A9" w:rsidRDefault="000650A9" w:rsidP="00315B80">
      <w:pPr>
        <w:ind w:left="1416"/>
        <w:rPr>
          <w:lang w:val="es-ES"/>
        </w:rPr>
      </w:pPr>
    </w:p>
    <w:p w:rsidR="000650A9" w:rsidRPr="000650A9" w:rsidRDefault="000650A9" w:rsidP="00315B80">
      <w:pPr>
        <w:ind w:left="1416"/>
        <w:rPr>
          <w:lang w:val="es-ES"/>
        </w:rPr>
      </w:pPr>
    </w:p>
    <w:sectPr w:rsidR="000650A9" w:rsidRPr="000650A9" w:rsidSect="00AF3720">
      <w:headerReference w:type="default" r:id="rId8"/>
      <w:footerReference w:type="default" r:id="rId9"/>
      <w:pgSz w:w="12240" w:h="15840"/>
      <w:pgMar w:top="2552" w:right="1608" w:bottom="1560"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C7478" w:rsidRDefault="004C7478" w:rsidP="004A39A2">
      <w:pPr>
        <w:spacing w:after="0" w:line="240" w:lineRule="auto"/>
      </w:pPr>
      <w:r>
        <w:separator/>
      </w:r>
    </w:p>
  </w:endnote>
  <w:endnote w:type="continuationSeparator" w:id="1">
    <w:p w:rsidR="004C7478" w:rsidRDefault="004C7478" w:rsidP="004A39A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39A2" w:rsidRPr="00AF3720" w:rsidRDefault="009A14AE" w:rsidP="004A39A2">
    <w:pPr>
      <w:autoSpaceDE w:val="0"/>
      <w:autoSpaceDN w:val="0"/>
      <w:adjustRightInd w:val="0"/>
      <w:spacing w:after="0" w:line="240" w:lineRule="auto"/>
      <w:jc w:val="center"/>
      <w:rPr>
        <w:rFonts w:ascii="Arial" w:hAnsi="Arial" w:cs="Arial"/>
        <w:b/>
        <w:bCs/>
        <w:color w:val="373334"/>
        <w:sz w:val="18"/>
        <w:szCs w:val="18"/>
      </w:rPr>
    </w:pPr>
    <w:r>
      <w:rPr>
        <w:rFonts w:ascii="Arial" w:hAnsi="Arial" w:cs="Arial"/>
        <w:b/>
        <w:bCs/>
        <w:noProof/>
        <w:color w:val="373334"/>
        <w:sz w:val="18"/>
        <w:szCs w:val="18"/>
        <w:lang w:eastAsia="es-MX"/>
      </w:rPr>
      <w:pict>
        <v:shapetype id="_x0000_t32" coordsize="21600,21600" o:spt="32" o:oned="t" path="m,l21600,21600e" filled="f">
          <v:path arrowok="t" fillok="f" o:connecttype="none"/>
          <o:lock v:ext="edit" shapetype="t"/>
        </v:shapetype>
        <v:shape id="AutoShape 1" o:spid="_x0000_s4097" type="#_x0000_t32" style="position:absolute;left:0;text-align:left;margin-left:-28.1pt;margin-top:-10.45pt;width:502.7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" strokecolor="#05522a" strokeweight="1.5pt"/>
      </w:pict>
    </w:r>
    <w:r w:rsidR="004A39A2" w:rsidRPr="00AF3720">
      <w:rPr>
        <w:rFonts w:ascii="Arial" w:hAnsi="Arial" w:cs="Arial"/>
        <w:b/>
        <w:bCs/>
        <w:color w:val="373334"/>
        <w:sz w:val="18"/>
        <w:szCs w:val="18"/>
      </w:rPr>
      <w:t>R.F.C. MCS850101FD4 VICTORIA No. 8, CEDRAL, S.L.P. CODIGO POSTAL 78520</w:t>
    </w:r>
  </w:p>
  <w:p w:rsidR="004A39A2" w:rsidRPr="00AF3720" w:rsidRDefault="004A39A2" w:rsidP="004A39A2">
    <w:pPr>
      <w:pStyle w:val="Piedepgina"/>
      <w:jc w:val="center"/>
      <w:rPr>
        <w:rFonts w:ascii="Arial" w:hAnsi="Arial" w:cs="Arial"/>
        <w:sz w:val="18"/>
        <w:szCs w:val="18"/>
      </w:rPr>
    </w:pPr>
    <w:r w:rsidRPr="00AF3720">
      <w:rPr>
        <w:rFonts w:ascii="Arial" w:hAnsi="Arial" w:cs="Arial"/>
        <w:b/>
        <w:bCs/>
        <w:color w:val="373334"/>
        <w:sz w:val="18"/>
        <w:szCs w:val="18"/>
      </w:rPr>
      <w:t>TELEFONO: 488 88 7 02 22 FAX: 488 88 7 02 20</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C7478" w:rsidRDefault="004C7478" w:rsidP="004A39A2">
      <w:pPr>
        <w:spacing w:after="0" w:line="240" w:lineRule="auto"/>
      </w:pPr>
      <w:r>
        <w:separator/>
      </w:r>
    </w:p>
  </w:footnote>
  <w:footnote w:type="continuationSeparator" w:id="1">
    <w:p w:rsidR="004C7478" w:rsidRDefault="004C7478" w:rsidP="004A39A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39A2" w:rsidRDefault="00AF3720">
    <w:pPr>
      <w:pStyle w:val="Encabezado"/>
    </w:pPr>
    <w:r>
      <w:rPr>
        <w:noProof/>
        <w:lang w:eastAsia="es-MX"/>
      </w:rPr>
      <w:drawing>
        <wp:anchor distT="0" distB="0" distL="114300" distR="114300" simplePos="0" relativeHeight="251657216" behindDoc="0" locked="0" layoutInCell="1" allowOverlap="1">
          <wp:simplePos x="0" y="0"/>
          <wp:positionH relativeFrom="column">
            <wp:posOffset>-588645</wp:posOffset>
          </wp:positionH>
          <wp:positionV relativeFrom="paragraph">
            <wp:posOffset>32385</wp:posOffset>
          </wp:positionV>
          <wp:extent cx="1066800" cy="1187450"/>
          <wp:effectExtent l="0" t="0" r="0" b="0"/>
          <wp:wrapNone/>
          <wp:docPr id="120" name="Imagen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l="8373" t="28779" r="72618" b="33588"/>
                  <a:stretch/>
                </pic:blipFill>
                <pic:spPr bwMode="auto">
                  <a:xfrm>
                    <a:off x="0" y="0"/>
                    <a:ext cx="1066800" cy="118745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a:ext>
                  </a:extLst>
                </pic:spPr>
              </pic:pic>
            </a:graphicData>
          </a:graphic>
        </wp:anchor>
      </w:drawing>
    </w:r>
    <w:r>
      <w:rPr>
        <w:noProof/>
        <w:lang w:eastAsia="es-MX"/>
      </w:rPr>
      <w:drawing>
        <wp:anchor distT="0" distB="0" distL="114300" distR="114300" simplePos="0" relativeHeight="251663360" behindDoc="1" locked="0" layoutInCell="1" allowOverlap="1">
          <wp:simplePos x="0" y="0"/>
          <wp:positionH relativeFrom="column">
            <wp:posOffset>866273</wp:posOffset>
          </wp:positionH>
          <wp:positionV relativeFrom="paragraph">
            <wp:posOffset>2333491</wp:posOffset>
          </wp:positionV>
          <wp:extent cx="3905250" cy="4457700"/>
          <wp:effectExtent l="0" t="0" r="0" b="0"/>
          <wp:wrapNone/>
          <wp:docPr id="121" name="Imagen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lum bright="70000" contrast="-7000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3905250" cy="4457700"/>
                  </a:xfrm>
                  <a:prstGeom prst="rect">
                    <a:avLst/>
                  </a:prstGeom>
                  <a:noFill/>
                  <a:ln>
                    <a:noFill/>
                  </a:ln>
                </pic:spPr>
              </pic:pic>
            </a:graphicData>
          </a:graphic>
        </wp:anchor>
      </w:drawing>
    </w:r>
    <w:r w:rsidR="009A14AE">
      <w:rPr>
        <w:noProof/>
        <w:lang w:eastAsia="es-MX"/>
      </w:rPr>
      <w:pict>
        <v:shapetype id="_x0000_t32" coordsize="21600,21600" o:spt="32" o:oned="t" path="m,l21600,21600e" filled="f">
          <v:path arrowok="t" fillok="f" o:connecttype="none"/>
          <o:lock v:ext="edit" shapetype="t"/>
        </v:shapetype>
        <v:shape id="AutoShape 4" o:spid="_x0000_s4098" type="#_x0000_t32" style="position:absolute;margin-left:-33.25pt;margin-top:25.35pt;width:510.25pt;height:0;z-index:2516572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" strokecolor="#05522a" strokeweight="1.5pt"/>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D4C6BB3"/>
    <w:multiLevelType w:val="hybridMultilevel"/>
    <w:tmpl w:val="0658D2D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7DF91FE7"/>
    <w:multiLevelType w:val="hybridMultilevel"/>
    <w:tmpl w:val="67000B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4"/>
  <w:activeWritingStyle w:appName="MSWord" w:lang="es-MX" w:vendorID="64" w:dllVersion="131078" w:nlCheck="1" w:checkStyle="0"/>
  <w:activeWritingStyle w:appName="MSWord" w:lang="es-ES" w:vendorID="64" w:dllVersion="131078" w:nlCheck="1" w:checkStyle="0"/>
  <w:proofState w:spelling="clean" w:grammar="clean"/>
  <w:defaultTabStop w:val="708"/>
  <w:hyphenationZone w:val="425"/>
  <w:characterSpacingControl w:val="doNotCompress"/>
  <w:hdrShapeDefaults>
    <o:shapedefaults v:ext="edit" spidmax="4099">
      <o:colormru v:ext="edit" colors="#05522a"/>
    </o:shapedefaults>
    <o:shapelayout v:ext="edit">
      <o:idmap v:ext="edit" data="4"/>
      <o:rules v:ext="edit">
        <o:r id="V:Rule1" type="connector" idref="#AutoShape 4"/>
        <o:r id="V:Rule2" type="connector" idref="#AutoShape 1"/>
      </o:rules>
    </o:shapelayout>
  </w:hdrShapeDefaults>
  <w:footnotePr>
    <w:footnote w:id="0"/>
    <w:footnote w:id="1"/>
  </w:footnotePr>
  <w:endnotePr>
    <w:endnote w:id="0"/>
    <w:endnote w:id="1"/>
  </w:endnotePr>
  <w:compat/>
  <w:rsids>
    <w:rsidRoot w:val="004A39A2"/>
    <w:rsid w:val="00020CF8"/>
    <w:rsid w:val="000276DA"/>
    <w:rsid w:val="000650A9"/>
    <w:rsid w:val="00067C86"/>
    <w:rsid w:val="00090DEC"/>
    <w:rsid w:val="000A1C19"/>
    <w:rsid w:val="00106D95"/>
    <w:rsid w:val="0013231C"/>
    <w:rsid w:val="00186BF1"/>
    <w:rsid w:val="001C29AC"/>
    <w:rsid w:val="001D6222"/>
    <w:rsid w:val="001F07B5"/>
    <w:rsid w:val="0021025B"/>
    <w:rsid w:val="00274ECE"/>
    <w:rsid w:val="002A1C2F"/>
    <w:rsid w:val="002A594E"/>
    <w:rsid w:val="00315B80"/>
    <w:rsid w:val="004427FB"/>
    <w:rsid w:val="004A39A2"/>
    <w:rsid w:val="004C6540"/>
    <w:rsid w:val="004C7478"/>
    <w:rsid w:val="005A0B66"/>
    <w:rsid w:val="005B56B4"/>
    <w:rsid w:val="005D0086"/>
    <w:rsid w:val="005E53ED"/>
    <w:rsid w:val="005F33E6"/>
    <w:rsid w:val="006069E2"/>
    <w:rsid w:val="00634A88"/>
    <w:rsid w:val="006629CD"/>
    <w:rsid w:val="006A5E7D"/>
    <w:rsid w:val="006D5516"/>
    <w:rsid w:val="00703941"/>
    <w:rsid w:val="00745443"/>
    <w:rsid w:val="0075087A"/>
    <w:rsid w:val="00864207"/>
    <w:rsid w:val="008A5F9D"/>
    <w:rsid w:val="008B3635"/>
    <w:rsid w:val="008C7988"/>
    <w:rsid w:val="00935B7D"/>
    <w:rsid w:val="00943BE9"/>
    <w:rsid w:val="00962C4B"/>
    <w:rsid w:val="009A14AE"/>
    <w:rsid w:val="009C007A"/>
    <w:rsid w:val="009F3D30"/>
    <w:rsid w:val="00A325F6"/>
    <w:rsid w:val="00A77A14"/>
    <w:rsid w:val="00A91B18"/>
    <w:rsid w:val="00A975F6"/>
    <w:rsid w:val="00AD3D1E"/>
    <w:rsid w:val="00AF3720"/>
    <w:rsid w:val="00B9322A"/>
    <w:rsid w:val="00BC4E70"/>
    <w:rsid w:val="00D12405"/>
    <w:rsid w:val="00D765E2"/>
    <w:rsid w:val="00E00F55"/>
    <w:rsid w:val="00E1756E"/>
    <w:rsid w:val="00E516A6"/>
    <w:rsid w:val="00E95A6D"/>
    <w:rsid w:val="00F74D05"/>
    <w:rsid w:val="00F75896"/>
    <w:rsid w:val="00FB6621"/>
    <w:rsid w:val="00FD3A4B"/>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9">
      <o:colormru v:ext="edit" colors="#05522a"/>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14AE"/>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39A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39A2"/>
  </w:style>
  <w:style w:type="paragraph" w:styleId="Piedepgina">
    <w:name w:val="footer"/>
    <w:basedOn w:val="Normal"/>
    <w:link w:val="PiedepginaCar"/>
    <w:uiPriority w:val="99"/>
    <w:unhideWhenUsed/>
    <w:rsid w:val="004A39A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39A2"/>
  </w:style>
  <w:style w:type="paragraph" w:styleId="Prrafodelista">
    <w:name w:val="List Paragraph"/>
    <w:basedOn w:val="Normal"/>
    <w:uiPriority w:val="34"/>
    <w:qFormat/>
    <w:rsid w:val="00106D95"/>
    <w:pPr>
      <w:spacing w:after="160" w:line="259" w:lineRule="auto"/>
      <w:ind w:left="720"/>
      <w:contextualSpacing/>
    </w:pPr>
  </w:style>
  <w:style w:type="paragraph" w:styleId="Textodeglobo">
    <w:name w:val="Balloon Text"/>
    <w:basedOn w:val="Normal"/>
    <w:link w:val="TextodegloboCar"/>
    <w:uiPriority w:val="99"/>
    <w:semiHidden/>
    <w:unhideWhenUsed/>
    <w:rsid w:val="0086420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64207"/>
    <w:rPr>
      <w:rFonts w:ascii="Segoe UI" w:hAnsi="Segoe UI" w:cs="Segoe UI"/>
      <w:sz w:val="18"/>
      <w:szCs w:val="18"/>
    </w:rPr>
  </w:style>
  <w:style w:type="paragraph" w:customStyle="1" w:styleId="Default">
    <w:name w:val="Default"/>
    <w:rsid w:val="00274ECE"/>
    <w:pPr>
      <w:autoSpaceDE w:val="0"/>
      <w:autoSpaceDN w:val="0"/>
      <w:adjustRightInd w:val="0"/>
      <w:spacing w:after="0" w:line="240" w:lineRule="auto"/>
    </w:pPr>
    <w:rPr>
      <w:rFonts w:ascii="Calibri" w:hAnsi="Calibri" w:cs="Calibri"/>
      <w:color w:val="000000"/>
      <w:sz w:val="24"/>
      <w:szCs w:val="24"/>
      <w:lang w:val="es-ES"/>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98D59F-AAD0-467E-877D-4CBEA507B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2</Pages>
  <Words>445</Words>
  <Characters>2448</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2888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CONTAS</dc:creator>
  <cp:lastModifiedBy>Historico 2</cp:lastModifiedBy>
  <cp:revision>15</cp:revision>
  <cp:lastPrinted>2021-11-09T19:23:00Z</cp:lastPrinted>
  <dcterms:created xsi:type="dcterms:W3CDTF">2021-10-18T18:23:00Z</dcterms:created>
  <dcterms:modified xsi:type="dcterms:W3CDTF">2022-06-06T17:41:00Z</dcterms:modified>
</cp:coreProperties>
</file>