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227152" w14:textId="77777777" w:rsidR="00913F62" w:rsidRPr="00001304" w:rsidRDefault="00913F62" w:rsidP="000E167E">
      <w:pPr>
        <w:spacing w:line="360" w:lineRule="auto"/>
        <w:ind w:firstLine="708"/>
        <w:jc w:val="both"/>
        <w:rPr>
          <w:rFonts w:ascii="Arial" w:hAnsi="Arial" w:cs="Arial"/>
          <w:color w:val="323E4F" w:themeColor="text2" w:themeShade="BF"/>
          <w:sz w:val="22"/>
          <w:szCs w:val="22"/>
        </w:rPr>
      </w:pPr>
      <w:r w:rsidRPr="00001304">
        <w:rPr>
          <w:rFonts w:ascii="Arial" w:hAnsi="Arial" w:cs="Arial"/>
          <w:color w:val="323E4F" w:themeColor="text2" w:themeShade="BF"/>
          <w:sz w:val="22"/>
          <w:szCs w:val="22"/>
        </w:rPr>
        <w:t>Visto el estado procesal que guarda el expediente citado al rubro; se procede a dictar Acuerdo, con base en los antecedentes y considerandos siguientes:</w:t>
      </w:r>
    </w:p>
    <w:p w14:paraId="39173386" w14:textId="77777777" w:rsidR="000E167E" w:rsidRPr="00001304" w:rsidRDefault="000E167E" w:rsidP="00913F62">
      <w:pPr>
        <w:spacing w:line="360" w:lineRule="auto"/>
        <w:jc w:val="center"/>
        <w:rPr>
          <w:rFonts w:ascii="Arial" w:hAnsi="Arial" w:cs="Arial"/>
          <w:b/>
          <w:color w:val="323E4F" w:themeColor="text2" w:themeShade="BF"/>
          <w:sz w:val="22"/>
          <w:szCs w:val="22"/>
          <w:lang w:eastAsia="es-MX"/>
        </w:rPr>
      </w:pPr>
    </w:p>
    <w:p w14:paraId="59D4517E" w14:textId="32927ECC" w:rsidR="00913F62" w:rsidRPr="00001304" w:rsidRDefault="00913F62" w:rsidP="000E167E">
      <w:pPr>
        <w:pStyle w:val="Prrafodelista"/>
        <w:numPr>
          <w:ilvl w:val="0"/>
          <w:numId w:val="12"/>
        </w:numPr>
        <w:spacing w:line="360" w:lineRule="auto"/>
        <w:jc w:val="center"/>
        <w:rPr>
          <w:rFonts w:ascii="Arial" w:hAnsi="Arial" w:cs="Arial"/>
          <w:b/>
          <w:color w:val="323E4F" w:themeColor="text2" w:themeShade="BF"/>
          <w:sz w:val="22"/>
          <w:szCs w:val="22"/>
          <w:lang w:eastAsia="es-MX"/>
        </w:rPr>
      </w:pPr>
      <w:r w:rsidRPr="00001304">
        <w:rPr>
          <w:rFonts w:ascii="Arial" w:hAnsi="Arial" w:cs="Arial"/>
          <w:b/>
          <w:color w:val="323E4F" w:themeColor="text2" w:themeShade="BF"/>
          <w:sz w:val="22"/>
          <w:szCs w:val="22"/>
          <w:lang w:eastAsia="es-MX"/>
        </w:rPr>
        <w:t>RESULTANDO</w:t>
      </w:r>
    </w:p>
    <w:p w14:paraId="52343087" w14:textId="16CBB90F" w:rsidR="009C6E8D" w:rsidRPr="00001304" w:rsidRDefault="00E02535" w:rsidP="009C6E8D">
      <w:pPr>
        <w:pStyle w:val="Prrafodelista"/>
        <w:numPr>
          <w:ilvl w:val="0"/>
          <w:numId w:val="21"/>
        </w:numPr>
        <w:spacing w:line="360" w:lineRule="auto"/>
        <w:jc w:val="both"/>
        <w:rPr>
          <w:rFonts w:ascii="Arial" w:hAnsi="Arial" w:cs="Arial"/>
          <w:b/>
          <w:color w:val="323E4F" w:themeColor="text2" w:themeShade="BF"/>
          <w:sz w:val="22"/>
          <w:szCs w:val="22"/>
          <w:lang w:eastAsia="es-MX"/>
        </w:rPr>
      </w:pPr>
      <w:r w:rsidRPr="00001304">
        <w:rPr>
          <w:rFonts w:ascii="Arial" w:eastAsia="Arial Unicode MS" w:hAnsi="Arial" w:cs="Arial"/>
          <w:color w:val="323E4F" w:themeColor="text2" w:themeShade="BF"/>
          <w:sz w:val="22"/>
          <w:szCs w:val="22"/>
        </w:rPr>
        <w:t>El 11</w:t>
      </w:r>
      <w:r w:rsidR="00F44A28" w:rsidRPr="00001304">
        <w:rPr>
          <w:rFonts w:ascii="Arial" w:eastAsia="Arial Unicode MS" w:hAnsi="Arial" w:cs="Arial"/>
          <w:color w:val="323E4F" w:themeColor="text2" w:themeShade="BF"/>
          <w:sz w:val="22"/>
          <w:szCs w:val="22"/>
        </w:rPr>
        <w:t xml:space="preserve"> </w:t>
      </w:r>
      <w:r w:rsidR="008B394E" w:rsidRPr="00001304">
        <w:rPr>
          <w:rFonts w:ascii="Arial" w:eastAsia="Arial Unicode MS" w:hAnsi="Arial" w:cs="Arial"/>
          <w:color w:val="323E4F" w:themeColor="text2" w:themeShade="BF"/>
          <w:sz w:val="22"/>
          <w:szCs w:val="22"/>
        </w:rPr>
        <w:t>o</w:t>
      </w:r>
      <w:r w:rsidRPr="00001304">
        <w:rPr>
          <w:rFonts w:ascii="Arial" w:eastAsia="Arial Unicode MS" w:hAnsi="Arial" w:cs="Arial"/>
          <w:color w:val="323E4F" w:themeColor="text2" w:themeShade="BF"/>
          <w:sz w:val="22"/>
          <w:szCs w:val="22"/>
        </w:rPr>
        <w:t>nce</w:t>
      </w:r>
      <w:r w:rsidR="008B394E" w:rsidRPr="00001304">
        <w:rPr>
          <w:rFonts w:ascii="Arial" w:eastAsia="Arial Unicode MS" w:hAnsi="Arial" w:cs="Arial"/>
          <w:color w:val="323E4F" w:themeColor="text2" w:themeShade="BF"/>
          <w:sz w:val="22"/>
          <w:szCs w:val="22"/>
        </w:rPr>
        <w:t xml:space="preserve"> </w:t>
      </w:r>
      <w:r w:rsidR="00267627" w:rsidRPr="00001304">
        <w:rPr>
          <w:rFonts w:ascii="Arial" w:eastAsia="Arial Unicode MS" w:hAnsi="Arial" w:cs="Arial"/>
          <w:color w:val="323E4F" w:themeColor="text2" w:themeShade="BF"/>
          <w:sz w:val="22"/>
          <w:szCs w:val="22"/>
        </w:rPr>
        <w:t xml:space="preserve">de </w:t>
      </w:r>
      <w:r w:rsidRPr="00001304">
        <w:rPr>
          <w:rFonts w:ascii="Arial" w:eastAsia="Arial Unicode MS" w:hAnsi="Arial" w:cs="Arial"/>
          <w:color w:val="323E4F" w:themeColor="text2" w:themeShade="BF"/>
          <w:sz w:val="22"/>
          <w:szCs w:val="22"/>
        </w:rPr>
        <w:t xml:space="preserve">febrero </w:t>
      </w:r>
      <w:r w:rsidR="00DE7922" w:rsidRPr="00001304">
        <w:rPr>
          <w:rFonts w:ascii="Arial" w:eastAsia="Arial Unicode MS" w:hAnsi="Arial" w:cs="Arial"/>
          <w:color w:val="323E4F" w:themeColor="text2" w:themeShade="BF"/>
          <w:sz w:val="22"/>
          <w:szCs w:val="22"/>
        </w:rPr>
        <w:t>de</w:t>
      </w:r>
      <w:r w:rsidR="008B394E" w:rsidRPr="00001304">
        <w:rPr>
          <w:rFonts w:ascii="Arial" w:eastAsia="Arial Unicode MS" w:hAnsi="Arial" w:cs="Arial"/>
          <w:color w:val="323E4F" w:themeColor="text2" w:themeShade="BF"/>
          <w:sz w:val="22"/>
          <w:szCs w:val="22"/>
        </w:rPr>
        <w:t xml:space="preserve"> 2022</w:t>
      </w:r>
      <w:r w:rsidR="00ED0A0E" w:rsidRPr="00001304">
        <w:rPr>
          <w:rFonts w:ascii="Arial" w:eastAsia="Arial Unicode MS" w:hAnsi="Arial" w:cs="Arial"/>
          <w:color w:val="323E4F" w:themeColor="text2" w:themeShade="BF"/>
          <w:sz w:val="22"/>
          <w:szCs w:val="22"/>
        </w:rPr>
        <w:t xml:space="preserve"> dos mil veinti</w:t>
      </w:r>
      <w:r w:rsidR="008B394E" w:rsidRPr="00001304">
        <w:rPr>
          <w:rFonts w:ascii="Arial" w:eastAsia="Arial Unicode MS" w:hAnsi="Arial" w:cs="Arial"/>
          <w:color w:val="323E4F" w:themeColor="text2" w:themeShade="BF"/>
          <w:sz w:val="22"/>
          <w:szCs w:val="22"/>
        </w:rPr>
        <w:t>dós</w:t>
      </w:r>
      <w:r w:rsidR="00ED0A0E" w:rsidRPr="00001304">
        <w:rPr>
          <w:rFonts w:ascii="Arial" w:eastAsia="Arial Unicode MS" w:hAnsi="Arial" w:cs="Arial"/>
          <w:color w:val="323E4F" w:themeColor="text2" w:themeShade="BF"/>
          <w:sz w:val="22"/>
          <w:szCs w:val="22"/>
        </w:rPr>
        <w:t xml:space="preserve"> el recurrente</w:t>
      </w:r>
      <w:r w:rsidR="00913F62" w:rsidRPr="00001304">
        <w:rPr>
          <w:rFonts w:ascii="Arial" w:eastAsia="Arial Unicode MS" w:hAnsi="Arial" w:cs="Arial"/>
          <w:color w:val="323E4F" w:themeColor="text2" w:themeShade="BF"/>
          <w:sz w:val="22"/>
          <w:szCs w:val="22"/>
        </w:rPr>
        <w:t xml:space="preserve"> diri</w:t>
      </w:r>
      <w:r w:rsidR="00C66E62" w:rsidRPr="00001304">
        <w:rPr>
          <w:rFonts w:ascii="Arial" w:eastAsia="Arial Unicode MS" w:hAnsi="Arial" w:cs="Arial"/>
          <w:color w:val="323E4F" w:themeColor="text2" w:themeShade="BF"/>
          <w:sz w:val="22"/>
          <w:szCs w:val="22"/>
        </w:rPr>
        <w:t>gió</w:t>
      </w:r>
      <w:r w:rsidR="00B062D9" w:rsidRPr="00001304">
        <w:rPr>
          <w:rFonts w:ascii="Arial" w:eastAsia="Arial Unicode MS" w:hAnsi="Arial" w:cs="Arial"/>
          <w:color w:val="323E4F" w:themeColor="text2" w:themeShade="BF"/>
          <w:sz w:val="22"/>
          <w:szCs w:val="22"/>
        </w:rPr>
        <w:t xml:space="preserve"> una solicitud de información </w:t>
      </w:r>
      <w:r w:rsidR="00F44A28" w:rsidRPr="00001304">
        <w:rPr>
          <w:rFonts w:ascii="Arial" w:eastAsia="Arial Unicode MS" w:hAnsi="Arial" w:cs="Arial"/>
          <w:color w:val="323E4F" w:themeColor="text2" w:themeShade="BF"/>
          <w:sz w:val="22"/>
          <w:szCs w:val="22"/>
        </w:rPr>
        <w:t>a</w:t>
      </w:r>
      <w:r w:rsidR="008B394E" w:rsidRPr="00001304">
        <w:rPr>
          <w:rFonts w:ascii="Arial" w:eastAsia="Arial Unicode MS" w:hAnsi="Arial" w:cs="Arial"/>
          <w:color w:val="323E4F" w:themeColor="text2" w:themeShade="BF"/>
          <w:sz w:val="22"/>
          <w:szCs w:val="22"/>
        </w:rPr>
        <w:t xml:space="preserve"> </w:t>
      </w:r>
      <w:r w:rsidRPr="00001304">
        <w:rPr>
          <w:rFonts w:ascii="Arial" w:eastAsia="Arial Unicode MS" w:hAnsi="Arial" w:cs="Arial"/>
          <w:color w:val="323E4F" w:themeColor="text2" w:themeShade="BF"/>
          <w:sz w:val="22"/>
          <w:szCs w:val="22"/>
        </w:rPr>
        <w:t>Oficialía Mayor</w:t>
      </w:r>
      <w:r w:rsidR="00913F62" w:rsidRPr="00001304">
        <w:rPr>
          <w:rFonts w:ascii="Arial" w:eastAsia="Arial Unicode MS" w:hAnsi="Arial" w:cs="Arial"/>
          <w:color w:val="323E4F" w:themeColor="text2" w:themeShade="BF"/>
          <w:sz w:val="22"/>
          <w:szCs w:val="22"/>
        </w:rPr>
        <w:t xml:space="preserve">, requiriendo lo siguiente:  </w:t>
      </w:r>
    </w:p>
    <w:p w14:paraId="75C567A4" w14:textId="77777777" w:rsidR="005C265E" w:rsidRPr="00163B48" w:rsidRDefault="005C265E" w:rsidP="005C265E">
      <w:pPr>
        <w:pStyle w:val="Prrafodelista"/>
        <w:spacing w:line="360" w:lineRule="auto"/>
        <w:ind w:left="644"/>
        <w:jc w:val="both"/>
        <w:rPr>
          <w:rFonts w:ascii="Arial" w:hAnsi="Arial" w:cs="Arial"/>
          <w:b/>
          <w:i/>
          <w:color w:val="323E4F" w:themeColor="text2" w:themeShade="BF"/>
          <w:szCs w:val="22"/>
          <w:lang w:eastAsia="es-MX"/>
        </w:rPr>
      </w:pPr>
    </w:p>
    <w:p w14:paraId="798C0CBE" w14:textId="568FEB9B" w:rsidR="00820C64" w:rsidRPr="00001304" w:rsidRDefault="00E02535" w:rsidP="00820C64">
      <w:pPr>
        <w:ind w:left="1494" w:right="1185"/>
        <w:contextualSpacing/>
        <w:jc w:val="both"/>
        <w:rPr>
          <w:rFonts w:ascii="Arial" w:eastAsia="Arial Unicode MS" w:hAnsi="Arial" w:cs="Arial"/>
          <w:i/>
          <w:iCs/>
          <w:color w:val="323E4F" w:themeColor="text2" w:themeShade="BF"/>
          <w:sz w:val="20"/>
          <w:szCs w:val="22"/>
        </w:rPr>
      </w:pPr>
      <w:r w:rsidRPr="00001304">
        <w:rPr>
          <w:rFonts w:ascii="Arial" w:eastAsia="Arial Unicode MS" w:hAnsi="Arial" w:cs="Arial"/>
          <w:i/>
          <w:iCs/>
          <w:color w:val="323E4F" w:themeColor="text2" w:themeShade="BF"/>
          <w:sz w:val="20"/>
          <w:szCs w:val="22"/>
        </w:rPr>
        <w:t>Solicito saber qué documento y/o documentos legales firman el gobierno del Estado de San Luis Potosí</w:t>
      </w:r>
    </w:p>
    <w:p w14:paraId="1A8E1A4A" w14:textId="39B23C79" w:rsidR="00E02535" w:rsidRPr="00001304" w:rsidRDefault="00E02535" w:rsidP="00820C64">
      <w:pPr>
        <w:ind w:left="1494" w:right="1185"/>
        <w:contextualSpacing/>
        <w:jc w:val="both"/>
        <w:rPr>
          <w:rFonts w:ascii="Arial" w:eastAsia="Arial Unicode MS" w:hAnsi="Arial" w:cs="Arial"/>
          <w:i/>
          <w:iCs/>
          <w:color w:val="323E4F" w:themeColor="text2" w:themeShade="BF"/>
          <w:sz w:val="20"/>
          <w:szCs w:val="22"/>
        </w:rPr>
      </w:pPr>
      <w:r w:rsidRPr="00001304">
        <w:rPr>
          <w:rFonts w:ascii="Arial" w:eastAsia="Arial Unicode MS" w:hAnsi="Arial" w:cs="Arial"/>
          <w:i/>
          <w:iCs/>
          <w:color w:val="323E4F" w:themeColor="text2" w:themeShade="BF"/>
          <w:sz w:val="20"/>
          <w:szCs w:val="22"/>
        </w:rPr>
        <w:t xml:space="preserve">Con el Sindicato Único de Trabajadores al Servicio de Gobierno del Estado para celebrar y quedar establecidas las negociaciones </w:t>
      </w:r>
      <w:r w:rsidR="00CF33EC" w:rsidRPr="00001304">
        <w:rPr>
          <w:rFonts w:ascii="Arial" w:eastAsia="Arial Unicode MS" w:hAnsi="Arial" w:cs="Arial"/>
          <w:i/>
          <w:iCs/>
          <w:color w:val="323E4F" w:themeColor="text2" w:themeShade="BF"/>
          <w:sz w:val="20"/>
          <w:szCs w:val="22"/>
        </w:rPr>
        <w:t>salariales del año 2013, 2014, 2015, 2016, 2017, 2018, 2019, 2020 y 2021, negociaciones salariales de los trabajadores de las instituciones públicas favor de anexar dichos documentos digitalmente gracias.</w:t>
      </w:r>
    </w:p>
    <w:p w14:paraId="2E9CBFEB" w14:textId="77777777" w:rsidR="00C13F04" w:rsidRPr="00163B48" w:rsidRDefault="00C13F04" w:rsidP="00C13F04">
      <w:pPr>
        <w:spacing w:line="360" w:lineRule="auto"/>
        <w:ind w:left="1134" w:right="1183"/>
        <w:contextualSpacing/>
        <w:jc w:val="both"/>
        <w:rPr>
          <w:rFonts w:ascii="Arial" w:hAnsi="Arial" w:cs="Arial"/>
          <w:color w:val="323E4F" w:themeColor="text2" w:themeShade="BF"/>
          <w:szCs w:val="22"/>
          <w:lang w:eastAsia="es-MX"/>
        </w:rPr>
      </w:pPr>
    </w:p>
    <w:p w14:paraId="2D79FA22" w14:textId="35089AC8" w:rsidR="00CF33EC" w:rsidRDefault="00CF33EC" w:rsidP="00CF33EC">
      <w:pPr>
        <w:pStyle w:val="Prrafodelista"/>
        <w:numPr>
          <w:ilvl w:val="0"/>
          <w:numId w:val="21"/>
        </w:numPr>
        <w:spacing w:line="360" w:lineRule="auto"/>
        <w:jc w:val="both"/>
        <w:rPr>
          <w:rFonts w:ascii="Arial" w:hAnsi="Arial" w:cs="Arial"/>
          <w:color w:val="323E4F" w:themeColor="text2" w:themeShade="BF"/>
          <w:sz w:val="22"/>
          <w:szCs w:val="22"/>
          <w:lang w:eastAsia="es-MX"/>
        </w:rPr>
      </w:pPr>
      <w:r w:rsidRPr="00CF33EC">
        <w:rPr>
          <w:rFonts w:ascii="Arial" w:hAnsi="Arial" w:cs="Arial"/>
          <w:color w:val="323E4F" w:themeColor="text2" w:themeShade="BF"/>
          <w:sz w:val="22"/>
          <w:szCs w:val="22"/>
        </w:rPr>
        <w:t xml:space="preserve">El 25 veinticinco de febrero de 2022 dos mil veintidós, el Sujeto Obligado notificó su respuesta, a través de la Plataforma Nacional de Transparencia, en atención a la solicitud de información presentada. </w:t>
      </w:r>
    </w:p>
    <w:p w14:paraId="2626CB04" w14:textId="77777777" w:rsidR="00CF33EC" w:rsidRPr="00CF33EC" w:rsidRDefault="00CF33EC" w:rsidP="00CF33EC">
      <w:pPr>
        <w:pStyle w:val="Prrafodelista"/>
        <w:spacing w:line="360" w:lineRule="auto"/>
        <w:ind w:left="644"/>
        <w:jc w:val="both"/>
        <w:rPr>
          <w:rFonts w:ascii="Arial" w:hAnsi="Arial" w:cs="Arial"/>
          <w:color w:val="323E4F" w:themeColor="text2" w:themeShade="BF"/>
          <w:sz w:val="22"/>
          <w:szCs w:val="22"/>
          <w:lang w:eastAsia="es-MX"/>
        </w:rPr>
      </w:pPr>
    </w:p>
    <w:p w14:paraId="4F799ED9" w14:textId="423FD3EF" w:rsidR="009739D0" w:rsidRDefault="00CF33EC" w:rsidP="009C6E8D">
      <w:pPr>
        <w:pStyle w:val="Prrafodelista"/>
        <w:numPr>
          <w:ilvl w:val="0"/>
          <w:numId w:val="21"/>
        </w:numPr>
        <w:spacing w:line="360" w:lineRule="auto"/>
        <w:ind w:right="-91"/>
        <w:jc w:val="both"/>
        <w:rPr>
          <w:rFonts w:ascii="Arial" w:hAnsi="Arial" w:cs="Arial"/>
          <w:b/>
          <w:color w:val="323E4F" w:themeColor="text2" w:themeShade="BF"/>
          <w:sz w:val="22"/>
          <w:szCs w:val="22"/>
        </w:rPr>
      </w:pPr>
      <w:r>
        <w:rPr>
          <w:rFonts w:ascii="Arial" w:hAnsi="Arial" w:cs="Arial"/>
          <w:color w:val="323E4F" w:themeColor="text2" w:themeShade="BF"/>
          <w:sz w:val="22"/>
          <w:szCs w:val="22"/>
        </w:rPr>
        <w:t>El 24</w:t>
      </w:r>
      <w:r w:rsidR="00820C64" w:rsidRPr="00CF33EC">
        <w:rPr>
          <w:rFonts w:ascii="Arial" w:hAnsi="Arial" w:cs="Arial"/>
          <w:color w:val="323E4F" w:themeColor="text2" w:themeShade="BF"/>
          <w:sz w:val="22"/>
          <w:szCs w:val="22"/>
        </w:rPr>
        <w:t xml:space="preserve"> </w:t>
      </w:r>
      <w:r w:rsidRPr="00CF33EC">
        <w:rPr>
          <w:rFonts w:ascii="Arial" w:hAnsi="Arial" w:cs="Arial"/>
          <w:color w:val="323E4F" w:themeColor="text2" w:themeShade="BF"/>
          <w:sz w:val="22"/>
          <w:szCs w:val="22"/>
        </w:rPr>
        <w:t>veinti</w:t>
      </w:r>
      <w:r>
        <w:rPr>
          <w:rFonts w:ascii="Arial" w:hAnsi="Arial" w:cs="Arial"/>
          <w:color w:val="323E4F" w:themeColor="text2" w:themeShade="BF"/>
          <w:sz w:val="22"/>
          <w:szCs w:val="22"/>
        </w:rPr>
        <w:t>cuatro</w:t>
      </w:r>
      <w:r w:rsidR="005421E5" w:rsidRPr="00CF33EC">
        <w:rPr>
          <w:rFonts w:ascii="Arial" w:hAnsi="Arial" w:cs="Arial"/>
          <w:color w:val="323E4F" w:themeColor="text2" w:themeShade="BF"/>
          <w:sz w:val="22"/>
          <w:szCs w:val="22"/>
        </w:rPr>
        <w:t xml:space="preserve"> </w:t>
      </w:r>
      <w:r w:rsidR="00396F72" w:rsidRPr="00CF33EC">
        <w:rPr>
          <w:rFonts w:ascii="Arial" w:hAnsi="Arial" w:cs="Arial"/>
          <w:color w:val="323E4F" w:themeColor="text2" w:themeShade="BF"/>
          <w:sz w:val="22"/>
          <w:szCs w:val="22"/>
        </w:rPr>
        <w:t xml:space="preserve">de </w:t>
      </w:r>
      <w:r>
        <w:rPr>
          <w:rFonts w:ascii="Arial" w:hAnsi="Arial" w:cs="Arial"/>
          <w:color w:val="323E4F" w:themeColor="text2" w:themeShade="BF"/>
          <w:sz w:val="22"/>
          <w:szCs w:val="22"/>
        </w:rPr>
        <w:t>marzo</w:t>
      </w:r>
      <w:r w:rsidR="00857174" w:rsidRPr="00CF33EC">
        <w:rPr>
          <w:rFonts w:ascii="Arial" w:hAnsi="Arial" w:cs="Arial"/>
          <w:color w:val="323E4F" w:themeColor="text2" w:themeShade="BF"/>
          <w:sz w:val="22"/>
          <w:szCs w:val="22"/>
        </w:rPr>
        <w:t xml:space="preserve"> de 202</w:t>
      </w:r>
      <w:r w:rsidR="00820C64" w:rsidRPr="00CF33EC">
        <w:rPr>
          <w:rFonts w:ascii="Arial" w:hAnsi="Arial" w:cs="Arial"/>
          <w:color w:val="323E4F" w:themeColor="text2" w:themeShade="BF"/>
          <w:sz w:val="22"/>
          <w:szCs w:val="22"/>
        </w:rPr>
        <w:t>2</w:t>
      </w:r>
      <w:r w:rsidR="000C3483" w:rsidRPr="00CF33EC">
        <w:rPr>
          <w:rFonts w:ascii="Arial" w:hAnsi="Arial" w:cs="Arial"/>
          <w:color w:val="323E4F" w:themeColor="text2" w:themeShade="BF"/>
          <w:sz w:val="22"/>
          <w:szCs w:val="22"/>
        </w:rPr>
        <w:t xml:space="preserve"> dos mil veinti</w:t>
      </w:r>
      <w:r w:rsidR="00F44A28" w:rsidRPr="00CF33EC">
        <w:rPr>
          <w:rFonts w:ascii="Arial" w:hAnsi="Arial" w:cs="Arial"/>
          <w:color w:val="323E4F" w:themeColor="text2" w:themeShade="BF"/>
          <w:sz w:val="22"/>
          <w:szCs w:val="22"/>
        </w:rPr>
        <w:t>dós</w:t>
      </w:r>
      <w:r w:rsidR="009739D0" w:rsidRPr="00CF33EC">
        <w:rPr>
          <w:rFonts w:ascii="Arial" w:hAnsi="Arial" w:cs="Arial"/>
          <w:color w:val="323E4F" w:themeColor="text2" w:themeShade="BF"/>
          <w:sz w:val="22"/>
          <w:szCs w:val="22"/>
        </w:rPr>
        <w:t>, se interpuso Recurso de Revisión en contra de la respuesta otorgada por el Sujeto Obligado.</w:t>
      </w:r>
      <w:r w:rsidR="009739D0" w:rsidRPr="00CF33EC">
        <w:rPr>
          <w:rFonts w:ascii="Arial" w:hAnsi="Arial" w:cs="Arial"/>
          <w:b/>
          <w:color w:val="323E4F" w:themeColor="text2" w:themeShade="BF"/>
          <w:sz w:val="22"/>
          <w:szCs w:val="22"/>
        </w:rPr>
        <w:t xml:space="preserve"> </w:t>
      </w:r>
    </w:p>
    <w:p w14:paraId="0890985E" w14:textId="77777777" w:rsidR="00CF33EC" w:rsidRDefault="00CF33EC" w:rsidP="00CF33EC">
      <w:pPr>
        <w:spacing w:line="360" w:lineRule="auto"/>
        <w:ind w:right="1183"/>
        <w:jc w:val="both"/>
        <w:rPr>
          <w:rFonts w:ascii="Arial" w:hAnsi="Arial" w:cs="Arial"/>
          <w:b/>
          <w:color w:val="323E4F" w:themeColor="text2" w:themeShade="BF"/>
          <w:sz w:val="22"/>
          <w:szCs w:val="22"/>
        </w:rPr>
      </w:pPr>
    </w:p>
    <w:p w14:paraId="513E1557" w14:textId="711E26F6" w:rsidR="00955C31" w:rsidRPr="00CF33EC" w:rsidRDefault="00CF33EC" w:rsidP="0011580D">
      <w:pPr>
        <w:pStyle w:val="Prrafodelista"/>
        <w:numPr>
          <w:ilvl w:val="0"/>
          <w:numId w:val="21"/>
        </w:numPr>
        <w:spacing w:line="360" w:lineRule="auto"/>
        <w:ind w:right="49"/>
        <w:jc w:val="both"/>
        <w:rPr>
          <w:rFonts w:ascii="Arial" w:eastAsiaTheme="minorHAnsi" w:hAnsi="Arial" w:cs="Arial"/>
          <w:i/>
          <w:color w:val="323E4F" w:themeColor="text2" w:themeShade="BF"/>
          <w:sz w:val="20"/>
          <w:lang w:eastAsia="en-US"/>
        </w:rPr>
      </w:pPr>
      <w:r w:rsidRPr="00CF33EC">
        <w:rPr>
          <w:rFonts w:ascii="Arial" w:hAnsi="Arial" w:cs="Arial"/>
          <w:color w:val="323E4F" w:themeColor="text2" w:themeShade="BF"/>
          <w:sz w:val="22"/>
          <w:szCs w:val="22"/>
        </w:rPr>
        <w:t>El 25</w:t>
      </w:r>
      <w:r w:rsidR="00864F43" w:rsidRPr="00CF33EC">
        <w:rPr>
          <w:rFonts w:ascii="Arial" w:hAnsi="Arial" w:cs="Arial"/>
          <w:color w:val="323E4F" w:themeColor="text2" w:themeShade="BF"/>
          <w:sz w:val="22"/>
          <w:szCs w:val="22"/>
        </w:rPr>
        <w:t xml:space="preserve"> </w:t>
      </w:r>
      <w:r w:rsidRPr="00CF33EC">
        <w:rPr>
          <w:rFonts w:ascii="Arial" w:hAnsi="Arial" w:cs="Arial"/>
          <w:color w:val="323E4F" w:themeColor="text2" w:themeShade="BF"/>
          <w:sz w:val="22"/>
          <w:szCs w:val="22"/>
        </w:rPr>
        <w:t>veinticinco</w:t>
      </w:r>
      <w:r w:rsidR="005421E5" w:rsidRPr="00CF33EC">
        <w:rPr>
          <w:rFonts w:ascii="Arial" w:hAnsi="Arial" w:cs="Arial"/>
          <w:color w:val="323E4F" w:themeColor="text2" w:themeShade="BF"/>
          <w:sz w:val="22"/>
          <w:szCs w:val="22"/>
        </w:rPr>
        <w:t xml:space="preserve"> de </w:t>
      </w:r>
      <w:r w:rsidRPr="00CF33EC">
        <w:rPr>
          <w:rFonts w:ascii="Arial" w:hAnsi="Arial" w:cs="Arial"/>
          <w:color w:val="323E4F" w:themeColor="text2" w:themeShade="BF"/>
          <w:sz w:val="22"/>
          <w:szCs w:val="22"/>
        </w:rPr>
        <w:t>may</w:t>
      </w:r>
      <w:r w:rsidR="00820C64" w:rsidRPr="00CF33EC">
        <w:rPr>
          <w:rFonts w:ascii="Arial" w:hAnsi="Arial" w:cs="Arial"/>
          <w:color w:val="323E4F" w:themeColor="text2" w:themeShade="BF"/>
          <w:sz w:val="22"/>
          <w:szCs w:val="22"/>
        </w:rPr>
        <w:t>o</w:t>
      </w:r>
      <w:r w:rsidR="00192A3A" w:rsidRPr="00CF33EC">
        <w:rPr>
          <w:rFonts w:ascii="Arial" w:hAnsi="Arial" w:cs="Arial"/>
          <w:color w:val="323E4F" w:themeColor="text2" w:themeShade="BF"/>
          <w:sz w:val="22"/>
          <w:szCs w:val="22"/>
        </w:rPr>
        <w:t xml:space="preserve"> de 2023</w:t>
      </w:r>
      <w:r w:rsidR="009739D0" w:rsidRPr="00CF33EC">
        <w:rPr>
          <w:rFonts w:ascii="Arial" w:hAnsi="Arial" w:cs="Arial"/>
          <w:color w:val="323E4F" w:themeColor="text2" w:themeShade="BF"/>
          <w:sz w:val="22"/>
          <w:szCs w:val="22"/>
        </w:rPr>
        <w:t xml:space="preserve"> dos mil veinti</w:t>
      </w:r>
      <w:r w:rsidR="00192A3A" w:rsidRPr="00CF33EC">
        <w:rPr>
          <w:rFonts w:ascii="Arial" w:hAnsi="Arial" w:cs="Arial"/>
          <w:color w:val="323E4F" w:themeColor="text2" w:themeShade="BF"/>
          <w:sz w:val="22"/>
          <w:szCs w:val="22"/>
        </w:rPr>
        <w:t>trés</w:t>
      </w:r>
      <w:r w:rsidR="009739D0" w:rsidRPr="00CF33EC">
        <w:rPr>
          <w:rFonts w:ascii="Arial" w:hAnsi="Arial" w:cs="Arial"/>
          <w:color w:val="323E4F" w:themeColor="text2" w:themeShade="BF"/>
          <w:sz w:val="22"/>
          <w:szCs w:val="22"/>
        </w:rPr>
        <w:t xml:space="preserve"> este Órgano Garante dictó la resolución correspondiente en la cual se determinó</w:t>
      </w:r>
      <w:r w:rsidR="00396F72" w:rsidRPr="00CF33EC">
        <w:rPr>
          <w:rFonts w:ascii="Arial" w:hAnsi="Arial" w:cs="Arial"/>
          <w:color w:val="323E4F" w:themeColor="text2" w:themeShade="BF"/>
          <w:sz w:val="22"/>
          <w:szCs w:val="22"/>
        </w:rPr>
        <w:t xml:space="preserve"> </w:t>
      </w:r>
      <w:r w:rsidR="00820C64" w:rsidRPr="00CF33EC">
        <w:rPr>
          <w:rFonts w:ascii="Arial" w:hAnsi="Arial" w:cs="Arial"/>
          <w:b/>
          <w:color w:val="323E4F" w:themeColor="text2" w:themeShade="BF"/>
          <w:sz w:val="22"/>
          <w:szCs w:val="22"/>
        </w:rPr>
        <w:t>aplicar el Principio de Afirmativa Ficta</w:t>
      </w:r>
      <w:r w:rsidR="004D3676" w:rsidRPr="00CF33EC">
        <w:rPr>
          <w:rFonts w:ascii="Arial" w:hAnsi="Arial" w:cs="Arial"/>
          <w:color w:val="323E4F" w:themeColor="text2" w:themeShade="BF"/>
          <w:sz w:val="22"/>
          <w:szCs w:val="22"/>
        </w:rPr>
        <w:t xml:space="preserve">, </w:t>
      </w:r>
      <w:r w:rsidRPr="00CF33EC">
        <w:rPr>
          <w:rFonts w:ascii="Arial" w:hAnsi="Arial" w:cs="Arial"/>
          <w:color w:val="323E4F" w:themeColor="text2" w:themeShade="BF"/>
          <w:sz w:val="22"/>
          <w:szCs w:val="22"/>
        </w:rPr>
        <w:t xml:space="preserve">contemplada en foja 25 del presente recurso de revisión. </w:t>
      </w:r>
    </w:p>
    <w:p w14:paraId="236C2B46" w14:textId="6A4B6A07" w:rsidR="0028441A" w:rsidRPr="00820C64" w:rsidRDefault="0028441A" w:rsidP="00960360">
      <w:pPr>
        <w:ind w:left="1134" w:right="1183" w:firstLine="708"/>
        <w:jc w:val="both"/>
        <w:rPr>
          <w:rFonts w:ascii="Arial" w:eastAsiaTheme="minorHAnsi" w:hAnsi="Arial" w:cs="Arial"/>
          <w:i/>
          <w:color w:val="323E4F" w:themeColor="text2" w:themeShade="BF"/>
          <w:sz w:val="18"/>
          <w:lang w:eastAsia="en-US"/>
        </w:rPr>
      </w:pPr>
    </w:p>
    <w:p w14:paraId="26D47C1C" w14:textId="5A352BF9" w:rsidR="00DC1F71" w:rsidRPr="00001304" w:rsidRDefault="00DC1F71" w:rsidP="00DC1F71">
      <w:pPr>
        <w:spacing w:line="360" w:lineRule="auto"/>
        <w:jc w:val="center"/>
        <w:rPr>
          <w:rFonts w:ascii="Arial" w:hAnsi="Arial" w:cs="Arial"/>
          <w:b/>
          <w:color w:val="323E4F" w:themeColor="text2" w:themeShade="BF"/>
          <w:sz w:val="22"/>
          <w:szCs w:val="22"/>
          <w:lang w:eastAsia="es-MX"/>
        </w:rPr>
      </w:pPr>
      <w:r w:rsidRPr="00001304">
        <w:rPr>
          <w:rFonts w:ascii="Arial" w:hAnsi="Arial" w:cs="Arial"/>
          <w:b/>
          <w:color w:val="323E4F" w:themeColor="text2" w:themeShade="BF"/>
          <w:sz w:val="22"/>
          <w:szCs w:val="22"/>
          <w:lang w:eastAsia="es-MX"/>
        </w:rPr>
        <w:t>CONSIDERANDOS</w:t>
      </w:r>
    </w:p>
    <w:p w14:paraId="40A9F40C" w14:textId="5B215ECC" w:rsidR="00DC1F71" w:rsidRPr="00001304" w:rsidRDefault="00DC1F71" w:rsidP="00DC1F71">
      <w:pPr>
        <w:spacing w:line="360" w:lineRule="auto"/>
        <w:ind w:firstLine="708"/>
        <w:jc w:val="both"/>
        <w:rPr>
          <w:rFonts w:ascii="Arial" w:hAnsi="Arial" w:cs="Arial"/>
          <w:color w:val="323E4F" w:themeColor="text2" w:themeShade="BF"/>
          <w:sz w:val="22"/>
          <w:szCs w:val="22"/>
        </w:rPr>
      </w:pPr>
      <w:r w:rsidRPr="00001304">
        <w:rPr>
          <w:rFonts w:ascii="Arial" w:hAnsi="Arial" w:cs="Arial"/>
          <w:b/>
          <w:color w:val="323E4F" w:themeColor="text2" w:themeShade="BF"/>
          <w:sz w:val="22"/>
          <w:szCs w:val="22"/>
          <w:lang w:eastAsia="es-MX"/>
        </w:rPr>
        <w:t xml:space="preserve">PRIMERO. </w:t>
      </w:r>
      <w:r w:rsidRPr="00001304">
        <w:rPr>
          <w:rFonts w:ascii="Arial" w:hAnsi="Arial" w:cs="Arial"/>
          <w:color w:val="323E4F" w:themeColor="text2" w:themeShade="BF"/>
          <w:sz w:val="22"/>
          <w:szCs w:val="22"/>
        </w:rPr>
        <w:t xml:space="preserve">La Comisionada Ponente es competente dictar el presente proveído, con fundamento en los artículos 34, fracciones I y II, 35 fracciones I y VIII y 185 de la Ley </w:t>
      </w:r>
      <w:r w:rsidRPr="00001304">
        <w:rPr>
          <w:rFonts w:ascii="Arial" w:hAnsi="Arial" w:cs="Arial"/>
          <w:color w:val="323E4F" w:themeColor="text2" w:themeShade="BF"/>
          <w:sz w:val="22"/>
          <w:szCs w:val="22"/>
        </w:rPr>
        <w:lastRenderedPageBreak/>
        <w:t>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7FC33433" w14:textId="77777777" w:rsidR="00D903A6" w:rsidRPr="00001304" w:rsidRDefault="00D903A6" w:rsidP="00D903A6">
      <w:pPr>
        <w:spacing w:line="360" w:lineRule="auto"/>
        <w:ind w:firstLine="708"/>
        <w:jc w:val="both"/>
        <w:rPr>
          <w:rFonts w:ascii="Arial" w:hAnsi="Arial" w:cs="Arial"/>
          <w:sz w:val="22"/>
        </w:rPr>
      </w:pPr>
    </w:p>
    <w:p w14:paraId="3E328BC0" w14:textId="34280E8E" w:rsidR="00D903A6" w:rsidRPr="00001304" w:rsidRDefault="00D903A6" w:rsidP="00D903A6">
      <w:pPr>
        <w:spacing w:line="360" w:lineRule="auto"/>
        <w:ind w:firstLine="708"/>
        <w:jc w:val="both"/>
        <w:rPr>
          <w:rFonts w:ascii="Arial" w:hAnsi="Arial" w:cs="Arial"/>
          <w:color w:val="323E4F" w:themeColor="text2" w:themeShade="BF"/>
          <w:sz w:val="22"/>
        </w:rPr>
      </w:pPr>
      <w:r w:rsidRPr="00001304">
        <w:rPr>
          <w:rFonts w:ascii="Arial" w:hAnsi="Arial" w:cs="Arial"/>
          <w:color w:val="323E4F" w:themeColor="text2" w:themeShade="BF"/>
          <w:sz w:val="22"/>
        </w:rPr>
        <w:t xml:space="preserve">La suscrita es competente para dictar el presente Acuerdo, de conformidad con lo establecido en los artículos 27 y </w:t>
      </w:r>
      <w:r w:rsidRPr="00001304">
        <w:rPr>
          <w:rFonts w:ascii="Arial" w:hAnsi="Arial" w:cs="Arial"/>
          <w:color w:val="323E4F" w:themeColor="text2" w:themeShade="BF"/>
          <w:sz w:val="22"/>
          <w:shd w:val="clear" w:color="auto" w:fill="FFFFFF"/>
        </w:rPr>
        <w:t xml:space="preserve">34 fracción I y II de la Ley de Transparencia y Acceso a la Información Pública del Estado de San Luis Potosí; así como los artículos 2°, 5º, </w:t>
      </w:r>
      <w:r w:rsidRPr="00001304">
        <w:rPr>
          <w:rFonts w:ascii="Arial" w:hAnsi="Arial" w:cs="Arial"/>
          <w:color w:val="323E4F" w:themeColor="text2" w:themeShade="BF"/>
          <w:sz w:val="22"/>
        </w:rPr>
        <w:t xml:space="preserve">8º fracción II y </w:t>
      </w:r>
      <w:r w:rsidRPr="00001304">
        <w:rPr>
          <w:rFonts w:ascii="Arial" w:eastAsia="Calibri" w:hAnsi="Arial" w:cs="Arial"/>
          <w:color w:val="323E4F" w:themeColor="text2" w:themeShade="BF"/>
          <w:sz w:val="22"/>
        </w:rPr>
        <w:t xml:space="preserve">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w:t>
      </w:r>
    </w:p>
    <w:p w14:paraId="53043AD6" w14:textId="77777777" w:rsidR="00DC1F71" w:rsidRPr="00001304" w:rsidRDefault="00DC1F71" w:rsidP="00DC1F71">
      <w:pPr>
        <w:spacing w:line="360" w:lineRule="auto"/>
        <w:jc w:val="both"/>
        <w:rPr>
          <w:rFonts w:ascii="Arial" w:hAnsi="Arial" w:cs="Arial"/>
          <w:color w:val="323E4F" w:themeColor="text2" w:themeShade="BF"/>
          <w:sz w:val="22"/>
          <w:szCs w:val="22"/>
        </w:rPr>
      </w:pPr>
    </w:p>
    <w:p w14:paraId="645212B6" w14:textId="77777777" w:rsidR="00DC1F71" w:rsidRPr="00001304" w:rsidRDefault="00DC1F71" w:rsidP="00DC1F71">
      <w:pPr>
        <w:spacing w:line="360" w:lineRule="auto"/>
        <w:ind w:firstLine="708"/>
        <w:jc w:val="both"/>
        <w:rPr>
          <w:rFonts w:ascii="Arial" w:hAnsi="Arial" w:cs="Arial"/>
          <w:color w:val="323E4F" w:themeColor="text2" w:themeShade="BF"/>
          <w:sz w:val="22"/>
          <w:szCs w:val="22"/>
          <w:lang w:eastAsia="es-MX"/>
        </w:rPr>
      </w:pPr>
      <w:r w:rsidRPr="00001304">
        <w:rPr>
          <w:rFonts w:ascii="Arial" w:hAnsi="Arial" w:cs="Arial"/>
          <w:b/>
          <w:color w:val="323E4F" w:themeColor="text2" w:themeShade="BF"/>
          <w:sz w:val="22"/>
          <w:szCs w:val="22"/>
          <w:lang w:eastAsia="es-MX"/>
        </w:rPr>
        <w:t>SEGUNDO.</w:t>
      </w:r>
      <w:r w:rsidRPr="00001304">
        <w:rPr>
          <w:rFonts w:ascii="Arial" w:hAnsi="Arial" w:cs="Arial"/>
          <w:color w:val="323E4F" w:themeColor="text2" w:themeShade="BF"/>
          <w:sz w:val="22"/>
          <w:szCs w:val="22"/>
          <w:lang w:eastAsia="es-MX"/>
        </w:rPr>
        <w:t xml:space="preserve"> </w:t>
      </w:r>
      <w:r w:rsidRPr="00001304">
        <w:rPr>
          <w:rFonts w:ascii="Arial" w:eastAsia="Arial" w:hAnsi="Arial" w:cs="Arial"/>
          <w:color w:val="323E4F" w:themeColor="text2" w:themeShade="BF"/>
          <w:spacing w:val="1"/>
          <w:sz w:val="22"/>
          <w:szCs w:val="22"/>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14:paraId="3BA4AA55" w14:textId="77777777" w:rsidR="00DC1F71" w:rsidRPr="00001304" w:rsidRDefault="00DC1F71" w:rsidP="00DC1F71">
      <w:pPr>
        <w:pStyle w:val="Textoindependienteprimerasangra"/>
        <w:spacing w:before="100" w:beforeAutospacing="1" w:after="100" w:afterAutospacing="1"/>
        <w:ind w:firstLine="708"/>
        <w:rPr>
          <w:rFonts w:ascii="Arial" w:hAnsi="Arial" w:cs="Arial"/>
          <w:color w:val="323E4F" w:themeColor="text2" w:themeShade="BF"/>
          <w:sz w:val="22"/>
          <w:szCs w:val="22"/>
        </w:rPr>
      </w:pPr>
      <w:r w:rsidRPr="00001304">
        <w:rPr>
          <w:rFonts w:ascii="Arial" w:hAnsi="Arial" w:cs="Arial"/>
          <w:color w:val="323E4F" w:themeColor="text2" w:themeShade="BF"/>
          <w:sz w:val="22"/>
          <w:szCs w:val="22"/>
        </w:rPr>
        <w:t xml:space="preserve">Es menester señalar que, del análisis de los motivos de inconformidad, se desprende que el recurrente no presenta queja en virtud de la información que le fue notificada y entregada al medio señalado para tal efecto, por lo que se colige que se muestra conforme con el contenido de la respuesta sus demás extremos al no inconformarse al respecto. Sirve de apoyo la Tesis de VI.3o.C. J/60, Seminario Judicial de la Federación y su Gaceta, Novena Época, t. XXII, diciembre de 2005, p. 2365, cuyo rubro y texto señalan: </w:t>
      </w:r>
    </w:p>
    <w:p w14:paraId="37274D08" w14:textId="316AD915" w:rsidR="00DC1F71" w:rsidRPr="00001304" w:rsidRDefault="00DC1F71" w:rsidP="00DC1F71">
      <w:pPr>
        <w:spacing w:after="240"/>
        <w:ind w:left="1134" w:right="1183"/>
        <w:jc w:val="both"/>
        <w:rPr>
          <w:rFonts w:ascii="Arial" w:hAnsi="Arial" w:cs="Arial"/>
          <w:color w:val="323E4F" w:themeColor="text2" w:themeShade="BF"/>
          <w:sz w:val="20"/>
          <w:szCs w:val="22"/>
        </w:rPr>
      </w:pPr>
      <w:r w:rsidRPr="00001304">
        <w:rPr>
          <w:rFonts w:ascii="Arial" w:hAnsi="Arial" w:cs="Arial"/>
          <w:b/>
          <w:color w:val="323E4F" w:themeColor="text2" w:themeShade="BF"/>
          <w:sz w:val="20"/>
          <w:szCs w:val="22"/>
        </w:rPr>
        <w:lastRenderedPageBreak/>
        <w:t>ACTOS CONSENTIDOS. SON LOS QUE NO SE IMPUGNAN MEDIANTE EL RECURSO IDÓNEO.</w:t>
      </w:r>
      <w:r w:rsidRPr="00001304">
        <w:rPr>
          <w:rFonts w:ascii="Arial" w:hAnsi="Arial" w:cs="Arial"/>
          <w:color w:val="323E4F" w:themeColor="text2" w:themeShade="BF"/>
          <w:sz w:val="20"/>
          <w:szCs w:val="22"/>
        </w:rPr>
        <w:t xml:space="preserve"> Debe reputarse como consentido el acto que no se impugnó por el medio establecido por la ley, </w:t>
      </w:r>
      <w:r w:rsidR="00FA7782" w:rsidRPr="00001304">
        <w:rPr>
          <w:rFonts w:ascii="Arial" w:hAnsi="Arial" w:cs="Arial"/>
          <w:color w:val="323E4F" w:themeColor="text2" w:themeShade="BF"/>
          <w:sz w:val="20"/>
          <w:szCs w:val="22"/>
        </w:rPr>
        <w:t>ya que,</w:t>
      </w:r>
      <w:r w:rsidRPr="00001304">
        <w:rPr>
          <w:rFonts w:ascii="Arial" w:hAnsi="Arial" w:cs="Arial"/>
          <w:color w:val="323E4F" w:themeColor="text2" w:themeShade="BF"/>
          <w:sz w:val="20"/>
          <w:szCs w:val="22"/>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79C2F0B0" w14:textId="77777777" w:rsidR="00DC1F71" w:rsidRPr="00001304" w:rsidRDefault="00DC1F71" w:rsidP="00DC1F71">
      <w:pPr>
        <w:spacing w:line="360" w:lineRule="auto"/>
        <w:ind w:firstLine="708"/>
        <w:jc w:val="both"/>
        <w:rPr>
          <w:rFonts w:ascii="Arial" w:hAnsi="Arial" w:cs="Arial"/>
          <w:color w:val="323E4F" w:themeColor="text2" w:themeShade="BF"/>
          <w:sz w:val="22"/>
          <w:szCs w:val="22"/>
        </w:rPr>
      </w:pPr>
      <w:r w:rsidRPr="00001304">
        <w:rPr>
          <w:rFonts w:ascii="Arial" w:hAnsi="Arial" w:cs="Arial"/>
          <w:color w:val="323E4F" w:themeColor="text2" w:themeShade="BF"/>
          <w:sz w:val="22"/>
          <w:szCs w:val="22"/>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46988666" w14:textId="77777777" w:rsidR="00DC1F71" w:rsidRPr="00DF7A8C" w:rsidRDefault="00DC1F71" w:rsidP="00DC1F71">
      <w:pPr>
        <w:rPr>
          <w:rFonts w:ascii="Arial" w:hAnsi="Arial" w:cs="Arial"/>
          <w:color w:val="323E4F" w:themeColor="text2" w:themeShade="BF"/>
          <w:szCs w:val="22"/>
        </w:rPr>
      </w:pPr>
    </w:p>
    <w:p w14:paraId="6468D7A3" w14:textId="77777777" w:rsidR="00DC1F71" w:rsidRPr="00001304" w:rsidRDefault="00DC1F71" w:rsidP="00DC1F71">
      <w:pPr>
        <w:ind w:left="1134" w:right="1185"/>
        <w:jc w:val="both"/>
        <w:rPr>
          <w:rFonts w:ascii="Arial" w:hAnsi="Arial" w:cs="Arial"/>
          <w:color w:val="323E4F" w:themeColor="text2" w:themeShade="BF"/>
          <w:sz w:val="20"/>
          <w:szCs w:val="22"/>
        </w:rPr>
      </w:pPr>
      <w:r w:rsidRPr="00001304">
        <w:rPr>
          <w:rFonts w:ascii="Arial" w:hAnsi="Arial" w:cs="Arial"/>
          <w:b/>
          <w:bCs/>
          <w:color w:val="323E4F" w:themeColor="text2" w:themeShade="BF"/>
          <w:sz w:val="20"/>
          <w:szCs w:val="22"/>
        </w:rPr>
        <w:t>Actos consentidos tácitamente.  Improcedencia de su análisis.</w:t>
      </w:r>
      <w:r w:rsidRPr="00001304">
        <w:rPr>
          <w:rFonts w:ascii="Arial" w:hAnsi="Arial" w:cs="Arial"/>
          <w:color w:val="323E4F" w:themeColor="text2" w:themeShade="BF"/>
          <w:sz w:val="20"/>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525673A" w14:textId="77777777" w:rsidR="00DC1F71" w:rsidRPr="00DF7A8C" w:rsidRDefault="00DC1F71" w:rsidP="00DC1F71">
      <w:pPr>
        <w:rPr>
          <w:rFonts w:ascii="Arial" w:hAnsi="Arial" w:cs="Arial"/>
          <w:color w:val="323E4F" w:themeColor="text2" w:themeShade="BF"/>
          <w:sz w:val="22"/>
          <w:szCs w:val="22"/>
        </w:rPr>
      </w:pPr>
    </w:p>
    <w:p w14:paraId="26F5DBD6" w14:textId="77683DB6" w:rsidR="00DC1F71" w:rsidRPr="00001304" w:rsidRDefault="00DC1F71" w:rsidP="00DC1F71">
      <w:pPr>
        <w:spacing w:after="240" w:line="360" w:lineRule="auto"/>
        <w:ind w:firstLine="708"/>
        <w:jc w:val="both"/>
        <w:rPr>
          <w:rFonts w:ascii="Arial" w:hAnsi="Arial" w:cs="Arial"/>
          <w:color w:val="323E4F" w:themeColor="text2" w:themeShade="BF"/>
          <w:sz w:val="22"/>
          <w:szCs w:val="22"/>
          <w:lang w:eastAsia="es-MX"/>
        </w:rPr>
      </w:pPr>
      <w:r w:rsidRPr="00001304">
        <w:rPr>
          <w:rFonts w:ascii="Arial" w:hAnsi="Arial" w:cs="Arial"/>
          <w:color w:val="323E4F" w:themeColor="text2" w:themeShade="BF"/>
          <w:sz w:val="22"/>
          <w:szCs w:val="22"/>
        </w:rPr>
        <w:t>Por lo anterior, a fin de comprender la respuesta que el Sujeto Obligado emitió para efecto de subsanar la anotada omisión que se generó en la respuesta ot</w:t>
      </w:r>
      <w:r w:rsidR="00260B2F" w:rsidRPr="00001304">
        <w:rPr>
          <w:rFonts w:ascii="Arial" w:hAnsi="Arial" w:cs="Arial"/>
          <w:color w:val="323E4F" w:themeColor="text2" w:themeShade="BF"/>
          <w:sz w:val="22"/>
          <w:szCs w:val="22"/>
        </w:rPr>
        <w:t>orgada, es menester señalar que</w:t>
      </w:r>
      <w:r w:rsidR="00192A3A" w:rsidRPr="00001304">
        <w:rPr>
          <w:rFonts w:ascii="Arial" w:hAnsi="Arial" w:cs="Arial"/>
          <w:color w:val="323E4F" w:themeColor="text2" w:themeShade="BF"/>
          <w:sz w:val="22"/>
          <w:szCs w:val="22"/>
        </w:rPr>
        <w:t xml:space="preserve"> </w:t>
      </w:r>
      <w:r w:rsidR="00260B2F" w:rsidRPr="00001304">
        <w:rPr>
          <w:rFonts w:ascii="Arial" w:hAnsi="Arial" w:cs="Arial"/>
          <w:color w:val="323E4F" w:themeColor="text2" w:themeShade="BF"/>
          <w:sz w:val="22"/>
          <w:szCs w:val="22"/>
        </w:rPr>
        <w:t>el Titular de la Unidad de Transparencia de Oficialía Mayor aduce</w:t>
      </w:r>
      <w:r w:rsidRPr="00001304">
        <w:rPr>
          <w:rFonts w:ascii="Arial" w:hAnsi="Arial" w:cs="Arial"/>
          <w:color w:val="323E4F" w:themeColor="text2" w:themeShade="BF"/>
          <w:sz w:val="22"/>
          <w:szCs w:val="22"/>
          <w:lang w:eastAsia="es-MX"/>
        </w:rPr>
        <w:t xml:space="preserve"> haber hecho las gestiones, a fin de dar cumplimiento al fallo de mérito, de conformidad con lo estipulado por el artículo 153 de la Ley de Transparencia y Acceso a la Información Pública en el Estado. </w:t>
      </w:r>
    </w:p>
    <w:p w14:paraId="0DCB1946" w14:textId="77777777" w:rsidR="007A3A8F" w:rsidRPr="00001304" w:rsidRDefault="00DC1F71" w:rsidP="007A3A8F">
      <w:pPr>
        <w:spacing w:after="240" w:line="360" w:lineRule="auto"/>
        <w:ind w:firstLine="708"/>
        <w:jc w:val="both"/>
        <w:rPr>
          <w:rFonts w:ascii="Arial" w:hAnsi="Arial" w:cs="Arial"/>
          <w:color w:val="323E4F" w:themeColor="text2" w:themeShade="BF"/>
          <w:sz w:val="22"/>
          <w:szCs w:val="22"/>
        </w:rPr>
      </w:pPr>
      <w:r w:rsidRPr="00001304">
        <w:rPr>
          <w:rFonts w:ascii="Arial" w:hAnsi="Arial" w:cs="Arial"/>
          <w:color w:val="323E4F" w:themeColor="text2" w:themeShade="BF"/>
          <w:sz w:val="22"/>
          <w:szCs w:val="22"/>
        </w:rPr>
        <w:t>En este sentido, se estima que la respuesta otorgada por el sujeto obligado atiende los efectos señalados en la determinación adoptada por el Pleno de esta comisión, ello así en virtud de que se atienden los puntos form</w:t>
      </w:r>
      <w:r w:rsidR="007A3A8F" w:rsidRPr="00001304">
        <w:rPr>
          <w:rFonts w:ascii="Arial" w:hAnsi="Arial" w:cs="Arial"/>
          <w:color w:val="323E4F" w:themeColor="text2" w:themeShade="BF"/>
          <w:sz w:val="22"/>
          <w:szCs w:val="22"/>
        </w:rPr>
        <w:t>ulados en la referida solicitud.</w:t>
      </w:r>
    </w:p>
    <w:p w14:paraId="219EB3DE" w14:textId="015AA726" w:rsidR="00DC1F71" w:rsidRPr="00001304" w:rsidRDefault="00DC1F71" w:rsidP="007A3A8F">
      <w:pPr>
        <w:spacing w:after="240" w:line="360" w:lineRule="auto"/>
        <w:ind w:firstLine="708"/>
        <w:jc w:val="both"/>
        <w:rPr>
          <w:rFonts w:ascii="Arial" w:hAnsi="Arial" w:cs="Arial"/>
          <w:color w:val="323E4F" w:themeColor="text2" w:themeShade="BF"/>
          <w:sz w:val="22"/>
          <w:szCs w:val="22"/>
          <w:lang w:val="es-ES"/>
        </w:rPr>
      </w:pPr>
      <w:r w:rsidRPr="00001304">
        <w:rPr>
          <w:rFonts w:ascii="Arial" w:hAnsi="Arial" w:cs="Arial"/>
          <w:color w:val="323E4F" w:themeColor="text2" w:themeShade="BF"/>
          <w:sz w:val="22"/>
          <w:szCs w:val="22"/>
          <w:lang w:val="es-ES"/>
        </w:rPr>
        <w:lastRenderedPageBreak/>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60670A96" w14:textId="77777777" w:rsidR="00DC1F71" w:rsidRPr="00001304" w:rsidRDefault="00DC1F71" w:rsidP="00DC1F71">
      <w:pPr>
        <w:spacing w:line="360" w:lineRule="auto"/>
        <w:ind w:firstLine="708"/>
        <w:jc w:val="both"/>
        <w:rPr>
          <w:rFonts w:ascii="Arial" w:hAnsi="Arial" w:cs="Arial"/>
          <w:color w:val="323E4F" w:themeColor="text2" w:themeShade="BF"/>
          <w:sz w:val="22"/>
          <w:szCs w:val="22"/>
          <w:lang w:val="es-ES"/>
        </w:rPr>
      </w:pPr>
      <w:r w:rsidRPr="00001304">
        <w:rPr>
          <w:rFonts w:ascii="Arial" w:hAnsi="Arial" w:cs="Arial"/>
          <w:color w:val="323E4F" w:themeColor="text2" w:themeShade="BF"/>
          <w:sz w:val="22"/>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6C0E0C82" w14:textId="77777777" w:rsidR="00DC1F71" w:rsidRPr="00DF7A8C" w:rsidRDefault="00DC1F71" w:rsidP="00DC1F71">
      <w:pPr>
        <w:spacing w:line="360" w:lineRule="auto"/>
        <w:jc w:val="both"/>
        <w:rPr>
          <w:rFonts w:ascii="Arial" w:hAnsi="Arial" w:cs="Arial"/>
          <w:color w:val="323E4F" w:themeColor="text2" w:themeShade="BF"/>
          <w:szCs w:val="22"/>
          <w:lang w:val="es-ES"/>
        </w:rPr>
      </w:pPr>
    </w:p>
    <w:p w14:paraId="7202C644" w14:textId="77777777" w:rsidR="00DC1F71" w:rsidRPr="00001304" w:rsidRDefault="00DC1F71" w:rsidP="00DC1F71">
      <w:pPr>
        <w:ind w:left="1134" w:right="1072"/>
        <w:jc w:val="both"/>
        <w:rPr>
          <w:rFonts w:ascii="Arial" w:hAnsi="Arial" w:cs="Arial"/>
          <w:color w:val="323E4F" w:themeColor="text2" w:themeShade="BF"/>
          <w:sz w:val="20"/>
          <w:szCs w:val="22"/>
          <w:lang w:val="es-ES"/>
        </w:rPr>
      </w:pPr>
      <w:r w:rsidRPr="00001304">
        <w:rPr>
          <w:rFonts w:ascii="Arial" w:hAnsi="Arial" w:cs="Arial"/>
          <w:b/>
          <w:bCs/>
          <w:color w:val="323E4F" w:themeColor="text2" w:themeShade="BF"/>
          <w:sz w:val="20"/>
          <w:szCs w:val="22"/>
          <w:lang w:val="es-ES"/>
        </w:rPr>
        <w:t xml:space="preserve">“NOTIFICACIÓN ELECTRÓNICA. AL PRACTICARLA, LA AUTORIDAD DEBE ANEXAR EN AUTOS DEL EXPEDIENTE ADMINISTRATIVO O JUDICIAL DEL QUE DERIVE, LA CONSTANCIA FEHACIENTE DE RECEPCIÓN POR SU DESTINATARIO. </w:t>
      </w:r>
      <w:r w:rsidRPr="00001304">
        <w:rPr>
          <w:rFonts w:ascii="Arial" w:hAnsi="Arial" w:cs="Arial"/>
          <w:color w:val="323E4F" w:themeColor="text2" w:themeShade="BF"/>
          <w:sz w:val="20"/>
          <w:szCs w:val="22"/>
          <w:lang w:val="es-ES"/>
        </w:rPr>
        <w:t>La </w:t>
      </w:r>
      <w:r w:rsidRPr="00001304">
        <w:rPr>
          <w:rFonts w:ascii="Arial" w:hAnsi="Arial" w:cs="Arial"/>
          <w:bCs/>
          <w:color w:val="323E4F" w:themeColor="text2" w:themeShade="BF"/>
          <w:sz w:val="20"/>
          <w:szCs w:val="22"/>
          <w:lang w:val="es-ES"/>
        </w:rPr>
        <w:t>notificación</w:t>
      </w:r>
      <w:r w:rsidRPr="00001304">
        <w:rPr>
          <w:rFonts w:ascii="Arial" w:hAnsi="Arial" w:cs="Arial"/>
          <w:color w:val="323E4F" w:themeColor="text2" w:themeShade="BF"/>
          <w:sz w:val="20"/>
          <w:szCs w:val="22"/>
          <w:lang w:val="es-ES"/>
        </w:rPr>
        <w:t> </w:t>
      </w:r>
      <w:r w:rsidRPr="00001304">
        <w:rPr>
          <w:rFonts w:ascii="Arial" w:hAnsi="Arial" w:cs="Arial"/>
          <w:bCs/>
          <w:color w:val="323E4F" w:themeColor="text2" w:themeShade="BF"/>
          <w:sz w:val="20"/>
          <w:szCs w:val="22"/>
          <w:lang w:val="es-ES"/>
        </w:rPr>
        <w:t>electrónica</w:t>
      </w:r>
      <w:r w:rsidRPr="00001304">
        <w:rPr>
          <w:rFonts w:ascii="Arial" w:hAnsi="Arial" w:cs="Arial"/>
          <w:color w:val="323E4F" w:themeColor="text2" w:themeShade="BF"/>
          <w:sz w:val="20"/>
          <w:szCs w:val="22"/>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001304">
          <w:rPr>
            <w:rStyle w:val="Hipervnculo"/>
            <w:color w:val="323E4F" w:themeColor="text2" w:themeShade="BF"/>
            <w:sz w:val="20"/>
            <w:szCs w:val="22"/>
            <w:lang w:val="es-ES"/>
          </w:rPr>
          <w:t>fracción I del artículo 172 de la Ley de Amparo</w:t>
        </w:r>
      </w:hyperlink>
      <w:r w:rsidRPr="00001304">
        <w:rPr>
          <w:rFonts w:ascii="Arial" w:hAnsi="Arial" w:cs="Arial"/>
          <w:color w:val="323E4F" w:themeColor="text2" w:themeShade="BF"/>
          <w:sz w:val="20"/>
          <w:szCs w:val="22"/>
          <w:lang w:val="es-ES"/>
        </w:rPr>
        <w:t>, vigente a partir del 3 de abril de 2013”.</w:t>
      </w:r>
    </w:p>
    <w:p w14:paraId="6F7D2665" w14:textId="77777777" w:rsidR="00DC1F71" w:rsidRPr="00DF7A8C" w:rsidRDefault="00DC1F71" w:rsidP="00DC1F71">
      <w:pPr>
        <w:spacing w:line="360" w:lineRule="auto"/>
        <w:ind w:firstLine="708"/>
        <w:jc w:val="both"/>
        <w:rPr>
          <w:rFonts w:ascii="Arial" w:hAnsi="Arial" w:cs="Arial"/>
          <w:color w:val="323E4F" w:themeColor="text2" w:themeShade="BF"/>
          <w:sz w:val="22"/>
          <w:szCs w:val="22"/>
          <w:lang w:val="es-ES"/>
        </w:rPr>
      </w:pPr>
    </w:p>
    <w:p w14:paraId="2F36EF19" w14:textId="6C658FC6" w:rsidR="00DC1F71" w:rsidRPr="00001304" w:rsidRDefault="00DC1F71" w:rsidP="00DC1F71">
      <w:pPr>
        <w:spacing w:line="360" w:lineRule="auto"/>
        <w:ind w:firstLine="708"/>
        <w:jc w:val="both"/>
        <w:rPr>
          <w:rFonts w:ascii="Arial" w:hAnsi="Arial" w:cs="Arial"/>
          <w:color w:val="323E4F" w:themeColor="text2" w:themeShade="BF"/>
          <w:sz w:val="22"/>
          <w:szCs w:val="22"/>
          <w:lang w:val="es-ES"/>
        </w:rPr>
      </w:pPr>
      <w:r w:rsidRPr="00001304">
        <w:rPr>
          <w:rFonts w:ascii="Arial" w:hAnsi="Arial" w:cs="Arial"/>
          <w:color w:val="323E4F" w:themeColor="text2" w:themeShade="BF"/>
          <w:sz w:val="22"/>
          <w:szCs w:val="22"/>
          <w:lang w:val="es-ES"/>
        </w:rPr>
        <w:t>En razón de la tesis invocada y del análisis de las constancias que acompañó el sujeto obligado, se pued</w:t>
      </w:r>
      <w:r w:rsidR="00CA3E68" w:rsidRPr="00001304">
        <w:rPr>
          <w:rFonts w:ascii="Arial" w:hAnsi="Arial" w:cs="Arial"/>
          <w:color w:val="323E4F" w:themeColor="text2" w:themeShade="BF"/>
          <w:sz w:val="22"/>
          <w:szCs w:val="22"/>
          <w:lang w:val="es-ES"/>
        </w:rPr>
        <w:t>e verificar a</w:t>
      </w:r>
      <w:r w:rsidR="00364D66" w:rsidRPr="00001304">
        <w:rPr>
          <w:rFonts w:ascii="Arial" w:hAnsi="Arial" w:cs="Arial"/>
          <w:color w:val="323E4F" w:themeColor="text2" w:themeShade="BF"/>
          <w:sz w:val="22"/>
          <w:szCs w:val="22"/>
          <w:lang w:val="es-ES"/>
        </w:rPr>
        <w:t xml:space="preserve"> foja</w:t>
      </w:r>
      <w:r w:rsidR="000D02E3" w:rsidRPr="00001304">
        <w:rPr>
          <w:rFonts w:ascii="Arial" w:hAnsi="Arial" w:cs="Arial"/>
          <w:color w:val="323E4F" w:themeColor="text2" w:themeShade="BF"/>
          <w:sz w:val="22"/>
          <w:szCs w:val="22"/>
          <w:lang w:val="es-ES"/>
        </w:rPr>
        <w:t xml:space="preserve"> </w:t>
      </w:r>
      <w:r w:rsidR="00260B2F" w:rsidRPr="00001304">
        <w:rPr>
          <w:rFonts w:ascii="Arial" w:hAnsi="Arial" w:cs="Arial"/>
          <w:color w:val="323E4F" w:themeColor="text2" w:themeShade="BF"/>
          <w:sz w:val="22"/>
          <w:szCs w:val="22"/>
          <w:lang w:val="es-ES"/>
        </w:rPr>
        <w:t>cuarenta</w:t>
      </w:r>
      <w:r w:rsidR="001C18F4" w:rsidRPr="00001304">
        <w:rPr>
          <w:rFonts w:ascii="Arial" w:hAnsi="Arial" w:cs="Arial"/>
          <w:color w:val="323E4F" w:themeColor="text2" w:themeShade="BF"/>
          <w:sz w:val="22"/>
          <w:szCs w:val="22"/>
          <w:lang w:val="es-ES"/>
        </w:rPr>
        <w:t>,</w:t>
      </w:r>
      <w:r w:rsidR="00364D66" w:rsidRPr="00001304">
        <w:rPr>
          <w:rFonts w:ascii="Arial" w:hAnsi="Arial" w:cs="Arial"/>
          <w:color w:val="323E4F" w:themeColor="text2" w:themeShade="BF"/>
          <w:sz w:val="22"/>
          <w:szCs w:val="22"/>
          <w:lang w:val="es-ES"/>
        </w:rPr>
        <w:t xml:space="preserve"> </w:t>
      </w:r>
      <w:r w:rsidRPr="00001304">
        <w:rPr>
          <w:rFonts w:ascii="Arial" w:hAnsi="Arial" w:cs="Arial"/>
          <w:color w:val="323E4F" w:themeColor="text2" w:themeShade="BF"/>
          <w:sz w:val="22"/>
          <w:szCs w:val="22"/>
          <w:lang w:val="es-ES"/>
        </w:rPr>
        <w:t xml:space="preserve">que notificó la información generada al particular a través del correo electrónico que designó para tal </w:t>
      </w:r>
      <w:r w:rsidR="006B29F2" w:rsidRPr="00001304">
        <w:rPr>
          <w:rFonts w:ascii="Arial" w:hAnsi="Arial" w:cs="Arial"/>
          <w:color w:val="323E4F" w:themeColor="text2" w:themeShade="BF"/>
          <w:sz w:val="22"/>
          <w:szCs w:val="22"/>
          <w:lang w:val="es-ES"/>
        </w:rPr>
        <w:t>efecto.</w:t>
      </w:r>
    </w:p>
    <w:p w14:paraId="697F560A" w14:textId="77777777" w:rsidR="00DC1F71" w:rsidRPr="00001304" w:rsidRDefault="00DC1F71" w:rsidP="00DC1F71">
      <w:pPr>
        <w:spacing w:line="360" w:lineRule="auto"/>
        <w:jc w:val="both"/>
        <w:rPr>
          <w:rFonts w:ascii="Arial" w:hAnsi="Arial" w:cs="Arial"/>
          <w:color w:val="323E4F" w:themeColor="text2" w:themeShade="BF"/>
          <w:sz w:val="22"/>
          <w:szCs w:val="22"/>
          <w:lang w:val="es-ES"/>
        </w:rPr>
      </w:pPr>
    </w:p>
    <w:p w14:paraId="5514B42B" w14:textId="77777777" w:rsidR="00DC1F71" w:rsidRPr="00001304" w:rsidRDefault="00DC1F71" w:rsidP="00DC1F71">
      <w:pPr>
        <w:spacing w:line="360" w:lineRule="auto"/>
        <w:ind w:firstLine="708"/>
        <w:jc w:val="both"/>
        <w:rPr>
          <w:rFonts w:ascii="Arial" w:hAnsi="Arial" w:cs="Arial"/>
          <w:color w:val="323E4F" w:themeColor="text2" w:themeShade="BF"/>
          <w:sz w:val="22"/>
          <w:szCs w:val="22"/>
          <w:lang w:val="es-ES"/>
        </w:rPr>
      </w:pPr>
      <w:r w:rsidRPr="00001304">
        <w:rPr>
          <w:rFonts w:ascii="Arial" w:hAnsi="Arial" w:cs="Arial"/>
          <w:color w:val="323E4F" w:themeColor="text2" w:themeShade="BF"/>
          <w:sz w:val="22"/>
          <w:szCs w:val="22"/>
          <w:lang w:val="es-ES"/>
        </w:rPr>
        <w:lastRenderedPageBreak/>
        <w:t xml:space="preserve">Asimismo, de las constancias aportadas al presente sumario, se advierte que el particular no realizo manifestaciones, por lo que es </w:t>
      </w:r>
      <w:r w:rsidRPr="00001304">
        <w:rPr>
          <w:rFonts w:ascii="Arial" w:hAnsi="Arial" w:cs="Arial"/>
          <w:color w:val="323E4F" w:themeColor="text2" w:themeShade="BF"/>
          <w:sz w:val="22"/>
          <w:szCs w:val="22"/>
        </w:rPr>
        <w:t>necesario señalar que el inconforme no se duele del contenido de la información entregada, por lo que se colige que se mostraba conforme con la respuesta emitida por el sujeto obligado respecto de aquello que requirió y por la otra, no se inconformó del contenido de aquello que se le entregó.</w:t>
      </w:r>
    </w:p>
    <w:p w14:paraId="1650BD1A" w14:textId="77777777" w:rsidR="00DC1F71" w:rsidRPr="00001304" w:rsidRDefault="00DC1F71" w:rsidP="00DC1F71">
      <w:pPr>
        <w:spacing w:before="240" w:after="240" w:line="360" w:lineRule="auto"/>
        <w:ind w:firstLine="708"/>
        <w:jc w:val="both"/>
        <w:rPr>
          <w:rFonts w:ascii="Arial" w:hAnsi="Arial" w:cs="Arial"/>
          <w:color w:val="323E4F" w:themeColor="text2" w:themeShade="BF"/>
          <w:sz w:val="22"/>
          <w:szCs w:val="22"/>
        </w:rPr>
      </w:pPr>
      <w:r w:rsidRPr="00001304">
        <w:rPr>
          <w:rFonts w:ascii="Arial" w:hAnsi="Arial" w:cs="Arial"/>
          <w:color w:val="323E4F" w:themeColor="text2" w:themeShade="BF"/>
          <w:sz w:val="22"/>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001304">
        <w:rPr>
          <w:rFonts w:ascii="Arial" w:hAnsi="Arial" w:cs="Arial"/>
          <w:b/>
          <w:color w:val="323E4F" w:themeColor="text2" w:themeShade="BF"/>
          <w:sz w:val="22"/>
          <w:szCs w:val="22"/>
          <w:u w:val="single"/>
        </w:rPr>
        <w:t>cumplida</w:t>
      </w:r>
      <w:r w:rsidRPr="00001304">
        <w:rPr>
          <w:rFonts w:ascii="Arial" w:hAnsi="Arial" w:cs="Arial"/>
          <w:b/>
          <w:color w:val="323E4F" w:themeColor="text2" w:themeShade="BF"/>
          <w:sz w:val="22"/>
          <w:szCs w:val="22"/>
        </w:rPr>
        <w:t xml:space="preserve"> </w:t>
      </w:r>
      <w:r w:rsidRPr="00001304">
        <w:rPr>
          <w:rFonts w:ascii="Arial" w:hAnsi="Arial" w:cs="Arial"/>
          <w:color w:val="323E4F" w:themeColor="text2" w:themeShade="BF"/>
          <w:sz w:val="22"/>
          <w:szCs w:val="22"/>
        </w:rPr>
        <w:t xml:space="preserve">la presente resolución. </w:t>
      </w:r>
    </w:p>
    <w:p w14:paraId="32733C01" w14:textId="77777777" w:rsidR="00DC1F71" w:rsidRPr="00001304" w:rsidRDefault="00DC1F71" w:rsidP="00DC1F71">
      <w:pPr>
        <w:ind w:firstLine="708"/>
        <w:rPr>
          <w:rFonts w:ascii="Arial" w:hAnsi="Arial" w:cs="Arial"/>
          <w:color w:val="323E4F" w:themeColor="text2" w:themeShade="BF"/>
          <w:sz w:val="22"/>
          <w:szCs w:val="22"/>
        </w:rPr>
      </w:pPr>
      <w:r w:rsidRPr="00001304">
        <w:rPr>
          <w:rFonts w:ascii="Arial" w:hAnsi="Arial" w:cs="Arial"/>
          <w:color w:val="323E4F" w:themeColor="text2" w:themeShade="BF"/>
          <w:sz w:val="22"/>
          <w:szCs w:val="22"/>
        </w:rPr>
        <w:t>Por lo anteriormente expuesto y fundado, se emite el siguiente:</w:t>
      </w:r>
    </w:p>
    <w:p w14:paraId="09D1B6A0" w14:textId="77777777" w:rsidR="00DC1F71" w:rsidRPr="00001304" w:rsidRDefault="00DC1F71" w:rsidP="00DC1F71">
      <w:pPr>
        <w:spacing w:line="360" w:lineRule="auto"/>
        <w:jc w:val="center"/>
        <w:rPr>
          <w:rFonts w:ascii="Arial" w:hAnsi="Arial" w:cs="Arial"/>
          <w:b/>
          <w:color w:val="323E4F" w:themeColor="text2" w:themeShade="BF"/>
          <w:sz w:val="22"/>
          <w:szCs w:val="22"/>
        </w:rPr>
      </w:pPr>
    </w:p>
    <w:p w14:paraId="4D57DDCF" w14:textId="77777777" w:rsidR="00DC1F71" w:rsidRPr="00001304" w:rsidRDefault="00DC1F71" w:rsidP="00DC1F71">
      <w:pPr>
        <w:spacing w:line="360" w:lineRule="auto"/>
        <w:jc w:val="center"/>
        <w:rPr>
          <w:rFonts w:ascii="Arial" w:hAnsi="Arial" w:cs="Arial"/>
          <w:b/>
          <w:color w:val="323E4F" w:themeColor="text2" w:themeShade="BF"/>
          <w:sz w:val="22"/>
          <w:szCs w:val="22"/>
        </w:rPr>
      </w:pPr>
      <w:r w:rsidRPr="00001304">
        <w:rPr>
          <w:rFonts w:ascii="Arial" w:hAnsi="Arial" w:cs="Arial"/>
          <w:b/>
          <w:color w:val="323E4F" w:themeColor="text2" w:themeShade="BF"/>
          <w:sz w:val="22"/>
          <w:szCs w:val="22"/>
        </w:rPr>
        <w:t>ACUERDO</w:t>
      </w:r>
    </w:p>
    <w:p w14:paraId="3EE52531" w14:textId="77777777" w:rsidR="00DC1F71" w:rsidRPr="00001304" w:rsidRDefault="00DC1F71" w:rsidP="00DC1F71">
      <w:pPr>
        <w:spacing w:line="360" w:lineRule="auto"/>
        <w:ind w:right="111" w:firstLine="708"/>
        <w:jc w:val="both"/>
        <w:rPr>
          <w:rFonts w:ascii="Arial" w:hAnsi="Arial" w:cs="Arial"/>
          <w:color w:val="323E4F" w:themeColor="text2" w:themeShade="BF"/>
          <w:spacing w:val="1"/>
          <w:sz w:val="22"/>
          <w:szCs w:val="22"/>
        </w:rPr>
      </w:pPr>
      <w:r w:rsidRPr="00001304">
        <w:rPr>
          <w:rFonts w:ascii="Arial" w:hAnsi="Arial" w:cs="Arial"/>
          <w:b/>
          <w:color w:val="323E4F" w:themeColor="text2" w:themeShade="BF"/>
          <w:spacing w:val="1"/>
          <w:sz w:val="22"/>
          <w:szCs w:val="22"/>
        </w:rPr>
        <w:t xml:space="preserve">PRIMERO. </w:t>
      </w:r>
      <w:r w:rsidRPr="00001304">
        <w:rPr>
          <w:rFonts w:ascii="Arial" w:hAnsi="Arial" w:cs="Arial"/>
          <w:color w:val="323E4F" w:themeColor="text2" w:themeShade="BF"/>
          <w:spacing w:val="1"/>
          <w:sz w:val="22"/>
          <w:szCs w:val="22"/>
        </w:rPr>
        <w:t xml:space="preserve">Con base en el artículo 185 de la Ley de Transparencia y Acceso a la Información Pública del Estado, declara </w:t>
      </w:r>
      <w:r w:rsidRPr="00001304">
        <w:rPr>
          <w:rFonts w:ascii="Arial" w:hAnsi="Arial" w:cs="Arial"/>
          <w:b/>
          <w:color w:val="323E4F" w:themeColor="text2" w:themeShade="BF"/>
          <w:spacing w:val="1"/>
          <w:sz w:val="22"/>
          <w:szCs w:val="22"/>
          <w:u w:val="single"/>
        </w:rPr>
        <w:t>cumplida</w:t>
      </w:r>
      <w:r w:rsidRPr="00001304">
        <w:rPr>
          <w:rFonts w:ascii="Arial" w:hAnsi="Arial" w:cs="Arial"/>
          <w:color w:val="323E4F" w:themeColor="text2" w:themeShade="BF"/>
          <w:spacing w:val="1"/>
          <w:sz w:val="22"/>
          <w:szCs w:val="22"/>
        </w:rPr>
        <w:t xml:space="preserve"> la resolución que en definitiva se dictó en el presente asunto.</w:t>
      </w:r>
    </w:p>
    <w:p w14:paraId="77D09E37" w14:textId="77777777" w:rsidR="00DC1F71" w:rsidRPr="00001304" w:rsidRDefault="00DC1F71" w:rsidP="00DC1F71">
      <w:pPr>
        <w:spacing w:line="360" w:lineRule="auto"/>
        <w:jc w:val="center"/>
        <w:rPr>
          <w:rFonts w:ascii="Arial" w:hAnsi="Arial" w:cs="Arial"/>
          <w:color w:val="323E4F" w:themeColor="text2" w:themeShade="BF"/>
          <w:sz w:val="22"/>
          <w:szCs w:val="22"/>
        </w:rPr>
      </w:pPr>
    </w:p>
    <w:p w14:paraId="1952A6E2" w14:textId="77777777" w:rsidR="00DC1F71" w:rsidRPr="00001304" w:rsidRDefault="00DC1F71" w:rsidP="00DC1F71">
      <w:pPr>
        <w:spacing w:line="360" w:lineRule="auto"/>
        <w:ind w:firstLine="708"/>
        <w:jc w:val="both"/>
        <w:rPr>
          <w:rFonts w:ascii="Arial" w:hAnsi="Arial" w:cs="Arial"/>
          <w:color w:val="323E4F" w:themeColor="text2" w:themeShade="BF"/>
          <w:sz w:val="22"/>
          <w:szCs w:val="22"/>
        </w:rPr>
      </w:pPr>
      <w:r w:rsidRPr="00001304">
        <w:rPr>
          <w:rFonts w:ascii="Arial" w:hAnsi="Arial" w:cs="Arial"/>
          <w:b/>
          <w:color w:val="323E4F" w:themeColor="text2" w:themeShade="BF"/>
          <w:sz w:val="22"/>
          <w:szCs w:val="22"/>
          <w:highlight w:val="white"/>
        </w:rPr>
        <w:t>SEGUNDO.</w:t>
      </w:r>
      <w:r w:rsidRPr="00001304">
        <w:rPr>
          <w:rFonts w:ascii="Arial" w:hAnsi="Arial" w:cs="Arial"/>
          <w:b/>
          <w:color w:val="323E4F" w:themeColor="text2" w:themeShade="BF"/>
          <w:sz w:val="22"/>
          <w:szCs w:val="22"/>
        </w:rPr>
        <w:t xml:space="preserve"> </w:t>
      </w:r>
      <w:r w:rsidRPr="00001304">
        <w:rPr>
          <w:rFonts w:ascii="Arial" w:hAnsi="Arial" w:cs="Arial"/>
          <w:color w:val="323E4F" w:themeColor="text2" w:themeShade="BF"/>
          <w:sz w:val="22"/>
          <w:szCs w:val="22"/>
        </w:rPr>
        <w:t>Con fundamento en los artículos 2 fracción XII y 9 de los Lineamientos para la Gestión de Archivos Administrativos y Resguardo de la Información Pública del Estado de San Luis Potosí, emitidos por esta Comisión,</w:t>
      </w:r>
      <w:r w:rsidRPr="00001304">
        <w:rPr>
          <w:rFonts w:ascii="Arial" w:hAnsi="Arial" w:cs="Arial"/>
          <w:b/>
          <w:color w:val="323E4F" w:themeColor="text2" w:themeShade="BF"/>
          <w:sz w:val="22"/>
          <w:szCs w:val="22"/>
        </w:rPr>
        <w:t xml:space="preserve"> se remite el presente asunto al Archivo de Concentración de este Órgano Garante, </w:t>
      </w:r>
      <w:r w:rsidRPr="00001304">
        <w:rPr>
          <w:rFonts w:ascii="Arial" w:hAnsi="Arial" w:cs="Arial"/>
          <w:color w:val="323E4F" w:themeColor="text2" w:themeShade="BF"/>
          <w:sz w:val="22"/>
          <w:szCs w:val="22"/>
        </w:rPr>
        <w:t>como asunto concluido.</w:t>
      </w:r>
    </w:p>
    <w:p w14:paraId="12D8EC2B" w14:textId="77777777" w:rsidR="00DC1F71" w:rsidRPr="00001304" w:rsidRDefault="00DC1F71" w:rsidP="00DC1F71">
      <w:pPr>
        <w:spacing w:line="360" w:lineRule="auto"/>
        <w:jc w:val="both"/>
        <w:rPr>
          <w:rFonts w:ascii="Arial" w:hAnsi="Arial" w:cs="Arial"/>
          <w:b/>
          <w:color w:val="323E4F" w:themeColor="text2" w:themeShade="BF"/>
          <w:sz w:val="22"/>
          <w:szCs w:val="22"/>
        </w:rPr>
      </w:pPr>
    </w:p>
    <w:p w14:paraId="26E8ECB6" w14:textId="0E061404" w:rsidR="00DC1F71" w:rsidRPr="00001304" w:rsidRDefault="00DC1F71" w:rsidP="00DC1F71">
      <w:pPr>
        <w:spacing w:line="360" w:lineRule="auto"/>
        <w:ind w:firstLine="708"/>
        <w:jc w:val="both"/>
        <w:rPr>
          <w:rFonts w:ascii="Arial" w:hAnsi="Arial" w:cs="Arial"/>
          <w:color w:val="323E4F" w:themeColor="text2" w:themeShade="BF"/>
          <w:sz w:val="22"/>
          <w:szCs w:val="22"/>
        </w:rPr>
      </w:pPr>
      <w:r w:rsidRPr="00001304">
        <w:rPr>
          <w:rFonts w:ascii="Arial" w:hAnsi="Arial" w:cs="Arial"/>
          <w:b/>
          <w:color w:val="323E4F" w:themeColor="text2" w:themeShade="BF"/>
          <w:sz w:val="22"/>
          <w:szCs w:val="22"/>
        </w:rPr>
        <w:t>TERCERO.</w:t>
      </w:r>
      <w:r w:rsidRPr="00001304">
        <w:rPr>
          <w:rFonts w:ascii="Arial" w:hAnsi="Arial" w:cs="Arial"/>
          <w:color w:val="323E4F" w:themeColor="text2" w:themeShade="BF"/>
          <w:sz w:val="22"/>
          <w:szCs w:val="22"/>
        </w:rPr>
        <w:t xml:space="preserve"> Notifíquese </w:t>
      </w:r>
      <w:r w:rsidR="00001304">
        <w:rPr>
          <w:rFonts w:ascii="Arial" w:hAnsi="Arial" w:cs="Arial"/>
          <w:color w:val="323E4F" w:themeColor="text2" w:themeShade="BF"/>
          <w:sz w:val="22"/>
          <w:szCs w:val="22"/>
        </w:rPr>
        <w:t xml:space="preserve">por lista a </w:t>
      </w:r>
      <w:bookmarkStart w:id="0" w:name="_GoBack"/>
      <w:bookmarkEnd w:id="0"/>
      <w:r w:rsidRPr="00001304">
        <w:rPr>
          <w:rFonts w:ascii="Arial" w:hAnsi="Arial" w:cs="Arial"/>
          <w:color w:val="323E4F" w:themeColor="text2" w:themeShade="BF"/>
          <w:sz w:val="22"/>
          <w:szCs w:val="22"/>
        </w:rPr>
        <w:t xml:space="preserve">ambas partes. </w:t>
      </w:r>
    </w:p>
    <w:p w14:paraId="50CDD9B5" w14:textId="77777777" w:rsidR="00DC1F71" w:rsidRPr="00001304" w:rsidRDefault="00DC1F71" w:rsidP="00DC1F71">
      <w:pPr>
        <w:ind w:left="284"/>
        <w:jc w:val="both"/>
        <w:rPr>
          <w:rFonts w:ascii="Arial" w:hAnsi="Arial" w:cs="Arial"/>
          <w:i/>
          <w:color w:val="323E4F" w:themeColor="text2" w:themeShade="BF"/>
          <w:sz w:val="22"/>
          <w:szCs w:val="22"/>
        </w:rPr>
      </w:pPr>
    </w:p>
    <w:p w14:paraId="7A44BE62" w14:textId="474A68A5" w:rsidR="005C265E" w:rsidRPr="00001304" w:rsidRDefault="005C265E" w:rsidP="005C265E">
      <w:pPr>
        <w:spacing w:line="360" w:lineRule="auto"/>
        <w:ind w:firstLine="567"/>
        <w:jc w:val="both"/>
        <w:rPr>
          <w:rFonts w:ascii="Arial" w:eastAsia="Calibri" w:hAnsi="Arial" w:cs="Arial"/>
          <w:color w:val="323E4F" w:themeColor="text2" w:themeShade="BF"/>
          <w:sz w:val="22"/>
          <w:szCs w:val="22"/>
          <w:lang w:eastAsia="en-US"/>
        </w:rPr>
      </w:pPr>
      <w:r w:rsidRPr="00001304">
        <w:rPr>
          <w:rFonts w:ascii="Arial" w:eastAsia="Calibri" w:hAnsi="Arial" w:cs="Arial"/>
          <w:color w:val="323E4F" w:themeColor="text2" w:themeShade="BF"/>
          <w:sz w:val="22"/>
          <w:szCs w:val="22"/>
          <w:lang w:eastAsia="en-US"/>
        </w:rPr>
        <w:lastRenderedPageBreak/>
        <w:t>Así lo proveyó y firma Adriana Berenice Capetillo Reyes, Proyectista Adscrita a la Ponencia 3 de la Comisión Estatal de Garantía de Acceso a la Información Pública, quien actúa de conformidad con lo establecido en el artículo 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e</w:t>
      </w:r>
      <w:r w:rsidR="007D0F23" w:rsidRPr="00001304">
        <w:rPr>
          <w:rFonts w:ascii="Arial" w:eastAsia="Calibri" w:hAnsi="Arial" w:cs="Arial"/>
          <w:color w:val="323E4F" w:themeColor="text2" w:themeShade="BF"/>
          <w:sz w:val="22"/>
          <w:szCs w:val="22"/>
          <w:lang w:eastAsia="en-US"/>
        </w:rPr>
        <w:t>n San Luis Potosí, S. L. P., a 2</w:t>
      </w:r>
      <w:r w:rsidR="00820C64" w:rsidRPr="00001304">
        <w:rPr>
          <w:rFonts w:ascii="Arial" w:eastAsia="Calibri" w:hAnsi="Arial" w:cs="Arial"/>
          <w:color w:val="323E4F" w:themeColor="text2" w:themeShade="BF"/>
          <w:sz w:val="22"/>
          <w:szCs w:val="22"/>
          <w:lang w:eastAsia="en-US"/>
        </w:rPr>
        <w:t>4</w:t>
      </w:r>
      <w:r w:rsidRPr="00001304">
        <w:rPr>
          <w:rFonts w:ascii="Arial" w:eastAsia="Calibri" w:hAnsi="Arial" w:cs="Arial"/>
          <w:color w:val="323E4F" w:themeColor="text2" w:themeShade="BF"/>
          <w:sz w:val="22"/>
          <w:szCs w:val="22"/>
          <w:lang w:eastAsia="en-US"/>
        </w:rPr>
        <w:t xml:space="preserve"> </w:t>
      </w:r>
      <w:r w:rsidR="00820C64" w:rsidRPr="00001304">
        <w:rPr>
          <w:rFonts w:ascii="Arial" w:eastAsia="Calibri" w:hAnsi="Arial" w:cs="Arial"/>
          <w:color w:val="323E4F" w:themeColor="text2" w:themeShade="BF"/>
          <w:sz w:val="22"/>
          <w:szCs w:val="22"/>
          <w:lang w:eastAsia="en-US"/>
        </w:rPr>
        <w:t>veinticuatro</w:t>
      </w:r>
      <w:r w:rsidRPr="00001304">
        <w:rPr>
          <w:rFonts w:ascii="Arial" w:eastAsia="Calibri" w:hAnsi="Arial" w:cs="Arial"/>
          <w:color w:val="323E4F" w:themeColor="text2" w:themeShade="BF"/>
          <w:sz w:val="22"/>
          <w:szCs w:val="22"/>
          <w:lang w:eastAsia="en-US"/>
        </w:rPr>
        <w:t xml:space="preserve"> de noviembre de 2023 dos mil veintitrés.</w:t>
      </w:r>
    </w:p>
    <w:p w14:paraId="3A48A94B" w14:textId="77777777" w:rsidR="005C265E" w:rsidRPr="00001304" w:rsidRDefault="005C265E" w:rsidP="005C265E">
      <w:pPr>
        <w:spacing w:line="360" w:lineRule="auto"/>
        <w:ind w:firstLine="567"/>
        <w:jc w:val="both"/>
        <w:rPr>
          <w:rFonts w:ascii="Arial" w:eastAsia="Calibri" w:hAnsi="Arial" w:cs="Arial"/>
          <w:b/>
          <w:sz w:val="20"/>
          <w:szCs w:val="22"/>
          <w:lang w:eastAsia="en-US"/>
        </w:rPr>
      </w:pPr>
    </w:p>
    <w:p w14:paraId="3B64B885" w14:textId="77777777" w:rsidR="00DC1F71" w:rsidRPr="00001304" w:rsidRDefault="00DC1F71" w:rsidP="00DC1F71">
      <w:pPr>
        <w:spacing w:line="360" w:lineRule="auto"/>
        <w:jc w:val="both"/>
        <w:rPr>
          <w:rFonts w:ascii="Arial" w:hAnsi="Arial" w:cs="Arial"/>
          <w:color w:val="323E4F" w:themeColor="text2" w:themeShade="BF"/>
          <w:sz w:val="22"/>
          <w:szCs w:val="22"/>
        </w:rPr>
      </w:pPr>
    </w:p>
    <w:p w14:paraId="2207894E" w14:textId="77777777" w:rsidR="00DC1F71" w:rsidRPr="00001304" w:rsidRDefault="00DC1F71" w:rsidP="00DC1F71">
      <w:pPr>
        <w:spacing w:line="360" w:lineRule="auto"/>
        <w:jc w:val="both"/>
        <w:rPr>
          <w:rFonts w:ascii="Arial" w:hAnsi="Arial" w:cs="Arial"/>
          <w:color w:val="323E4F" w:themeColor="text2" w:themeShade="BF"/>
          <w:sz w:val="22"/>
          <w:szCs w:val="22"/>
        </w:rPr>
      </w:pPr>
    </w:p>
    <w:p w14:paraId="3D2F31C1" w14:textId="77777777" w:rsidR="005C265E" w:rsidRPr="00001304" w:rsidRDefault="005C265E" w:rsidP="005C265E">
      <w:pPr>
        <w:spacing w:line="360" w:lineRule="auto"/>
        <w:ind w:firstLine="567"/>
        <w:jc w:val="center"/>
        <w:rPr>
          <w:rFonts w:ascii="Arial" w:eastAsia="Calibri" w:hAnsi="Arial" w:cs="Arial"/>
          <w:b/>
          <w:color w:val="323E4F" w:themeColor="text2" w:themeShade="BF"/>
          <w:sz w:val="22"/>
        </w:rPr>
      </w:pPr>
      <w:r w:rsidRPr="00001304">
        <w:rPr>
          <w:rFonts w:ascii="Arial" w:eastAsia="Calibri" w:hAnsi="Arial" w:cs="Arial"/>
          <w:b/>
          <w:color w:val="323E4F" w:themeColor="text2" w:themeShade="BF"/>
          <w:sz w:val="22"/>
        </w:rPr>
        <w:t>Adriana Berenice Capetillo Reyes</w:t>
      </w:r>
    </w:p>
    <w:p w14:paraId="569499EB" w14:textId="77777777" w:rsidR="005C265E" w:rsidRPr="00001304" w:rsidRDefault="005C265E" w:rsidP="005C265E">
      <w:pPr>
        <w:spacing w:line="360" w:lineRule="auto"/>
        <w:ind w:firstLine="567"/>
        <w:jc w:val="center"/>
        <w:rPr>
          <w:rFonts w:ascii="Arial" w:eastAsia="Calibri" w:hAnsi="Arial" w:cs="Arial"/>
          <w:b/>
          <w:color w:val="323E4F" w:themeColor="text2" w:themeShade="BF"/>
          <w:sz w:val="22"/>
        </w:rPr>
      </w:pPr>
      <w:r w:rsidRPr="00001304">
        <w:rPr>
          <w:rFonts w:ascii="Arial" w:eastAsia="Calibri" w:hAnsi="Arial" w:cs="Arial"/>
          <w:b/>
          <w:color w:val="323E4F" w:themeColor="text2" w:themeShade="BF"/>
          <w:sz w:val="22"/>
        </w:rPr>
        <w:t>Proyectista Adscrita a Ponencia Tres</w:t>
      </w:r>
    </w:p>
    <w:p w14:paraId="3962E392" w14:textId="77777777" w:rsidR="00DC1F71" w:rsidRPr="00DF7A8C" w:rsidRDefault="00DC1F71" w:rsidP="00DC1F71">
      <w:pPr>
        <w:spacing w:line="360" w:lineRule="auto"/>
        <w:jc w:val="both"/>
        <w:rPr>
          <w:rFonts w:ascii="Arial" w:hAnsi="Arial" w:cs="Arial"/>
          <w:color w:val="323E4F" w:themeColor="text2" w:themeShade="BF"/>
          <w:sz w:val="18"/>
          <w:szCs w:val="22"/>
        </w:rPr>
      </w:pPr>
      <w:r w:rsidRPr="00DF7A8C">
        <w:rPr>
          <w:rFonts w:ascii="Arial" w:hAnsi="Arial" w:cs="Arial"/>
          <w:color w:val="323E4F" w:themeColor="text2" w:themeShade="BF"/>
          <w:sz w:val="18"/>
          <w:szCs w:val="22"/>
        </w:rPr>
        <w:t>Elaboró: CCL</w:t>
      </w:r>
    </w:p>
    <w:sectPr w:rsidR="00DC1F71" w:rsidRPr="00DF7A8C" w:rsidSect="00B2764F">
      <w:headerReference w:type="default" r:id="rId9"/>
      <w:pgSz w:w="12240" w:h="15840" w:code="1"/>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C1FA4D" w14:textId="77777777" w:rsidR="00D26912" w:rsidRDefault="00D26912" w:rsidP="00BB58C4">
      <w:r>
        <w:separator/>
      </w:r>
    </w:p>
  </w:endnote>
  <w:endnote w:type="continuationSeparator" w:id="0">
    <w:p w14:paraId="7E7E85EB" w14:textId="77777777" w:rsidR="00D26912" w:rsidRDefault="00D26912"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21874" w14:textId="77777777" w:rsidR="00D26912" w:rsidRDefault="00D26912" w:rsidP="00BB58C4">
      <w:r>
        <w:separator/>
      </w:r>
    </w:p>
  </w:footnote>
  <w:footnote w:type="continuationSeparator" w:id="0">
    <w:p w14:paraId="24FEC87B" w14:textId="77777777" w:rsidR="00D26912" w:rsidRDefault="00D26912"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365E9909" w:rsidR="00BD2B59" w:rsidRDefault="00BD2B59">
    <w:pPr>
      <w:pStyle w:val="Encabezado"/>
      <w:jc w:val="center"/>
    </w:pP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6E2D15BC"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RR</w:t>
    </w:r>
    <w:r w:rsidR="005B7790">
      <w:rPr>
        <w:rFonts w:ascii="Arial" w:hAnsi="Arial" w:cs="Arial"/>
        <w:b/>
        <w:sz w:val="26"/>
        <w:szCs w:val="26"/>
      </w:rPr>
      <w:t>-</w:t>
    </w:r>
    <w:r w:rsidR="00E02535">
      <w:rPr>
        <w:rFonts w:ascii="Arial" w:hAnsi="Arial" w:cs="Arial"/>
        <w:b/>
        <w:sz w:val="26"/>
        <w:szCs w:val="26"/>
      </w:rPr>
      <w:t>763</w:t>
    </w:r>
    <w:r w:rsidR="00AA103D">
      <w:rPr>
        <w:rFonts w:ascii="Arial" w:hAnsi="Arial" w:cs="Arial"/>
        <w:b/>
        <w:sz w:val="26"/>
        <w:szCs w:val="26"/>
      </w:rPr>
      <w:t>/202</w:t>
    </w:r>
    <w:r w:rsidR="008B394E">
      <w:rPr>
        <w:rFonts w:ascii="Arial" w:hAnsi="Arial" w:cs="Arial"/>
        <w:b/>
        <w:sz w:val="26"/>
        <w:szCs w:val="26"/>
      </w:rPr>
      <w:t>2</w:t>
    </w:r>
    <w:r w:rsidR="00DE7922">
      <w:rPr>
        <w:rFonts w:ascii="Arial" w:hAnsi="Arial" w:cs="Arial"/>
        <w:b/>
        <w:sz w:val="26"/>
        <w:szCs w:val="26"/>
      </w:rPr>
      <w:t>-3</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43A468E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103F633E"/>
    <w:multiLevelType w:val="hybridMultilevel"/>
    <w:tmpl w:val="BE98571A"/>
    <w:lvl w:ilvl="0" w:tplc="0F044FE6">
      <w:start w:val="1"/>
      <w:numFmt w:val="upperRoman"/>
      <w:lvlText w:val="%1."/>
      <w:lvlJc w:val="right"/>
      <w:pPr>
        <w:ind w:left="360" w:hanging="360"/>
      </w:pPr>
      <w:rPr>
        <w:b w:val="0"/>
        <w:i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53D05B4"/>
    <w:multiLevelType w:val="hybridMultilevel"/>
    <w:tmpl w:val="AC14F890"/>
    <w:lvl w:ilvl="0" w:tplc="9726364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5E17A7D"/>
    <w:multiLevelType w:val="hybridMultilevel"/>
    <w:tmpl w:val="324866B8"/>
    <w:lvl w:ilvl="0" w:tplc="29309BF0">
      <w:start w:val="1"/>
      <w:numFmt w:val="upperRoman"/>
      <w:lvlText w:val="%1."/>
      <w:lvlJc w:val="left"/>
      <w:pPr>
        <w:ind w:left="4412" w:hanging="720"/>
      </w:pPr>
      <w:rPr>
        <w:rFonts w:ascii="Arial" w:eastAsia="Arial Unicode MS" w:hAnsi="Arial" w:cs="Arial"/>
        <w:b w:val="0"/>
        <w:i w:val="0"/>
      </w:rPr>
    </w:lvl>
    <w:lvl w:ilvl="1" w:tplc="080A0019">
      <w:start w:val="1"/>
      <w:numFmt w:val="lowerLetter"/>
      <w:lvlText w:val="%2."/>
      <w:lvlJc w:val="left"/>
      <w:pPr>
        <w:ind w:left="4772" w:hanging="360"/>
      </w:pPr>
    </w:lvl>
    <w:lvl w:ilvl="2" w:tplc="080A001B" w:tentative="1">
      <w:start w:val="1"/>
      <w:numFmt w:val="lowerRoman"/>
      <w:lvlText w:val="%3."/>
      <w:lvlJc w:val="right"/>
      <w:pPr>
        <w:ind w:left="5492" w:hanging="180"/>
      </w:pPr>
    </w:lvl>
    <w:lvl w:ilvl="3" w:tplc="080A000F" w:tentative="1">
      <w:start w:val="1"/>
      <w:numFmt w:val="decimal"/>
      <w:lvlText w:val="%4."/>
      <w:lvlJc w:val="left"/>
      <w:pPr>
        <w:ind w:left="6212" w:hanging="360"/>
      </w:pPr>
    </w:lvl>
    <w:lvl w:ilvl="4" w:tplc="080A0019" w:tentative="1">
      <w:start w:val="1"/>
      <w:numFmt w:val="lowerLetter"/>
      <w:lvlText w:val="%5."/>
      <w:lvlJc w:val="left"/>
      <w:pPr>
        <w:ind w:left="6932" w:hanging="360"/>
      </w:pPr>
    </w:lvl>
    <w:lvl w:ilvl="5" w:tplc="080A001B" w:tentative="1">
      <w:start w:val="1"/>
      <w:numFmt w:val="lowerRoman"/>
      <w:lvlText w:val="%6."/>
      <w:lvlJc w:val="right"/>
      <w:pPr>
        <w:ind w:left="7652" w:hanging="180"/>
      </w:pPr>
    </w:lvl>
    <w:lvl w:ilvl="6" w:tplc="080A000F" w:tentative="1">
      <w:start w:val="1"/>
      <w:numFmt w:val="decimal"/>
      <w:lvlText w:val="%7."/>
      <w:lvlJc w:val="left"/>
      <w:pPr>
        <w:ind w:left="8372" w:hanging="360"/>
      </w:pPr>
    </w:lvl>
    <w:lvl w:ilvl="7" w:tplc="080A0019" w:tentative="1">
      <w:start w:val="1"/>
      <w:numFmt w:val="lowerLetter"/>
      <w:lvlText w:val="%8."/>
      <w:lvlJc w:val="left"/>
      <w:pPr>
        <w:ind w:left="9092" w:hanging="360"/>
      </w:pPr>
    </w:lvl>
    <w:lvl w:ilvl="8" w:tplc="080A001B" w:tentative="1">
      <w:start w:val="1"/>
      <w:numFmt w:val="lowerRoman"/>
      <w:lvlText w:val="%9."/>
      <w:lvlJc w:val="right"/>
      <w:pPr>
        <w:ind w:left="9812" w:hanging="180"/>
      </w:pPr>
    </w:lvl>
  </w:abstractNum>
  <w:abstractNum w:abstractNumId="5" w15:restartNumberingAfterBreak="0">
    <w:nsid w:val="17E311C7"/>
    <w:multiLevelType w:val="hybridMultilevel"/>
    <w:tmpl w:val="6C52F9F6"/>
    <w:lvl w:ilvl="0" w:tplc="080A0001">
      <w:start w:val="1"/>
      <w:numFmt w:val="bullet"/>
      <w:lvlText w:val=""/>
      <w:lvlJc w:val="left"/>
      <w:pPr>
        <w:ind w:left="2562" w:hanging="360"/>
      </w:pPr>
      <w:rPr>
        <w:rFonts w:ascii="Symbol" w:hAnsi="Symbol" w:hint="default"/>
      </w:rPr>
    </w:lvl>
    <w:lvl w:ilvl="1" w:tplc="080A0003" w:tentative="1">
      <w:start w:val="1"/>
      <w:numFmt w:val="bullet"/>
      <w:lvlText w:val="o"/>
      <w:lvlJc w:val="left"/>
      <w:pPr>
        <w:ind w:left="3282" w:hanging="360"/>
      </w:pPr>
      <w:rPr>
        <w:rFonts w:ascii="Courier New" w:hAnsi="Courier New" w:cs="Courier New" w:hint="default"/>
      </w:rPr>
    </w:lvl>
    <w:lvl w:ilvl="2" w:tplc="080A0005" w:tentative="1">
      <w:start w:val="1"/>
      <w:numFmt w:val="bullet"/>
      <w:lvlText w:val=""/>
      <w:lvlJc w:val="left"/>
      <w:pPr>
        <w:ind w:left="4002" w:hanging="360"/>
      </w:pPr>
      <w:rPr>
        <w:rFonts w:ascii="Wingdings" w:hAnsi="Wingdings" w:hint="default"/>
      </w:rPr>
    </w:lvl>
    <w:lvl w:ilvl="3" w:tplc="080A0001" w:tentative="1">
      <w:start w:val="1"/>
      <w:numFmt w:val="bullet"/>
      <w:lvlText w:val=""/>
      <w:lvlJc w:val="left"/>
      <w:pPr>
        <w:ind w:left="4722" w:hanging="360"/>
      </w:pPr>
      <w:rPr>
        <w:rFonts w:ascii="Symbol" w:hAnsi="Symbol" w:hint="default"/>
      </w:rPr>
    </w:lvl>
    <w:lvl w:ilvl="4" w:tplc="080A0003" w:tentative="1">
      <w:start w:val="1"/>
      <w:numFmt w:val="bullet"/>
      <w:lvlText w:val="o"/>
      <w:lvlJc w:val="left"/>
      <w:pPr>
        <w:ind w:left="5442" w:hanging="360"/>
      </w:pPr>
      <w:rPr>
        <w:rFonts w:ascii="Courier New" w:hAnsi="Courier New" w:cs="Courier New" w:hint="default"/>
      </w:rPr>
    </w:lvl>
    <w:lvl w:ilvl="5" w:tplc="080A0005" w:tentative="1">
      <w:start w:val="1"/>
      <w:numFmt w:val="bullet"/>
      <w:lvlText w:val=""/>
      <w:lvlJc w:val="left"/>
      <w:pPr>
        <w:ind w:left="6162" w:hanging="360"/>
      </w:pPr>
      <w:rPr>
        <w:rFonts w:ascii="Wingdings" w:hAnsi="Wingdings" w:hint="default"/>
      </w:rPr>
    </w:lvl>
    <w:lvl w:ilvl="6" w:tplc="080A0001" w:tentative="1">
      <w:start w:val="1"/>
      <w:numFmt w:val="bullet"/>
      <w:lvlText w:val=""/>
      <w:lvlJc w:val="left"/>
      <w:pPr>
        <w:ind w:left="6882" w:hanging="360"/>
      </w:pPr>
      <w:rPr>
        <w:rFonts w:ascii="Symbol" w:hAnsi="Symbol" w:hint="default"/>
      </w:rPr>
    </w:lvl>
    <w:lvl w:ilvl="7" w:tplc="080A0003" w:tentative="1">
      <w:start w:val="1"/>
      <w:numFmt w:val="bullet"/>
      <w:lvlText w:val="o"/>
      <w:lvlJc w:val="left"/>
      <w:pPr>
        <w:ind w:left="7602" w:hanging="360"/>
      </w:pPr>
      <w:rPr>
        <w:rFonts w:ascii="Courier New" w:hAnsi="Courier New" w:cs="Courier New" w:hint="default"/>
      </w:rPr>
    </w:lvl>
    <w:lvl w:ilvl="8" w:tplc="080A0005" w:tentative="1">
      <w:start w:val="1"/>
      <w:numFmt w:val="bullet"/>
      <w:lvlText w:val=""/>
      <w:lvlJc w:val="left"/>
      <w:pPr>
        <w:ind w:left="8322" w:hanging="360"/>
      </w:pPr>
      <w:rPr>
        <w:rFonts w:ascii="Wingdings" w:hAnsi="Wingdings" w:hint="default"/>
      </w:rPr>
    </w:lvl>
  </w:abstractNum>
  <w:abstractNum w:abstractNumId="6"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A4D05"/>
    <w:multiLevelType w:val="hybridMultilevel"/>
    <w:tmpl w:val="0818DAC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1AF01C6"/>
    <w:multiLevelType w:val="hybridMultilevel"/>
    <w:tmpl w:val="5600D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68208E"/>
    <w:multiLevelType w:val="hybridMultilevel"/>
    <w:tmpl w:val="56F09932"/>
    <w:lvl w:ilvl="0" w:tplc="15469C5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88D75D9"/>
    <w:multiLevelType w:val="hybridMultilevel"/>
    <w:tmpl w:val="636A49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D414228"/>
    <w:multiLevelType w:val="hybridMultilevel"/>
    <w:tmpl w:val="ACEA28B0"/>
    <w:lvl w:ilvl="0" w:tplc="C032B66A">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5"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15:restartNumberingAfterBreak="0">
    <w:nsid w:val="3663259F"/>
    <w:multiLevelType w:val="hybridMultilevel"/>
    <w:tmpl w:val="0284FC88"/>
    <w:lvl w:ilvl="0" w:tplc="421464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7"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9EF0E26"/>
    <w:multiLevelType w:val="hybridMultilevel"/>
    <w:tmpl w:val="DD5A4086"/>
    <w:lvl w:ilvl="0" w:tplc="036A71DE">
      <w:start w:val="1"/>
      <w:numFmt w:val="upperRoman"/>
      <w:lvlText w:val="%1."/>
      <w:lvlJc w:val="left"/>
      <w:pPr>
        <w:ind w:left="1080" w:hanging="720"/>
      </w:pPr>
      <w:rPr>
        <w:rFonts w:eastAsia="Arial Unicode M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0" w15:restartNumberingAfterBreak="0">
    <w:nsid w:val="56972177"/>
    <w:multiLevelType w:val="hybridMultilevel"/>
    <w:tmpl w:val="385C8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2" w15:restartNumberingAfterBreak="0">
    <w:nsid w:val="5FDE01CD"/>
    <w:multiLevelType w:val="hybridMultilevel"/>
    <w:tmpl w:val="97FC0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AFA156B"/>
    <w:multiLevelType w:val="hybridMultilevel"/>
    <w:tmpl w:val="34282F3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7"/>
  </w:num>
  <w:num w:numId="4">
    <w:abstractNumId w:val="2"/>
  </w:num>
  <w:num w:numId="5">
    <w:abstractNumId w:val="6"/>
  </w:num>
  <w:num w:numId="6">
    <w:abstractNumId w:val="4"/>
  </w:num>
  <w:num w:numId="7">
    <w:abstractNumId w:val="15"/>
  </w:num>
  <w:num w:numId="8">
    <w:abstractNumId w:val="21"/>
  </w:num>
  <w:num w:numId="9">
    <w:abstractNumId w:val="12"/>
  </w:num>
  <w:num w:numId="10">
    <w:abstractNumId w:val="17"/>
  </w:num>
  <w:num w:numId="11">
    <w:abstractNumId w:val="13"/>
  </w:num>
  <w:num w:numId="12">
    <w:abstractNumId w:val="8"/>
  </w:num>
  <w:num w:numId="13">
    <w:abstractNumId w:val="22"/>
  </w:num>
  <w:num w:numId="14">
    <w:abstractNumId w:val="0"/>
  </w:num>
  <w:num w:numId="15">
    <w:abstractNumId w:val="23"/>
  </w:num>
  <w:num w:numId="16">
    <w:abstractNumId w:val="18"/>
  </w:num>
  <w:num w:numId="17">
    <w:abstractNumId w:val="10"/>
  </w:num>
  <w:num w:numId="18">
    <w:abstractNumId w:val="16"/>
  </w:num>
  <w:num w:numId="19">
    <w:abstractNumId w:val="20"/>
  </w:num>
  <w:num w:numId="20">
    <w:abstractNumId w:val="5"/>
  </w:num>
  <w:num w:numId="21">
    <w:abstractNumId w:val="1"/>
  </w:num>
  <w:num w:numId="22">
    <w:abstractNumId w:val="3"/>
  </w:num>
  <w:num w:numId="23">
    <w:abstractNumId w:val="11"/>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1304"/>
    <w:rsid w:val="00004EB9"/>
    <w:rsid w:val="00043054"/>
    <w:rsid w:val="00082F7A"/>
    <w:rsid w:val="00090C65"/>
    <w:rsid w:val="000A0475"/>
    <w:rsid w:val="000A3D91"/>
    <w:rsid w:val="000A5BAC"/>
    <w:rsid w:val="000A6F40"/>
    <w:rsid w:val="000B0903"/>
    <w:rsid w:val="000B31BD"/>
    <w:rsid w:val="000C3483"/>
    <w:rsid w:val="000D02E3"/>
    <w:rsid w:val="000D6AC7"/>
    <w:rsid w:val="000E016B"/>
    <w:rsid w:val="000E167E"/>
    <w:rsid w:val="000F76BA"/>
    <w:rsid w:val="000F7D99"/>
    <w:rsid w:val="00104745"/>
    <w:rsid w:val="0011580D"/>
    <w:rsid w:val="001158A4"/>
    <w:rsid w:val="00126873"/>
    <w:rsid w:val="00135C6F"/>
    <w:rsid w:val="00163B48"/>
    <w:rsid w:val="001646CB"/>
    <w:rsid w:val="00183625"/>
    <w:rsid w:val="00192A3A"/>
    <w:rsid w:val="001A5E99"/>
    <w:rsid w:val="001B22A6"/>
    <w:rsid w:val="001B2903"/>
    <w:rsid w:val="001B3725"/>
    <w:rsid w:val="001C18F4"/>
    <w:rsid w:val="001C76F7"/>
    <w:rsid w:val="001D514E"/>
    <w:rsid w:val="002138A7"/>
    <w:rsid w:val="0021422B"/>
    <w:rsid w:val="00224308"/>
    <w:rsid w:val="0022601B"/>
    <w:rsid w:val="00231DDE"/>
    <w:rsid w:val="002345FB"/>
    <w:rsid w:val="00240E4A"/>
    <w:rsid w:val="00247EC5"/>
    <w:rsid w:val="00260B2F"/>
    <w:rsid w:val="002675EB"/>
    <w:rsid w:val="00267627"/>
    <w:rsid w:val="002701E9"/>
    <w:rsid w:val="0028441A"/>
    <w:rsid w:val="0029227B"/>
    <w:rsid w:val="00292C1F"/>
    <w:rsid w:val="002B1ACA"/>
    <w:rsid w:val="002B6959"/>
    <w:rsid w:val="002C5727"/>
    <w:rsid w:val="002D1560"/>
    <w:rsid w:val="002D3A8B"/>
    <w:rsid w:val="002D3B04"/>
    <w:rsid w:val="002E55B6"/>
    <w:rsid w:val="0031287D"/>
    <w:rsid w:val="003143BF"/>
    <w:rsid w:val="00315225"/>
    <w:rsid w:val="003153D3"/>
    <w:rsid w:val="0031704A"/>
    <w:rsid w:val="003323E5"/>
    <w:rsid w:val="0034150A"/>
    <w:rsid w:val="00351413"/>
    <w:rsid w:val="003557A7"/>
    <w:rsid w:val="00364D66"/>
    <w:rsid w:val="0037150F"/>
    <w:rsid w:val="003840C3"/>
    <w:rsid w:val="00396F72"/>
    <w:rsid w:val="003A7F26"/>
    <w:rsid w:val="003B6915"/>
    <w:rsid w:val="003D0E86"/>
    <w:rsid w:val="003D1BF3"/>
    <w:rsid w:val="003D5B69"/>
    <w:rsid w:val="003D6FD8"/>
    <w:rsid w:val="003E3B96"/>
    <w:rsid w:val="004137D8"/>
    <w:rsid w:val="004164F9"/>
    <w:rsid w:val="00432971"/>
    <w:rsid w:val="004375D3"/>
    <w:rsid w:val="00441858"/>
    <w:rsid w:val="00443F45"/>
    <w:rsid w:val="004552FD"/>
    <w:rsid w:val="00457219"/>
    <w:rsid w:val="00460010"/>
    <w:rsid w:val="00461F00"/>
    <w:rsid w:val="00462BD4"/>
    <w:rsid w:val="00471043"/>
    <w:rsid w:val="00482496"/>
    <w:rsid w:val="00483CC8"/>
    <w:rsid w:val="004861AD"/>
    <w:rsid w:val="004A0733"/>
    <w:rsid w:val="004A18B6"/>
    <w:rsid w:val="004A75BA"/>
    <w:rsid w:val="004C1D9E"/>
    <w:rsid w:val="004D3676"/>
    <w:rsid w:val="004D381F"/>
    <w:rsid w:val="00500700"/>
    <w:rsid w:val="00502DCE"/>
    <w:rsid w:val="00516EAA"/>
    <w:rsid w:val="0052683D"/>
    <w:rsid w:val="00541994"/>
    <w:rsid w:val="005421E5"/>
    <w:rsid w:val="0054647F"/>
    <w:rsid w:val="005837B4"/>
    <w:rsid w:val="0058469C"/>
    <w:rsid w:val="00590BE2"/>
    <w:rsid w:val="00596A0D"/>
    <w:rsid w:val="005B557F"/>
    <w:rsid w:val="005B7790"/>
    <w:rsid w:val="005C265E"/>
    <w:rsid w:val="005E344F"/>
    <w:rsid w:val="005F4E79"/>
    <w:rsid w:val="005F5A51"/>
    <w:rsid w:val="006039DC"/>
    <w:rsid w:val="00611897"/>
    <w:rsid w:val="00631E89"/>
    <w:rsid w:val="00655DDC"/>
    <w:rsid w:val="00662909"/>
    <w:rsid w:val="00667E66"/>
    <w:rsid w:val="0068588B"/>
    <w:rsid w:val="00686A50"/>
    <w:rsid w:val="006878A5"/>
    <w:rsid w:val="006969E6"/>
    <w:rsid w:val="006B122E"/>
    <w:rsid w:val="006B29F2"/>
    <w:rsid w:val="006C4601"/>
    <w:rsid w:val="006E7021"/>
    <w:rsid w:val="00720DF8"/>
    <w:rsid w:val="00723EFB"/>
    <w:rsid w:val="00737808"/>
    <w:rsid w:val="00746820"/>
    <w:rsid w:val="0075382A"/>
    <w:rsid w:val="00760627"/>
    <w:rsid w:val="00777F6B"/>
    <w:rsid w:val="007957A2"/>
    <w:rsid w:val="007964C8"/>
    <w:rsid w:val="00797CA4"/>
    <w:rsid w:val="007A3A8F"/>
    <w:rsid w:val="007B0F6F"/>
    <w:rsid w:val="007B6EF1"/>
    <w:rsid w:val="007D0F23"/>
    <w:rsid w:val="007D1541"/>
    <w:rsid w:val="007D5A09"/>
    <w:rsid w:val="007E51B8"/>
    <w:rsid w:val="007E655D"/>
    <w:rsid w:val="0080725F"/>
    <w:rsid w:val="00810474"/>
    <w:rsid w:val="008171B6"/>
    <w:rsid w:val="00820C64"/>
    <w:rsid w:val="00825313"/>
    <w:rsid w:val="00835D42"/>
    <w:rsid w:val="00847F9F"/>
    <w:rsid w:val="00857174"/>
    <w:rsid w:val="00864F43"/>
    <w:rsid w:val="00881641"/>
    <w:rsid w:val="008867F2"/>
    <w:rsid w:val="008A3EA4"/>
    <w:rsid w:val="008B394E"/>
    <w:rsid w:val="008C21E2"/>
    <w:rsid w:val="008C46EC"/>
    <w:rsid w:val="008C6604"/>
    <w:rsid w:val="008D6CFA"/>
    <w:rsid w:val="00912C9F"/>
    <w:rsid w:val="00913F62"/>
    <w:rsid w:val="00916BB4"/>
    <w:rsid w:val="00920535"/>
    <w:rsid w:val="00925607"/>
    <w:rsid w:val="0093057A"/>
    <w:rsid w:val="00930BE0"/>
    <w:rsid w:val="0093541A"/>
    <w:rsid w:val="00952E8B"/>
    <w:rsid w:val="00953DF5"/>
    <w:rsid w:val="00955C31"/>
    <w:rsid w:val="00960360"/>
    <w:rsid w:val="0097167C"/>
    <w:rsid w:val="009739D0"/>
    <w:rsid w:val="00974F64"/>
    <w:rsid w:val="0098513E"/>
    <w:rsid w:val="009B792E"/>
    <w:rsid w:val="009C3C2B"/>
    <w:rsid w:val="009C6E8D"/>
    <w:rsid w:val="00A031E2"/>
    <w:rsid w:val="00A43468"/>
    <w:rsid w:val="00A43A1F"/>
    <w:rsid w:val="00A52F42"/>
    <w:rsid w:val="00A543D8"/>
    <w:rsid w:val="00A5546D"/>
    <w:rsid w:val="00A56971"/>
    <w:rsid w:val="00A6080A"/>
    <w:rsid w:val="00A706BB"/>
    <w:rsid w:val="00A71F3E"/>
    <w:rsid w:val="00A9137C"/>
    <w:rsid w:val="00A92D86"/>
    <w:rsid w:val="00A94ED6"/>
    <w:rsid w:val="00AA103D"/>
    <w:rsid w:val="00AA5446"/>
    <w:rsid w:val="00AB1FD7"/>
    <w:rsid w:val="00AD0240"/>
    <w:rsid w:val="00AE3470"/>
    <w:rsid w:val="00B062D9"/>
    <w:rsid w:val="00B2223F"/>
    <w:rsid w:val="00B24175"/>
    <w:rsid w:val="00B2764F"/>
    <w:rsid w:val="00B3340D"/>
    <w:rsid w:val="00B4223C"/>
    <w:rsid w:val="00B43BE3"/>
    <w:rsid w:val="00B60E68"/>
    <w:rsid w:val="00B707A6"/>
    <w:rsid w:val="00B70C17"/>
    <w:rsid w:val="00B74D42"/>
    <w:rsid w:val="00B75B3A"/>
    <w:rsid w:val="00B84C0A"/>
    <w:rsid w:val="00B93195"/>
    <w:rsid w:val="00B972D7"/>
    <w:rsid w:val="00BB58C4"/>
    <w:rsid w:val="00BD26E6"/>
    <w:rsid w:val="00BD2B59"/>
    <w:rsid w:val="00BE32B8"/>
    <w:rsid w:val="00BE576B"/>
    <w:rsid w:val="00BE7281"/>
    <w:rsid w:val="00BF76BC"/>
    <w:rsid w:val="00C13F04"/>
    <w:rsid w:val="00C15AD7"/>
    <w:rsid w:val="00C3089F"/>
    <w:rsid w:val="00C32C5A"/>
    <w:rsid w:val="00C34CD0"/>
    <w:rsid w:val="00C51BA1"/>
    <w:rsid w:val="00C544FC"/>
    <w:rsid w:val="00C66E62"/>
    <w:rsid w:val="00C762A3"/>
    <w:rsid w:val="00CA0DED"/>
    <w:rsid w:val="00CA1F7C"/>
    <w:rsid w:val="00CA3E68"/>
    <w:rsid w:val="00CC160E"/>
    <w:rsid w:val="00CC2540"/>
    <w:rsid w:val="00CC2CC1"/>
    <w:rsid w:val="00CC3B99"/>
    <w:rsid w:val="00CD6BCE"/>
    <w:rsid w:val="00CF1A95"/>
    <w:rsid w:val="00CF33EC"/>
    <w:rsid w:val="00D26912"/>
    <w:rsid w:val="00D3454F"/>
    <w:rsid w:val="00D4560A"/>
    <w:rsid w:val="00D62B6C"/>
    <w:rsid w:val="00D670E4"/>
    <w:rsid w:val="00D801D7"/>
    <w:rsid w:val="00D82A40"/>
    <w:rsid w:val="00D903A6"/>
    <w:rsid w:val="00DA0036"/>
    <w:rsid w:val="00DB1949"/>
    <w:rsid w:val="00DB727E"/>
    <w:rsid w:val="00DC1F71"/>
    <w:rsid w:val="00DD1084"/>
    <w:rsid w:val="00DD2127"/>
    <w:rsid w:val="00DE096C"/>
    <w:rsid w:val="00DE7922"/>
    <w:rsid w:val="00DF0A91"/>
    <w:rsid w:val="00DF2423"/>
    <w:rsid w:val="00DF7A8C"/>
    <w:rsid w:val="00E0037E"/>
    <w:rsid w:val="00E014D4"/>
    <w:rsid w:val="00E02535"/>
    <w:rsid w:val="00E14E14"/>
    <w:rsid w:val="00E25AE4"/>
    <w:rsid w:val="00E32AEF"/>
    <w:rsid w:val="00E45D45"/>
    <w:rsid w:val="00E67927"/>
    <w:rsid w:val="00E965EF"/>
    <w:rsid w:val="00EB7711"/>
    <w:rsid w:val="00EC5815"/>
    <w:rsid w:val="00ED0A0E"/>
    <w:rsid w:val="00EE640D"/>
    <w:rsid w:val="00F064BC"/>
    <w:rsid w:val="00F16ABE"/>
    <w:rsid w:val="00F224D5"/>
    <w:rsid w:val="00F2570F"/>
    <w:rsid w:val="00F32DFB"/>
    <w:rsid w:val="00F44A28"/>
    <w:rsid w:val="00F468F3"/>
    <w:rsid w:val="00F51EC1"/>
    <w:rsid w:val="00F54907"/>
    <w:rsid w:val="00F606EC"/>
    <w:rsid w:val="00F736D2"/>
    <w:rsid w:val="00F812A8"/>
    <w:rsid w:val="00F83B11"/>
    <w:rsid w:val="00F90BE2"/>
    <w:rsid w:val="00F94827"/>
    <w:rsid w:val="00F960A1"/>
    <w:rsid w:val="00FA7782"/>
    <w:rsid w:val="00FB0927"/>
    <w:rsid w:val="00FB2176"/>
    <w:rsid w:val="00FB2291"/>
    <w:rsid w:val="00FC33C6"/>
    <w:rsid w:val="00FD156F"/>
    <w:rsid w:val="00FD4D5B"/>
    <w:rsid w:val="00FE1C69"/>
    <w:rsid w:val="00FE3E58"/>
    <w:rsid w:val="00FE4963"/>
    <w:rsid w:val="00FE53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paragraph" w:styleId="Ttulo1">
    <w:name w:val="heading 1"/>
    <w:basedOn w:val="Normal"/>
    <w:next w:val="Normal"/>
    <w:link w:val="Ttulo1Car"/>
    <w:uiPriority w:val="9"/>
    <w:qFormat/>
    <w:rsid w:val="008D6CF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 w:type="paragraph" w:styleId="Textoindependiente">
    <w:name w:val="Body Text"/>
    <w:basedOn w:val="Normal"/>
    <w:link w:val="TextoindependienteCar"/>
    <w:uiPriority w:val="99"/>
    <w:unhideWhenUsed/>
    <w:rsid w:val="00913F62"/>
    <w:pPr>
      <w:spacing w:after="120"/>
    </w:pPr>
  </w:style>
  <w:style w:type="character" w:customStyle="1" w:styleId="TextoindependienteCar">
    <w:name w:val="Texto independiente Car"/>
    <w:basedOn w:val="Fuentedeprrafopredeter"/>
    <w:link w:val="Textoindependiente"/>
    <w:uiPriority w:val="99"/>
    <w:rsid w:val="00913F62"/>
    <w:rPr>
      <w:rFonts w:ascii="Times New Roman" w:eastAsia="Times New Roman" w:hAnsi="Times New Roman" w:cs="Times New Roman"/>
      <w:sz w:val="24"/>
      <w:szCs w:val="24"/>
      <w:lang w:val="es-MX" w:eastAsia="es-ES"/>
    </w:rPr>
  </w:style>
  <w:style w:type="paragraph" w:styleId="Textoindependienteprimerasangra">
    <w:name w:val="Body Text First Indent"/>
    <w:basedOn w:val="Textoindependiente"/>
    <w:link w:val="TextoindependienteprimerasangraCar"/>
    <w:uiPriority w:val="99"/>
    <w:rsid w:val="00913F62"/>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913F62"/>
    <w:rPr>
      <w:rFonts w:ascii="Calibri" w:eastAsia="Times New Roman" w:hAnsi="Calibri" w:cs="Times New Roman"/>
      <w:sz w:val="26"/>
      <w:szCs w:val="24"/>
      <w:lang w:val="es-MX" w:eastAsia="es-ES"/>
    </w:rPr>
  </w:style>
  <w:style w:type="character" w:customStyle="1" w:styleId="Ttulo1Car">
    <w:name w:val="Título 1 Car"/>
    <w:basedOn w:val="Fuentedeprrafopredeter"/>
    <w:link w:val="Ttulo1"/>
    <w:uiPriority w:val="9"/>
    <w:rsid w:val="008D6CFA"/>
    <w:rPr>
      <w:rFonts w:asciiTheme="majorHAnsi" w:eastAsiaTheme="majorEastAsia" w:hAnsiTheme="majorHAnsi" w:cstheme="majorBidi"/>
      <w:color w:val="2F5496" w:themeColor="accent1" w:themeShade="BF"/>
      <w:sz w:val="32"/>
      <w:szCs w:val="32"/>
      <w:lang w:val="es-MX" w:eastAsia="es-ES"/>
    </w:rPr>
  </w:style>
  <w:style w:type="paragraph" w:styleId="Lista2">
    <w:name w:val="List 2"/>
    <w:basedOn w:val="Normal"/>
    <w:uiPriority w:val="99"/>
    <w:unhideWhenUsed/>
    <w:rsid w:val="008D6CFA"/>
    <w:pPr>
      <w:ind w:left="566" w:hanging="283"/>
      <w:contextualSpacing/>
    </w:pPr>
  </w:style>
  <w:style w:type="paragraph" w:styleId="Sangradetextonormal">
    <w:name w:val="Body Text Indent"/>
    <w:basedOn w:val="Normal"/>
    <w:link w:val="SangradetextonormalCar"/>
    <w:uiPriority w:val="99"/>
    <w:unhideWhenUsed/>
    <w:rsid w:val="008D6CFA"/>
    <w:pPr>
      <w:spacing w:after="120"/>
      <w:ind w:left="283"/>
    </w:pPr>
  </w:style>
  <w:style w:type="character" w:customStyle="1" w:styleId="SangradetextonormalCar">
    <w:name w:val="Sangría de texto normal Car"/>
    <w:basedOn w:val="Fuentedeprrafopredeter"/>
    <w:link w:val="Sangradetextonormal"/>
    <w:uiPriority w:val="99"/>
    <w:rsid w:val="008D6CFA"/>
    <w:rPr>
      <w:rFonts w:ascii="Times New Roman" w:eastAsia="Times New Roman" w:hAnsi="Times New Roman" w:cs="Times New Roman"/>
      <w:sz w:val="24"/>
      <w:szCs w:val="24"/>
      <w:lang w:val="es-MX" w:eastAsia="es-ES"/>
    </w:rPr>
  </w:style>
  <w:style w:type="paragraph" w:styleId="Textoindependienteprimerasangra2">
    <w:name w:val="Body Text First Indent 2"/>
    <w:basedOn w:val="Sangradetextonormal"/>
    <w:link w:val="Textoindependienteprimerasangra2Car"/>
    <w:uiPriority w:val="99"/>
    <w:unhideWhenUsed/>
    <w:rsid w:val="008D6CFA"/>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8D6CFA"/>
    <w:rPr>
      <w:rFonts w:ascii="Times New Roman" w:eastAsia="Times New Roman" w:hAnsi="Times New Roman" w:cs="Times New Roman"/>
      <w:sz w:val="24"/>
      <w:szCs w:val="24"/>
      <w:lang w:val="es-MX" w:eastAsia="es-ES"/>
    </w:rPr>
  </w:style>
  <w:style w:type="paragraph" w:styleId="Listaconvietas2">
    <w:name w:val="List Bullet 2"/>
    <w:basedOn w:val="Normal"/>
    <w:uiPriority w:val="99"/>
    <w:unhideWhenUsed/>
    <w:rsid w:val="00EB7711"/>
    <w:pPr>
      <w:numPr>
        <w:numId w:val="14"/>
      </w:numPr>
      <w:contextualSpacing/>
    </w:pPr>
  </w:style>
  <w:style w:type="character" w:customStyle="1" w:styleId="corte4fondoCar1">
    <w:name w:val="corte4 fondo Car1"/>
    <w:link w:val="corte4fondo"/>
    <w:locked/>
    <w:rsid w:val="00B707A6"/>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B707A6"/>
    <w:pPr>
      <w:spacing w:line="360" w:lineRule="auto"/>
      <w:ind w:firstLine="709"/>
      <w:jc w:val="both"/>
    </w:pPr>
    <w:rPr>
      <w:rFonts w:ascii="Arial" w:hAnsi="Arial"/>
      <w:sz w:val="30"/>
      <w:szCs w:val="20"/>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892EA-F381-4844-95B6-F94EF2518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1429</Words>
  <Characters>7860</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 3</cp:lastModifiedBy>
  <cp:revision>7</cp:revision>
  <cp:lastPrinted>2023-11-28T20:33:00Z</cp:lastPrinted>
  <dcterms:created xsi:type="dcterms:W3CDTF">2023-11-24T19:33:00Z</dcterms:created>
  <dcterms:modified xsi:type="dcterms:W3CDTF">2023-11-28T20:33:00Z</dcterms:modified>
</cp:coreProperties>
</file>