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97E" w:rsidRPr="00CB697E" w:rsidRDefault="00CB697E" w:rsidP="00CB697E">
      <w:pPr>
        <w:spacing w:after="0" w:line="240" w:lineRule="auto"/>
        <w:ind w:left="3969"/>
        <w:jc w:val="both"/>
        <w:rPr>
          <w:rFonts w:ascii="Arial" w:eastAsia="Calibri" w:hAnsi="Arial" w:cs="Arial"/>
          <w:b/>
          <w:sz w:val="20"/>
          <w:szCs w:val="20"/>
        </w:rPr>
      </w:pPr>
      <w:r w:rsidRPr="00CB697E">
        <w:rPr>
          <w:rFonts w:ascii="Arial" w:eastAsia="Calibri" w:hAnsi="Arial" w:cs="Arial"/>
          <w:b/>
          <w:sz w:val="20"/>
          <w:szCs w:val="20"/>
        </w:rPr>
        <w:t>TRIBUNAL ESTATAL DE JUSTICIA ADMINISTRATIVA</w:t>
      </w:r>
    </w:p>
    <w:p w:rsidR="00CB697E" w:rsidRPr="00CB697E" w:rsidRDefault="00CB697E" w:rsidP="00CB697E">
      <w:pPr>
        <w:spacing w:after="0" w:line="240" w:lineRule="auto"/>
        <w:ind w:left="3969"/>
        <w:jc w:val="both"/>
        <w:rPr>
          <w:rFonts w:ascii="Arial" w:eastAsia="Calibri" w:hAnsi="Arial" w:cs="Arial"/>
          <w:b/>
          <w:sz w:val="20"/>
          <w:szCs w:val="20"/>
        </w:rPr>
      </w:pPr>
    </w:p>
    <w:p w:rsidR="00CB697E" w:rsidRPr="00CB697E" w:rsidRDefault="00CB697E" w:rsidP="00CB697E">
      <w:pPr>
        <w:spacing w:after="0" w:line="240" w:lineRule="auto"/>
        <w:ind w:left="3969"/>
        <w:jc w:val="both"/>
        <w:rPr>
          <w:rFonts w:ascii="Arial" w:eastAsia="Calibri" w:hAnsi="Arial" w:cs="Arial"/>
          <w:b/>
          <w:sz w:val="20"/>
          <w:szCs w:val="20"/>
        </w:rPr>
      </w:pPr>
      <w:r w:rsidRPr="00CB697E">
        <w:rPr>
          <w:rFonts w:ascii="Arial" w:eastAsia="Calibri" w:hAnsi="Arial" w:cs="Arial"/>
          <w:b/>
          <w:sz w:val="20"/>
          <w:szCs w:val="20"/>
        </w:rPr>
        <w:t>TERCERA SALA UNITARIA</w:t>
      </w:r>
    </w:p>
    <w:p w:rsidR="00CB697E" w:rsidRPr="00CB697E" w:rsidRDefault="00CB697E" w:rsidP="00CB697E">
      <w:pPr>
        <w:spacing w:after="0" w:line="240" w:lineRule="auto"/>
        <w:ind w:left="3969"/>
        <w:jc w:val="center"/>
        <w:rPr>
          <w:rFonts w:ascii="Arial" w:eastAsia="Calibri" w:hAnsi="Arial" w:cs="Arial"/>
          <w:b/>
          <w:sz w:val="20"/>
          <w:szCs w:val="20"/>
        </w:rPr>
      </w:pPr>
    </w:p>
    <w:p w:rsidR="00CB697E" w:rsidRPr="00CB697E" w:rsidRDefault="00CB697E" w:rsidP="00CB697E">
      <w:pPr>
        <w:spacing w:after="0" w:line="240" w:lineRule="auto"/>
        <w:ind w:left="3969"/>
        <w:jc w:val="both"/>
        <w:rPr>
          <w:rFonts w:ascii="Arial" w:eastAsia="Calibri" w:hAnsi="Arial" w:cs="Arial"/>
          <w:b/>
          <w:sz w:val="20"/>
          <w:szCs w:val="20"/>
        </w:rPr>
      </w:pPr>
      <w:r w:rsidRPr="00CB697E">
        <w:rPr>
          <w:rFonts w:ascii="Arial" w:eastAsia="Calibri" w:hAnsi="Arial" w:cs="Arial"/>
          <w:b/>
          <w:sz w:val="20"/>
          <w:szCs w:val="20"/>
        </w:rPr>
        <w:t xml:space="preserve">EXPEDIENTE: </w:t>
      </w:r>
      <w:r w:rsidR="003761DE">
        <w:rPr>
          <w:rFonts w:ascii="Arial" w:eastAsia="Calibri" w:hAnsi="Arial" w:cs="Arial"/>
          <w:b/>
          <w:sz w:val="20"/>
          <w:szCs w:val="20"/>
        </w:rPr>
        <w:t>314</w:t>
      </w:r>
      <w:r w:rsidRPr="00CB697E">
        <w:rPr>
          <w:rFonts w:ascii="Arial" w:eastAsia="Calibri" w:hAnsi="Arial" w:cs="Arial"/>
          <w:b/>
          <w:sz w:val="20"/>
          <w:szCs w:val="20"/>
        </w:rPr>
        <w:t>/202</w:t>
      </w:r>
      <w:r w:rsidR="003761DE">
        <w:rPr>
          <w:rFonts w:ascii="Arial" w:eastAsia="Calibri" w:hAnsi="Arial" w:cs="Arial"/>
          <w:b/>
          <w:sz w:val="20"/>
          <w:szCs w:val="20"/>
        </w:rPr>
        <w:t>3</w:t>
      </w:r>
      <w:r w:rsidRPr="00CB697E">
        <w:rPr>
          <w:rFonts w:ascii="Arial" w:eastAsia="Calibri" w:hAnsi="Arial" w:cs="Arial"/>
          <w:b/>
          <w:sz w:val="20"/>
          <w:szCs w:val="20"/>
        </w:rPr>
        <w:t>-3</w:t>
      </w:r>
    </w:p>
    <w:p w:rsidR="00CB697E" w:rsidRPr="00CB697E" w:rsidRDefault="00CB697E" w:rsidP="00CB697E">
      <w:pPr>
        <w:spacing w:after="0" w:line="240" w:lineRule="auto"/>
        <w:ind w:left="3969"/>
        <w:jc w:val="both"/>
        <w:rPr>
          <w:rFonts w:ascii="Arial" w:eastAsia="Calibri" w:hAnsi="Arial" w:cs="Arial"/>
          <w:b/>
          <w:sz w:val="20"/>
          <w:szCs w:val="20"/>
        </w:rPr>
      </w:pPr>
    </w:p>
    <w:p w:rsidR="00CB697E" w:rsidRPr="00CB697E" w:rsidRDefault="00CB697E" w:rsidP="00CB697E">
      <w:pPr>
        <w:spacing w:after="0" w:line="240" w:lineRule="auto"/>
        <w:ind w:left="3969"/>
        <w:jc w:val="both"/>
        <w:rPr>
          <w:rFonts w:ascii="Arial" w:eastAsia="Calibri" w:hAnsi="Arial" w:cs="Arial"/>
          <w:b/>
          <w:sz w:val="20"/>
          <w:szCs w:val="20"/>
        </w:rPr>
      </w:pPr>
      <w:r w:rsidRPr="00CB697E">
        <w:rPr>
          <w:rFonts w:ascii="Arial" w:eastAsia="Calibri" w:hAnsi="Arial" w:cs="Arial"/>
          <w:b/>
          <w:sz w:val="20"/>
          <w:szCs w:val="20"/>
        </w:rPr>
        <w:t xml:space="preserve">PARTE ACTORA: </w:t>
      </w:r>
    </w:p>
    <w:p w:rsidR="00CB697E" w:rsidRPr="00CB697E" w:rsidRDefault="005300C9" w:rsidP="00CB697E">
      <w:pPr>
        <w:spacing w:after="0" w:line="240" w:lineRule="auto"/>
        <w:ind w:left="3969"/>
        <w:jc w:val="both"/>
        <w:rPr>
          <w:rFonts w:ascii="Arial" w:eastAsia="Calibri" w:hAnsi="Arial" w:cs="Arial"/>
          <w:sz w:val="20"/>
          <w:szCs w:val="20"/>
        </w:rPr>
      </w:pPr>
      <w:r>
        <w:rPr>
          <w:rFonts w:ascii="Arial" w:eastAsia="Calibri" w:hAnsi="Arial" w:cs="Arial"/>
          <w:color w:val="FF0000"/>
          <w:sz w:val="20"/>
          <w:szCs w:val="20"/>
        </w:rPr>
        <w:t>**********</w:t>
      </w:r>
      <w:r w:rsidR="003761DE" w:rsidRPr="00CB697E">
        <w:rPr>
          <w:rFonts w:ascii="Arial" w:eastAsia="Calibri" w:hAnsi="Arial" w:cs="Arial"/>
          <w:sz w:val="20"/>
          <w:szCs w:val="20"/>
        </w:rPr>
        <w:t xml:space="preserve"> </w:t>
      </w:r>
    </w:p>
    <w:p w:rsidR="00CB697E" w:rsidRPr="00CB697E" w:rsidRDefault="00CB697E" w:rsidP="00CB697E">
      <w:pPr>
        <w:spacing w:after="0" w:line="240" w:lineRule="auto"/>
        <w:ind w:left="3969"/>
        <w:jc w:val="both"/>
        <w:rPr>
          <w:rFonts w:ascii="Arial" w:eastAsia="Calibri" w:hAnsi="Arial" w:cs="Arial"/>
          <w:b/>
          <w:sz w:val="20"/>
          <w:szCs w:val="20"/>
        </w:rPr>
      </w:pPr>
      <w:r w:rsidRPr="00CB697E">
        <w:rPr>
          <w:rFonts w:ascii="Arial" w:eastAsia="Calibri" w:hAnsi="Arial" w:cs="Arial"/>
          <w:b/>
          <w:sz w:val="20"/>
          <w:szCs w:val="20"/>
        </w:rPr>
        <w:t>MAGISTRADO:</w:t>
      </w:r>
    </w:p>
    <w:p w:rsidR="00CB697E" w:rsidRPr="00CB697E" w:rsidRDefault="00CB697E" w:rsidP="00CB697E">
      <w:pPr>
        <w:spacing w:after="0" w:line="240" w:lineRule="auto"/>
        <w:ind w:left="3969"/>
        <w:jc w:val="both"/>
        <w:rPr>
          <w:rFonts w:ascii="Arial" w:eastAsia="Calibri" w:hAnsi="Arial" w:cs="Arial"/>
          <w:sz w:val="20"/>
          <w:szCs w:val="20"/>
        </w:rPr>
      </w:pPr>
      <w:r w:rsidRPr="00CB697E">
        <w:rPr>
          <w:rFonts w:ascii="Arial" w:eastAsia="Calibri" w:hAnsi="Arial" w:cs="Arial"/>
          <w:sz w:val="20"/>
          <w:szCs w:val="20"/>
        </w:rPr>
        <w:t>LICENCIADO JORGE ALEJANDRO VERA NOYOLA</w:t>
      </w:r>
    </w:p>
    <w:p w:rsidR="00CB697E" w:rsidRPr="00CB697E" w:rsidRDefault="00CB697E" w:rsidP="00CB697E">
      <w:pPr>
        <w:spacing w:after="0" w:line="240" w:lineRule="auto"/>
        <w:ind w:left="3969"/>
        <w:jc w:val="both"/>
        <w:rPr>
          <w:rFonts w:ascii="Arial" w:eastAsia="Calibri" w:hAnsi="Arial" w:cs="Arial"/>
          <w:sz w:val="20"/>
          <w:szCs w:val="20"/>
        </w:rPr>
      </w:pPr>
    </w:p>
    <w:p w:rsidR="00CB697E" w:rsidRPr="00CB697E" w:rsidRDefault="00CB697E" w:rsidP="00CB697E">
      <w:pPr>
        <w:spacing w:after="0" w:line="240" w:lineRule="auto"/>
        <w:ind w:left="3969"/>
        <w:jc w:val="both"/>
        <w:rPr>
          <w:rFonts w:ascii="Arial" w:eastAsia="Calibri" w:hAnsi="Arial" w:cs="Arial"/>
          <w:b/>
          <w:sz w:val="20"/>
          <w:szCs w:val="20"/>
        </w:rPr>
      </w:pPr>
      <w:r w:rsidRPr="00CB697E">
        <w:rPr>
          <w:rFonts w:ascii="Arial" w:eastAsia="Calibri" w:hAnsi="Arial" w:cs="Arial"/>
          <w:b/>
          <w:sz w:val="20"/>
          <w:szCs w:val="20"/>
        </w:rPr>
        <w:t>SECRETARIO DE ESTUDIO Y CUENTA:</w:t>
      </w:r>
    </w:p>
    <w:p w:rsidR="00CB697E" w:rsidRPr="00CB697E" w:rsidRDefault="00CB697E" w:rsidP="00CB697E">
      <w:pPr>
        <w:spacing w:after="0" w:line="240" w:lineRule="auto"/>
        <w:ind w:left="3969"/>
        <w:jc w:val="both"/>
        <w:rPr>
          <w:rFonts w:ascii="Arial" w:eastAsia="Calibri" w:hAnsi="Arial" w:cs="Arial"/>
          <w:sz w:val="20"/>
          <w:szCs w:val="20"/>
        </w:rPr>
      </w:pPr>
      <w:r w:rsidRPr="00CB697E">
        <w:rPr>
          <w:rFonts w:ascii="Arial" w:eastAsia="Calibri" w:hAnsi="Arial" w:cs="Arial"/>
          <w:sz w:val="20"/>
          <w:szCs w:val="20"/>
        </w:rPr>
        <w:t xml:space="preserve">LICENCIADA DIANA CAROLINA MONTELONGO ORTIZ </w:t>
      </w:r>
    </w:p>
    <w:p w:rsidR="00CB697E" w:rsidRPr="00CB697E" w:rsidRDefault="00CB697E" w:rsidP="00CB697E">
      <w:pPr>
        <w:keepNext/>
        <w:spacing w:after="0" w:line="360" w:lineRule="auto"/>
        <w:ind w:firstLine="708"/>
        <w:jc w:val="both"/>
        <w:outlineLvl w:val="1"/>
        <w:rPr>
          <w:rFonts w:ascii="Arial Narrow" w:eastAsia="Calibri" w:hAnsi="Arial Narrow" w:cs="Arial"/>
          <w:sz w:val="28"/>
          <w:szCs w:val="28"/>
        </w:rPr>
      </w:pPr>
    </w:p>
    <w:p w:rsidR="00CB697E" w:rsidRPr="00CB697E" w:rsidRDefault="00CB697E" w:rsidP="00CB697E">
      <w:pPr>
        <w:keepNext/>
        <w:spacing w:after="0" w:line="360" w:lineRule="auto"/>
        <w:ind w:firstLine="708"/>
        <w:jc w:val="both"/>
        <w:outlineLvl w:val="1"/>
        <w:rPr>
          <w:rFonts w:ascii="Arial" w:eastAsia="Calibri" w:hAnsi="Arial" w:cs="Arial"/>
          <w:sz w:val="26"/>
          <w:szCs w:val="26"/>
        </w:rPr>
      </w:pPr>
      <w:r w:rsidRPr="00CB697E">
        <w:rPr>
          <w:rFonts w:ascii="Arial" w:eastAsia="Calibri" w:hAnsi="Arial" w:cs="Arial"/>
          <w:sz w:val="26"/>
          <w:szCs w:val="26"/>
        </w:rPr>
        <w:t xml:space="preserve">San Luis Potosí, S.L.P., a </w:t>
      </w:r>
      <w:r w:rsidR="003761DE">
        <w:rPr>
          <w:rFonts w:ascii="Arial" w:eastAsia="Calibri" w:hAnsi="Arial" w:cs="Arial"/>
          <w:sz w:val="26"/>
          <w:szCs w:val="26"/>
        </w:rPr>
        <w:t xml:space="preserve">trece de diciembre de dos mil  </w:t>
      </w:r>
      <w:r w:rsidR="003761DE" w:rsidRPr="00CB697E">
        <w:rPr>
          <w:rFonts w:ascii="Arial" w:eastAsia="Calibri" w:hAnsi="Arial" w:cs="Arial"/>
          <w:sz w:val="26"/>
          <w:szCs w:val="26"/>
        </w:rPr>
        <w:t>veinti</w:t>
      </w:r>
      <w:r w:rsidR="003761DE">
        <w:rPr>
          <w:rFonts w:ascii="Arial" w:eastAsia="Calibri" w:hAnsi="Arial" w:cs="Arial"/>
          <w:sz w:val="26"/>
          <w:szCs w:val="26"/>
        </w:rPr>
        <w:t>trés</w:t>
      </w:r>
      <w:r w:rsidRPr="00CB697E">
        <w:rPr>
          <w:rFonts w:ascii="Arial" w:eastAsia="Calibri" w:hAnsi="Arial" w:cs="Arial"/>
          <w:sz w:val="26"/>
          <w:szCs w:val="26"/>
        </w:rPr>
        <w:t>.</w:t>
      </w:r>
    </w:p>
    <w:p w:rsidR="00CB697E" w:rsidRPr="00CB697E" w:rsidRDefault="00CB697E" w:rsidP="00CB697E">
      <w:pPr>
        <w:spacing w:after="0" w:line="360" w:lineRule="auto"/>
        <w:rPr>
          <w:rFonts w:ascii="Arial" w:eastAsia="Calibri" w:hAnsi="Arial" w:cs="Arial"/>
          <w:sz w:val="26"/>
          <w:szCs w:val="26"/>
        </w:rPr>
      </w:pPr>
    </w:p>
    <w:p w:rsidR="00CB697E" w:rsidRPr="00CB697E" w:rsidRDefault="00CB697E" w:rsidP="003761DE">
      <w:pPr>
        <w:spacing w:line="360" w:lineRule="auto"/>
        <w:jc w:val="both"/>
        <w:rPr>
          <w:rFonts w:ascii="Arial" w:eastAsia="Calibri" w:hAnsi="Arial" w:cs="Arial"/>
          <w:b/>
          <w:sz w:val="26"/>
          <w:szCs w:val="26"/>
        </w:rPr>
      </w:pPr>
      <w:r w:rsidRPr="00CB697E">
        <w:rPr>
          <w:rFonts w:ascii="Arial" w:eastAsia="Calibri" w:hAnsi="Arial" w:cs="Arial"/>
          <w:b/>
          <w:sz w:val="26"/>
          <w:szCs w:val="26"/>
        </w:rPr>
        <w:tab/>
        <w:t xml:space="preserve">V I S T O S </w:t>
      </w:r>
      <w:r w:rsidRPr="00CB697E">
        <w:rPr>
          <w:rFonts w:ascii="Arial" w:eastAsia="Calibri" w:hAnsi="Arial" w:cs="Arial"/>
          <w:sz w:val="26"/>
          <w:szCs w:val="26"/>
        </w:rPr>
        <w:t xml:space="preserve">para resolver en definitiva los autos del juicio  contencioso administrativo número </w:t>
      </w:r>
      <w:r w:rsidR="003761DE" w:rsidRPr="003761DE">
        <w:rPr>
          <w:rFonts w:ascii="Arial" w:eastAsia="Calibri" w:hAnsi="Arial" w:cs="Arial"/>
          <w:b/>
          <w:sz w:val="26"/>
          <w:szCs w:val="26"/>
        </w:rPr>
        <w:t>3</w:t>
      </w:r>
      <w:r w:rsidRPr="00CB697E">
        <w:rPr>
          <w:rFonts w:ascii="Arial" w:eastAsia="Calibri" w:hAnsi="Arial" w:cs="Arial"/>
          <w:b/>
          <w:sz w:val="26"/>
          <w:szCs w:val="26"/>
        </w:rPr>
        <w:t>1</w:t>
      </w:r>
      <w:r w:rsidR="003761DE">
        <w:rPr>
          <w:rFonts w:ascii="Arial" w:eastAsia="Calibri" w:hAnsi="Arial" w:cs="Arial"/>
          <w:b/>
          <w:sz w:val="26"/>
          <w:szCs w:val="26"/>
        </w:rPr>
        <w:t>4</w:t>
      </w:r>
      <w:r w:rsidRPr="00CB697E">
        <w:rPr>
          <w:rFonts w:ascii="Arial" w:eastAsia="Calibri" w:hAnsi="Arial" w:cs="Arial"/>
          <w:b/>
          <w:sz w:val="26"/>
          <w:szCs w:val="26"/>
        </w:rPr>
        <w:t>/202</w:t>
      </w:r>
      <w:r w:rsidR="003761DE">
        <w:rPr>
          <w:rFonts w:ascii="Arial" w:eastAsia="Calibri" w:hAnsi="Arial" w:cs="Arial"/>
          <w:b/>
          <w:sz w:val="26"/>
          <w:szCs w:val="26"/>
        </w:rPr>
        <w:t>3</w:t>
      </w:r>
      <w:r w:rsidRPr="00CB697E">
        <w:rPr>
          <w:rFonts w:ascii="Arial" w:eastAsia="Calibri" w:hAnsi="Arial" w:cs="Arial"/>
          <w:b/>
          <w:sz w:val="26"/>
          <w:szCs w:val="26"/>
        </w:rPr>
        <w:t xml:space="preserve">-3, </w:t>
      </w:r>
      <w:r w:rsidRPr="00CB697E">
        <w:rPr>
          <w:rFonts w:ascii="Arial" w:eastAsia="Calibri" w:hAnsi="Arial" w:cs="Arial"/>
          <w:sz w:val="26"/>
          <w:szCs w:val="26"/>
        </w:rPr>
        <w:t xml:space="preserve">promovido por </w:t>
      </w:r>
      <w:r w:rsidR="005300C9">
        <w:rPr>
          <w:rFonts w:ascii="Arial" w:eastAsia="Calibri" w:hAnsi="Arial" w:cs="Arial"/>
          <w:b/>
          <w:color w:val="FF0000"/>
          <w:sz w:val="26"/>
          <w:szCs w:val="26"/>
        </w:rPr>
        <w:t>**********</w:t>
      </w:r>
      <w:r w:rsidRPr="00CB697E">
        <w:rPr>
          <w:rFonts w:ascii="Arial" w:eastAsia="Calibri" w:hAnsi="Arial" w:cs="Arial"/>
          <w:b/>
          <w:sz w:val="26"/>
          <w:szCs w:val="26"/>
        </w:rPr>
        <w:t xml:space="preserve">, a través de su </w:t>
      </w:r>
      <w:r w:rsidR="003761DE">
        <w:rPr>
          <w:rFonts w:ascii="Arial" w:eastAsia="Calibri" w:hAnsi="Arial" w:cs="Arial"/>
          <w:b/>
          <w:sz w:val="26"/>
          <w:szCs w:val="26"/>
        </w:rPr>
        <w:t>Representante</w:t>
      </w:r>
      <w:r w:rsidRPr="00CB697E">
        <w:rPr>
          <w:rFonts w:ascii="Arial" w:eastAsia="Calibri" w:hAnsi="Arial" w:cs="Arial"/>
          <w:b/>
          <w:sz w:val="26"/>
          <w:szCs w:val="26"/>
        </w:rPr>
        <w:t xml:space="preserve"> Legal </w:t>
      </w:r>
      <w:r w:rsidR="005300C9">
        <w:rPr>
          <w:rFonts w:ascii="Arial" w:eastAsia="Calibri" w:hAnsi="Arial" w:cs="Arial"/>
          <w:b/>
          <w:color w:val="FF0000"/>
          <w:sz w:val="26"/>
          <w:szCs w:val="26"/>
        </w:rPr>
        <w:t>**********</w:t>
      </w:r>
      <w:r w:rsidRPr="00CB697E">
        <w:rPr>
          <w:rFonts w:ascii="Arial" w:eastAsia="Calibri" w:hAnsi="Arial" w:cs="Arial"/>
          <w:color w:val="000000" w:themeColor="text1"/>
          <w:sz w:val="26"/>
          <w:szCs w:val="26"/>
        </w:rPr>
        <w:t xml:space="preserve">, </w:t>
      </w:r>
      <w:r w:rsidRPr="00CB697E">
        <w:rPr>
          <w:rFonts w:ascii="Arial" w:eastAsia="Calibri" w:hAnsi="Arial" w:cs="Arial"/>
          <w:sz w:val="26"/>
          <w:szCs w:val="26"/>
        </w:rPr>
        <w:t xml:space="preserve">contra actos del </w:t>
      </w:r>
      <w:r w:rsidRPr="00CB697E">
        <w:rPr>
          <w:rFonts w:ascii="Arial" w:eastAsia="Calibri" w:hAnsi="Arial" w:cs="Arial"/>
          <w:b/>
          <w:sz w:val="26"/>
          <w:szCs w:val="26"/>
        </w:rPr>
        <w:t>DIRECTOR DE</w:t>
      </w:r>
      <w:r w:rsidR="003761DE">
        <w:rPr>
          <w:rFonts w:ascii="Arial" w:eastAsia="Calibri" w:hAnsi="Arial" w:cs="Arial"/>
          <w:b/>
          <w:sz w:val="26"/>
          <w:szCs w:val="26"/>
        </w:rPr>
        <w:t xml:space="preserve"> RECAUDACION Y POLITICA FISCAL, de la DIRECCION GENERL DE INGRESOS, de la SECRETARIA DE FINANZAS DE GOBIERNO DEL ESTADO</w:t>
      </w:r>
      <w:r w:rsidRPr="00CB697E">
        <w:rPr>
          <w:rFonts w:ascii="Arial" w:eastAsia="Calibri" w:hAnsi="Arial" w:cs="Arial"/>
          <w:sz w:val="26"/>
          <w:szCs w:val="26"/>
        </w:rPr>
        <w:t>,</w:t>
      </w:r>
      <w:r w:rsidRPr="00CB697E">
        <w:rPr>
          <w:rFonts w:ascii="Arial" w:eastAsia="Calibri" w:hAnsi="Arial" w:cs="Arial"/>
          <w:b/>
          <w:sz w:val="26"/>
          <w:szCs w:val="26"/>
        </w:rPr>
        <w:t xml:space="preserve"> </w:t>
      </w:r>
      <w:r w:rsidRPr="00CB697E">
        <w:rPr>
          <w:rFonts w:ascii="Arial" w:eastAsia="Calibri" w:hAnsi="Arial" w:cs="Arial"/>
          <w:sz w:val="26"/>
          <w:szCs w:val="26"/>
        </w:rPr>
        <w:t>y;</w:t>
      </w:r>
    </w:p>
    <w:p w:rsidR="00CB697E" w:rsidRPr="00CB697E" w:rsidRDefault="00CB697E" w:rsidP="00CB697E">
      <w:pPr>
        <w:keepNext/>
        <w:tabs>
          <w:tab w:val="left" w:pos="851"/>
          <w:tab w:val="left" w:pos="8389"/>
        </w:tabs>
        <w:spacing w:after="0" w:line="360" w:lineRule="auto"/>
        <w:jc w:val="center"/>
        <w:outlineLvl w:val="2"/>
        <w:rPr>
          <w:rFonts w:ascii="Arial" w:eastAsia="Calibri" w:hAnsi="Arial" w:cs="Arial"/>
          <w:b/>
          <w:sz w:val="26"/>
          <w:szCs w:val="26"/>
        </w:rPr>
      </w:pPr>
      <w:r w:rsidRPr="00CB697E">
        <w:rPr>
          <w:rFonts w:ascii="Arial" w:eastAsia="Calibri" w:hAnsi="Arial" w:cs="Arial"/>
          <w:b/>
          <w:sz w:val="26"/>
          <w:szCs w:val="26"/>
        </w:rPr>
        <w:t>R E S U L T A N D O</w:t>
      </w:r>
    </w:p>
    <w:p w:rsidR="00CB697E" w:rsidRPr="00CB697E" w:rsidRDefault="00CB697E" w:rsidP="00CB697E">
      <w:pPr>
        <w:keepNext/>
        <w:tabs>
          <w:tab w:val="left" w:pos="851"/>
          <w:tab w:val="left" w:pos="8389"/>
        </w:tabs>
        <w:spacing w:after="0" w:line="360" w:lineRule="auto"/>
        <w:jc w:val="center"/>
        <w:outlineLvl w:val="2"/>
        <w:rPr>
          <w:rFonts w:ascii="Arial" w:eastAsia="Calibri" w:hAnsi="Arial" w:cs="Arial"/>
          <w:b/>
          <w:sz w:val="26"/>
          <w:szCs w:val="26"/>
        </w:rPr>
      </w:pPr>
    </w:p>
    <w:p w:rsidR="00CB697E" w:rsidRDefault="00CB697E" w:rsidP="003761DE">
      <w:pPr>
        <w:spacing w:line="360" w:lineRule="auto"/>
        <w:jc w:val="both"/>
        <w:rPr>
          <w:rFonts w:ascii="Arial" w:eastAsia="Calibri" w:hAnsi="Arial" w:cs="Arial"/>
          <w:sz w:val="26"/>
          <w:szCs w:val="26"/>
          <w:lang w:val="es-ES"/>
        </w:rPr>
      </w:pPr>
      <w:r w:rsidRPr="00CB697E">
        <w:rPr>
          <w:rFonts w:ascii="Arial" w:eastAsia="Calibri" w:hAnsi="Arial" w:cs="Arial"/>
          <w:sz w:val="26"/>
          <w:szCs w:val="26"/>
        </w:rPr>
        <w:t xml:space="preserve"> </w:t>
      </w:r>
      <w:r w:rsidRPr="00CB697E">
        <w:rPr>
          <w:rFonts w:ascii="Arial" w:eastAsia="Calibri" w:hAnsi="Arial" w:cs="Arial"/>
          <w:sz w:val="26"/>
          <w:szCs w:val="26"/>
        </w:rPr>
        <w:tab/>
      </w:r>
      <w:r w:rsidRPr="00CB697E">
        <w:rPr>
          <w:rFonts w:ascii="Arial" w:eastAsia="Calibri" w:hAnsi="Arial" w:cs="Arial"/>
          <w:b/>
          <w:sz w:val="26"/>
          <w:szCs w:val="26"/>
          <w:lang w:val="es-ES"/>
        </w:rPr>
        <w:t xml:space="preserve">I.- </w:t>
      </w:r>
      <w:r w:rsidRPr="00CB697E">
        <w:rPr>
          <w:rFonts w:ascii="Arial" w:eastAsia="Calibri" w:hAnsi="Arial" w:cs="Arial"/>
          <w:sz w:val="26"/>
          <w:szCs w:val="26"/>
          <w:lang w:val="es-ES"/>
        </w:rPr>
        <w:t xml:space="preserve">Por escrito recibido en este Tribunal con fecha </w:t>
      </w:r>
      <w:r w:rsidR="003761DE">
        <w:rPr>
          <w:rFonts w:ascii="Arial" w:eastAsia="Calibri" w:hAnsi="Arial" w:cs="Arial"/>
          <w:sz w:val="26"/>
          <w:szCs w:val="26"/>
          <w:lang w:val="es-ES"/>
        </w:rPr>
        <w:t>veintidós de marzo de dos mil veintitrés</w:t>
      </w:r>
      <w:r w:rsidRPr="00CB697E">
        <w:rPr>
          <w:rFonts w:ascii="Arial" w:eastAsia="Calibri" w:hAnsi="Arial" w:cs="Arial"/>
          <w:sz w:val="26"/>
          <w:szCs w:val="26"/>
          <w:lang w:val="es-ES"/>
        </w:rPr>
        <w:t xml:space="preserve">, compareció el </w:t>
      </w:r>
      <w:r w:rsidR="003761DE">
        <w:rPr>
          <w:rFonts w:ascii="Arial" w:eastAsia="Calibri" w:hAnsi="Arial" w:cs="Arial"/>
          <w:sz w:val="26"/>
          <w:szCs w:val="26"/>
          <w:lang w:val="es-ES"/>
        </w:rPr>
        <w:t xml:space="preserve">C. </w:t>
      </w:r>
      <w:r w:rsidR="005300C9">
        <w:rPr>
          <w:rFonts w:ascii="Arial" w:eastAsia="Calibri" w:hAnsi="Arial" w:cs="Arial"/>
          <w:color w:val="FF0000"/>
          <w:sz w:val="26"/>
          <w:szCs w:val="26"/>
          <w:lang w:val="es-ES"/>
        </w:rPr>
        <w:t>**********</w:t>
      </w:r>
      <w:r w:rsidR="003761DE">
        <w:rPr>
          <w:rFonts w:ascii="Arial" w:eastAsia="Calibri" w:hAnsi="Arial" w:cs="Arial"/>
          <w:sz w:val="26"/>
          <w:szCs w:val="26"/>
          <w:lang w:val="es-ES"/>
        </w:rPr>
        <w:t>, en su carácter de Representante</w:t>
      </w:r>
      <w:r w:rsidRPr="00CB697E">
        <w:rPr>
          <w:rFonts w:ascii="Arial" w:eastAsia="Calibri" w:hAnsi="Arial" w:cs="Arial"/>
          <w:sz w:val="26"/>
          <w:szCs w:val="26"/>
          <w:lang w:val="es-ES"/>
        </w:rPr>
        <w:t xml:space="preserve"> Legal de la persona moral denominada </w:t>
      </w:r>
      <w:r w:rsidR="005300C9">
        <w:rPr>
          <w:rFonts w:ascii="Arial" w:eastAsia="Calibri" w:hAnsi="Arial" w:cs="Arial"/>
          <w:color w:val="FF0000"/>
          <w:sz w:val="26"/>
          <w:szCs w:val="26"/>
          <w:lang w:val="es-ES"/>
        </w:rPr>
        <w:t>**********</w:t>
      </w:r>
      <w:r w:rsidRPr="00CB697E">
        <w:rPr>
          <w:rFonts w:ascii="Arial" w:eastAsia="Calibri" w:hAnsi="Arial" w:cs="Arial"/>
          <w:sz w:val="26"/>
          <w:szCs w:val="26"/>
          <w:lang w:val="es-ES"/>
        </w:rPr>
        <w:t xml:space="preserve">a demandar </w:t>
      </w:r>
      <w:r w:rsidR="003761DE">
        <w:rPr>
          <w:rFonts w:ascii="Arial" w:eastAsia="Calibri" w:hAnsi="Arial" w:cs="Arial"/>
          <w:sz w:val="26"/>
          <w:szCs w:val="26"/>
          <w:lang w:val="es-ES"/>
        </w:rPr>
        <w:t xml:space="preserve">los actos de procedimiento administrativo de ejecución, consistentes en los mandamientos de ejecución número 1706129, 1706130, 1706131, 1706132, 1706133, 1809087 y 1809086, de fechas 18 de junio de 2021 y 28 de febrero de 2020, así como sus actas de requerimiento de pago y los embargos de bienes relacionados con las mismas, respecto a los cuales, niega de manera lisa y llana en términos del artículo 45 del Código Fiscal del Estado; así como las resoluciones determinantes de los supuestos créditos fiscales señalados y sus respectivas constancias de notificación de las cuales niega de manera lisa y llana tener conocimiento de su existencia y de todos sus antecedentes. Señalando como autoridad demandada al </w:t>
      </w:r>
      <w:r w:rsidR="002321A0">
        <w:rPr>
          <w:rFonts w:ascii="Arial" w:eastAsia="Calibri" w:hAnsi="Arial" w:cs="Arial"/>
          <w:sz w:val="26"/>
          <w:szCs w:val="26"/>
          <w:lang w:val="es-ES"/>
        </w:rPr>
        <w:t>Director</w:t>
      </w:r>
      <w:r w:rsidR="003761DE">
        <w:rPr>
          <w:rFonts w:ascii="Arial" w:eastAsia="Calibri" w:hAnsi="Arial" w:cs="Arial"/>
          <w:sz w:val="26"/>
          <w:szCs w:val="26"/>
          <w:lang w:val="es-ES"/>
        </w:rPr>
        <w:t xml:space="preserve"> de Recaudación y </w:t>
      </w:r>
      <w:r w:rsidR="003761DE">
        <w:rPr>
          <w:rFonts w:ascii="Arial" w:eastAsia="Calibri" w:hAnsi="Arial" w:cs="Arial"/>
          <w:sz w:val="26"/>
          <w:szCs w:val="26"/>
          <w:lang w:val="es-ES"/>
        </w:rPr>
        <w:lastRenderedPageBreak/>
        <w:t>Política Fiscal de la Dirección de Ingresos, de la Secretaría de Finanzas de Gobierno del Estado y como fecha en que tuvo  conocimiento de las resoluciones impugnadas, en la fecha de presentación de su escrito de demanda.</w:t>
      </w:r>
    </w:p>
    <w:p w:rsidR="000D54B6" w:rsidRPr="00CB697E" w:rsidRDefault="000D54B6" w:rsidP="003761DE">
      <w:pPr>
        <w:spacing w:line="360" w:lineRule="auto"/>
        <w:jc w:val="both"/>
        <w:rPr>
          <w:rFonts w:ascii="Arial" w:eastAsia="Calibri" w:hAnsi="Arial" w:cs="Arial"/>
          <w:sz w:val="26"/>
          <w:szCs w:val="26"/>
          <w:lang w:val="es-ES"/>
        </w:rPr>
      </w:pPr>
    </w:p>
    <w:p w:rsidR="00CB697E" w:rsidRPr="00CB697E" w:rsidRDefault="00CB697E" w:rsidP="00CB697E">
      <w:pPr>
        <w:spacing w:line="360" w:lineRule="auto"/>
        <w:ind w:firstLine="708"/>
        <w:jc w:val="both"/>
        <w:rPr>
          <w:rFonts w:ascii="Arial" w:eastAsia="Calibri" w:hAnsi="Arial" w:cs="Arial"/>
          <w:sz w:val="26"/>
          <w:szCs w:val="26"/>
          <w:lang w:val="es-ES"/>
        </w:rPr>
      </w:pPr>
      <w:r w:rsidRPr="00CB697E">
        <w:rPr>
          <w:rFonts w:ascii="Arial" w:eastAsia="Calibri" w:hAnsi="Arial" w:cs="Arial"/>
          <w:b/>
          <w:sz w:val="26"/>
          <w:szCs w:val="26"/>
          <w:lang w:val="es-ES"/>
        </w:rPr>
        <w:t>II</w:t>
      </w:r>
      <w:proofErr w:type="gramStart"/>
      <w:r w:rsidRPr="00CB697E">
        <w:rPr>
          <w:rFonts w:ascii="Arial" w:eastAsia="Calibri" w:hAnsi="Arial" w:cs="Arial"/>
          <w:b/>
          <w:sz w:val="26"/>
          <w:szCs w:val="26"/>
          <w:lang w:val="es-ES"/>
        </w:rPr>
        <w:t>.</w:t>
      </w:r>
      <w:r w:rsidRPr="00CB697E">
        <w:rPr>
          <w:rFonts w:ascii="Arial" w:eastAsia="Calibri" w:hAnsi="Arial" w:cs="Arial"/>
          <w:sz w:val="26"/>
          <w:szCs w:val="26"/>
          <w:lang w:val="es-ES"/>
        </w:rPr>
        <w:t>–</w:t>
      </w:r>
      <w:proofErr w:type="gramEnd"/>
      <w:r w:rsidRPr="00CB697E">
        <w:rPr>
          <w:rFonts w:ascii="Arial" w:eastAsia="Calibri" w:hAnsi="Arial" w:cs="Arial"/>
          <w:sz w:val="26"/>
          <w:szCs w:val="26"/>
          <w:lang w:val="es-ES"/>
        </w:rPr>
        <w:t xml:space="preserve"> Por proveído de </w:t>
      </w:r>
      <w:r w:rsidR="007C6F13">
        <w:rPr>
          <w:rFonts w:ascii="Arial" w:eastAsia="Calibri" w:hAnsi="Arial" w:cs="Arial"/>
          <w:sz w:val="26"/>
          <w:szCs w:val="26"/>
          <w:lang w:val="es-ES"/>
        </w:rPr>
        <w:t xml:space="preserve">veintitrés de abril </w:t>
      </w:r>
      <w:r w:rsidR="002933AB">
        <w:rPr>
          <w:rFonts w:ascii="Arial" w:eastAsia="Calibri" w:hAnsi="Arial" w:cs="Arial"/>
          <w:sz w:val="26"/>
          <w:szCs w:val="26"/>
          <w:lang w:val="es-ES"/>
        </w:rPr>
        <w:t>de dos mil veintitrés</w:t>
      </w:r>
      <w:r w:rsidRPr="00CB697E">
        <w:rPr>
          <w:rFonts w:ascii="Arial" w:eastAsia="Calibri" w:hAnsi="Arial" w:cs="Arial"/>
          <w:sz w:val="26"/>
          <w:szCs w:val="26"/>
          <w:lang w:val="es-ES"/>
        </w:rPr>
        <w:t>, se admitió a trámite la demanda, se ordenó correr traslado a las autoridades demandadas, con la copia simple de su escrito de demanda, para que dentro del término de diez días hábiles, contados a partir del día siguiente al que surtiera efectos la notificación contestaran lo que a su derecho conviniera.</w:t>
      </w:r>
    </w:p>
    <w:p w:rsidR="00CB697E" w:rsidRPr="00CB697E" w:rsidRDefault="00CB697E" w:rsidP="00CB697E">
      <w:pPr>
        <w:spacing w:line="360" w:lineRule="auto"/>
        <w:ind w:firstLine="708"/>
        <w:jc w:val="both"/>
        <w:rPr>
          <w:rFonts w:ascii="Arial" w:eastAsia="Calibri" w:hAnsi="Arial" w:cs="Arial"/>
          <w:sz w:val="26"/>
          <w:szCs w:val="26"/>
          <w:lang w:val="es-ES"/>
        </w:rPr>
      </w:pPr>
    </w:p>
    <w:p w:rsidR="00CB697E" w:rsidRPr="00CB697E" w:rsidRDefault="00CB697E" w:rsidP="00CB697E">
      <w:pPr>
        <w:spacing w:line="360" w:lineRule="auto"/>
        <w:ind w:firstLine="708"/>
        <w:jc w:val="both"/>
        <w:rPr>
          <w:rFonts w:ascii="Arial" w:eastAsia="Calibri" w:hAnsi="Arial" w:cs="Arial"/>
          <w:sz w:val="26"/>
          <w:szCs w:val="26"/>
          <w:lang w:val="es-ES"/>
        </w:rPr>
      </w:pPr>
      <w:r w:rsidRPr="00CB697E">
        <w:rPr>
          <w:rFonts w:ascii="Arial" w:eastAsia="Calibri" w:hAnsi="Arial" w:cs="Arial"/>
          <w:b/>
          <w:sz w:val="26"/>
          <w:szCs w:val="26"/>
          <w:lang w:val="es-ES"/>
        </w:rPr>
        <w:t>III.-</w:t>
      </w:r>
      <w:r w:rsidRPr="00CB697E">
        <w:rPr>
          <w:rFonts w:ascii="Arial" w:eastAsia="Calibri" w:hAnsi="Arial" w:cs="Arial"/>
          <w:sz w:val="26"/>
          <w:szCs w:val="26"/>
          <w:lang w:val="es-ES"/>
        </w:rPr>
        <w:t xml:space="preserve"> Por proveído de fecha </w:t>
      </w:r>
      <w:r w:rsidR="007C6F13">
        <w:rPr>
          <w:rFonts w:ascii="Arial" w:eastAsia="Calibri" w:hAnsi="Arial" w:cs="Arial"/>
          <w:sz w:val="26"/>
          <w:szCs w:val="26"/>
          <w:lang w:val="es-ES"/>
        </w:rPr>
        <w:t>once</w:t>
      </w:r>
      <w:r w:rsidRPr="00CB697E">
        <w:rPr>
          <w:rFonts w:ascii="Arial" w:eastAsia="Calibri" w:hAnsi="Arial" w:cs="Arial"/>
          <w:sz w:val="26"/>
          <w:szCs w:val="26"/>
          <w:lang w:val="es-ES"/>
        </w:rPr>
        <w:t xml:space="preserve"> de julio de dos mil veinti</w:t>
      </w:r>
      <w:r w:rsidR="007C6F13">
        <w:rPr>
          <w:rFonts w:ascii="Arial" w:eastAsia="Calibri" w:hAnsi="Arial" w:cs="Arial"/>
          <w:sz w:val="26"/>
          <w:szCs w:val="26"/>
          <w:lang w:val="es-ES"/>
        </w:rPr>
        <w:t>trés</w:t>
      </w:r>
      <w:r w:rsidRPr="00CB697E">
        <w:rPr>
          <w:rFonts w:ascii="Arial" w:eastAsia="Calibri" w:hAnsi="Arial" w:cs="Arial"/>
          <w:sz w:val="26"/>
          <w:szCs w:val="26"/>
          <w:lang w:val="es-ES"/>
        </w:rPr>
        <w:t>, se tuvo a</w:t>
      </w:r>
      <w:r w:rsidR="007C6F13">
        <w:rPr>
          <w:rFonts w:ascii="Arial" w:eastAsia="Calibri" w:hAnsi="Arial" w:cs="Arial"/>
          <w:sz w:val="26"/>
          <w:szCs w:val="26"/>
          <w:lang w:val="es-ES"/>
        </w:rPr>
        <w:t xml:space="preserve">l Procurador Fiscal de la Secretaría de Finanzas de Gobierno del Estado, por contestada la demanda, </w:t>
      </w:r>
      <w:r w:rsidRPr="00CB697E">
        <w:rPr>
          <w:rFonts w:ascii="Arial" w:eastAsia="Calibri" w:hAnsi="Arial" w:cs="Arial"/>
          <w:sz w:val="26"/>
          <w:szCs w:val="26"/>
          <w:lang w:val="es-ES"/>
        </w:rPr>
        <w:t>por lo que con la copia simple de oficio de contestación, se ordenó correr traslado a la parte actora, para que dentro del término de cinco días hábiles, manifestara</w:t>
      </w:r>
      <w:r w:rsidR="00FD39D6">
        <w:rPr>
          <w:rFonts w:ascii="Arial" w:eastAsia="Calibri" w:hAnsi="Arial" w:cs="Arial"/>
          <w:sz w:val="26"/>
          <w:szCs w:val="26"/>
          <w:lang w:val="es-ES"/>
        </w:rPr>
        <w:t xml:space="preserve"> lo que a su interés conviniera, por lo que, una vez que la parte actora contestó la vista que se le dio en el auto de referencia, se admitieron las pruebas de las partes, así como la instrumental de actuaciones y la presuncional lógica, legal y humana.</w:t>
      </w:r>
    </w:p>
    <w:p w:rsidR="00CB697E" w:rsidRPr="00CB697E" w:rsidRDefault="00CB697E" w:rsidP="00CB697E">
      <w:pPr>
        <w:spacing w:line="360" w:lineRule="auto"/>
        <w:ind w:firstLine="708"/>
        <w:jc w:val="both"/>
        <w:rPr>
          <w:rFonts w:ascii="Arial" w:eastAsia="Calibri" w:hAnsi="Arial" w:cs="Arial"/>
          <w:sz w:val="26"/>
          <w:szCs w:val="26"/>
          <w:lang w:val="es-ES"/>
        </w:rPr>
      </w:pPr>
    </w:p>
    <w:p w:rsidR="00CB697E" w:rsidRPr="00CB697E" w:rsidRDefault="00CB697E" w:rsidP="00CB697E">
      <w:pPr>
        <w:spacing w:line="360" w:lineRule="auto"/>
        <w:ind w:firstLine="708"/>
        <w:jc w:val="both"/>
        <w:rPr>
          <w:rFonts w:ascii="Arial" w:eastAsia="Calibri" w:hAnsi="Arial" w:cs="Arial"/>
          <w:sz w:val="26"/>
          <w:szCs w:val="26"/>
          <w:lang w:val="es-ES"/>
        </w:rPr>
      </w:pPr>
      <w:r w:rsidRPr="00CB697E">
        <w:rPr>
          <w:rFonts w:ascii="Arial" w:eastAsia="Calibri" w:hAnsi="Arial" w:cs="Arial"/>
          <w:b/>
          <w:sz w:val="26"/>
          <w:szCs w:val="26"/>
          <w:lang w:val="es-ES"/>
        </w:rPr>
        <w:t>IV.-</w:t>
      </w:r>
      <w:r w:rsidRPr="00CB697E">
        <w:rPr>
          <w:rFonts w:ascii="Arial" w:eastAsia="Calibri" w:hAnsi="Arial" w:cs="Arial"/>
          <w:sz w:val="26"/>
          <w:szCs w:val="26"/>
          <w:lang w:val="es-ES"/>
        </w:rPr>
        <w:t xml:space="preserve"> Siendo las </w:t>
      </w:r>
      <w:r w:rsidR="00FD39D6">
        <w:rPr>
          <w:rFonts w:ascii="Arial" w:eastAsia="Calibri" w:hAnsi="Arial" w:cs="Arial"/>
          <w:sz w:val="26"/>
          <w:szCs w:val="26"/>
          <w:lang w:val="es-ES"/>
        </w:rPr>
        <w:t>diez</w:t>
      </w:r>
      <w:r w:rsidRPr="00CB697E">
        <w:rPr>
          <w:rFonts w:ascii="Arial" w:eastAsia="Calibri" w:hAnsi="Arial" w:cs="Arial"/>
          <w:sz w:val="26"/>
          <w:szCs w:val="26"/>
          <w:lang w:val="es-ES"/>
        </w:rPr>
        <w:t xml:space="preserve"> horas del </w:t>
      </w:r>
      <w:r w:rsidR="00FD39D6">
        <w:rPr>
          <w:rFonts w:ascii="Arial" w:eastAsia="Calibri" w:hAnsi="Arial" w:cs="Arial"/>
          <w:sz w:val="26"/>
          <w:szCs w:val="26"/>
          <w:lang w:val="es-ES"/>
        </w:rPr>
        <w:t>nueve de noviembre de dos mil veintitrés</w:t>
      </w:r>
      <w:r w:rsidRPr="00CB697E">
        <w:rPr>
          <w:rFonts w:ascii="Arial" w:eastAsia="Calibri" w:hAnsi="Arial" w:cs="Arial"/>
          <w:sz w:val="26"/>
          <w:szCs w:val="26"/>
          <w:lang w:val="es-ES"/>
        </w:rPr>
        <w:t>, tuvo verificativo la Audiencia de Ley, sin la asistencia de las partes. En período de pruebas se tuvieron por desahogadas las pruebas documentales de la parte actora, dada su propia naturaleza, no existiendo pruebas por desahogar, en período de alegatos se hizo constar que estos no fueron formulados por ninguna de las partes, quedando así debidamente integrado el expediente en que se actúa, citándose para su resolución.</w:t>
      </w:r>
    </w:p>
    <w:p w:rsidR="00CB697E" w:rsidRPr="00CB697E" w:rsidRDefault="00CB697E" w:rsidP="00CB697E">
      <w:pPr>
        <w:keepNext/>
        <w:spacing w:after="0" w:line="360" w:lineRule="auto"/>
        <w:ind w:right="-1"/>
        <w:jc w:val="center"/>
        <w:outlineLvl w:val="3"/>
        <w:rPr>
          <w:rFonts w:ascii="Arial" w:eastAsia="Calibri" w:hAnsi="Arial" w:cs="Arial"/>
          <w:b/>
          <w:sz w:val="26"/>
          <w:szCs w:val="26"/>
        </w:rPr>
      </w:pPr>
      <w:r w:rsidRPr="00CB697E">
        <w:rPr>
          <w:rFonts w:ascii="Arial" w:eastAsia="Calibri" w:hAnsi="Arial" w:cs="Arial"/>
          <w:b/>
          <w:sz w:val="26"/>
          <w:szCs w:val="26"/>
        </w:rPr>
        <w:t>C O N S I D E R A N D O</w:t>
      </w:r>
    </w:p>
    <w:p w:rsidR="00CB697E" w:rsidRPr="00CB697E" w:rsidRDefault="00CB697E" w:rsidP="00CB697E">
      <w:pPr>
        <w:spacing w:before="240" w:after="240" w:line="360" w:lineRule="auto"/>
        <w:ind w:firstLine="708"/>
        <w:jc w:val="both"/>
        <w:rPr>
          <w:rFonts w:ascii="Arial" w:eastAsia="Times New Roman" w:hAnsi="Arial" w:cs="Arial"/>
          <w:sz w:val="28"/>
          <w:szCs w:val="28"/>
          <w:lang w:val="es-ES" w:eastAsia="es-ES"/>
        </w:rPr>
      </w:pPr>
      <w:r w:rsidRPr="00CB697E">
        <w:rPr>
          <w:rFonts w:ascii="Arial" w:eastAsia="Calibri" w:hAnsi="Arial" w:cs="Arial"/>
          <w:b/>
          <w:sz w:val="26"/>
          <w:szCs w:val="26"/>
        </w:rPr>
        <w:t>PRIMERO.-</w:t>
      </w:r>
      <w:r w:rsidRPr="00CB697E">
        <w:rPr>
          <w:rFonts w:ascii="Arial" w:eastAsia="Calibri" w:hAnsi="Arial" w:cs="Arial"/>
          <w:sz w:val="26"/>
          <w:szCs w:val="26"/>
        </w:rPr>
        <w:t xml:space="preserve"> Esta</w:t>
      </w:r>
      <w:r w:rsidRPr="00CB697E">
        <w:rPr>
          <w:rFonts w:ascii="Arial" w:eastAsia="Times New Roman" w:hAnsi="Arial" w:cs="Arial"/>
          <w:sz w:val="26"/>
          <w:szCs w:val="26"/>
          <w:lang w:eastAsia="es-ES"/>
        </w:rPr>
        <w:t xml:space="preserve"> Tercera Sala Unitaria del Tribunal Estatal de Justicia Administrativa, </w:t>
      </w:r>
      <w:r w:rsidRPr="00CB697E">
        <w:rPr>
          <w:rFonts w:ascii="Arial" w:eastAsia="Times New Roman" w:hAnsi="Arial" w:cs="Arial"/>
          <w:sz w:val="28"/>
          <w:szCs w:val="28"/>
          <w:lang w:val="es-ES" w:eastAsia="es-ES"/>
        </w:rPr>
        <w:t xml:space="preserve">no es competente para resolver la </w:t>
      </w:r>
      <w:r w:rsidRPr="00CB697E">
        <w:rPr>
          <w:rFonts w:ascii="Arial" w:eastAsia="Times New Roman" w:hAnsi="Arial" w:cs="Arial"/>
          <w:sz w:val="28"/>
          <w:szCs w:val="28"/>
          <w:lang w:val="es-ES" w:eastAsia="es-ES"/>
        </w:rPr>
        <w:lastRenderedPageBreak/>
        <w:t>controversia planteada en el presente Juicio Contencioso Administrativo, y lo conducente es decretar el sobreseimiento por haberse actualizado la causal de improcedencia a que se refiere el artículo 228 fracción X del Código Procesal Administrativo para el Estado de San Luis Potosí, ya que lo que se demanda por esta vía, es un acto ajeno a la competencia de este Tribunal Estatal de Justicia Administrativa, de conformidad a las consideraciones que a continuación se exponen.</w:t>
      </w:r>
    </w:p>
    <w:p w:rsidR="00CB697E" w:rsidRPr="00CB697E" w:rsidRDefault="00CB697E" w:rsidP="00CB697E">
      <w:pPr>
        <w:spacing w:before="240" w:after="240" w:line="360" w:lineRule="auto"/>
        <w:ind w:firstLine="708"/>
        <w:jc w:val="both"/>
        <w:rPr>
          <w:rFonts w:ascii="Arial" w:eastAsia="Times New Roman" w:hAnsi="Arial" w:cs="Arial"/>
          <w:sz w:val="28"/>
          <w:szCs w:val="28"/>
          <w:lang w:val="es-ES" w:eastAsia="es-ES"/>
        </w:rPr>
      </w:pPr>
      <w:r w:rsidRPr="00CB697E">
        <w:rPr>
          <w:rFonts w:ascii="Arial" w:eastAsia="Times New Roman" w:hAnsi="Arial" w:cs="Arial"/>
          <w:sz w:val="28"/>
          <w:szCs w:val="28"/>
          <w:lang w:val="es-ES" w:eastAsia="es-ES"/>
        </w:rPr>
        <w:t xml:space="preserve">Sirve de apoyo a lo anterior, la jurisprudencia, que a la letra dice: </w:t>
      </w:r>
    </w:p>
    <w:p w:rsidR="00CB697E" w:rsidRPr="00CB697E" w:rsidRDefault="00CB697E" w:rsidP="00CB697E">
      <w:pPr>
        <w:spacing w:before="240" w:after="240" w:line="360" w:lineRule="auto"/>
        <w:ind w:firstLine="708"/>
        <w:jc w:val="both"/>
        <w:rPr>
          <w:rFonts w:ascii="Arial" w:eastAsia="Times New Roman" w:hAnsi="Arial" w:cs="Arial"/>
          <w:sz w:val="24"/>
          <w:szCs w:val="24"/>
          <w:lang w:val="es-ES" w:eastAsia="es-ES"/>
        </w:rPr>
      </w:pPr>
      <w:r w:rsidRPr="00CB697E">
        <w:rPr>
          <w:rFonts w:ascii="Arial" w:eastAsia="Times New Roman" w:hAnsi="Arial" w:cs="Arial"/>
          <w:sz w:val="24"/>
          <w:szCs w:val="24"/>
          <w:lang w:val="es-ES" w:eastAsia="es-ES"/>
        </w:rPr>
        <w:t>“</w:t>
      </w:r>
      <w:r w:rsidRPr="00CB697E">
        <w:rPr>
          <w:rFonts w:ascii="Arial" w:eastAsia="Times New Roman" w:hAnsi="Arial" w:cs="Arial"/>
          <w:b/>
          <w:sz w:val="24"/>
          <w:szCs w:val="24"/>
          <w:lang w:val="es-ES" w:eastAsia="es-ES"/>
        </w:rPr>
        <w:t>IMPROCEDENCIA DE LA VÍA EN EL JUICIO CONTENCIOSO ADMINISTRATIVO. CUANDO LA DEMANDA RESPECTIVA SE HUBIERE ADMITIDO, EL TRIBUNAL FEDERAL DE JUSTICIA ADMINISTRATIVA DEBE LIMITARSE A SOBRESEER EN EL JUICIO</w:t>
      </w:r>
      <w:r w:rsidRPr="00CB697E">
        <w:rPr>
          <w:rFonts w:ascii="Arial" w:eastAsia="Times New Roman" w:hAnsi="Arial" w:cs="Arial"/>
          <w:sz w:val="24"/>
          <w:szCs w:val="24"/>
          <w:lang w:val="es-ES" w:eastAsia="es-ES"/>
        </w:rPr>
        <w:t>.- Conforme al artículo 8o., fracción II, de la Ley Federal de Procedimiento Contencioso Administrativo, es improcedente el juicio ante el Tribunal Federal de Justicia Administrativa contra actos que no le competa conocer a dicho Tribunal; de modo que si se demanda algún acto ajeno a su competencia material prevista en los artículos 14 y 15 de la Ley Orgánica que lo rige, la consecuencia necesaria, cuando la demanda respectiva se hubiere admitido, es que deba sobreseerse en el juicio, con apoyo en la fracción II del artículo 9o. del primer ordenamiento citado, acorde con la cual, procede el sobreseimiento cuando durante el juicio aparezca o sobrevenga alguna de las causas de improcedencia a que se refiere el artículo 8o. mencionado. Ahora bien, como ninguno de estos preceptos, ni alguno otro de la propia ley, disponen que al actualizarse la improcedencia –y el consecuente sobreseimiento en el juicio– también deba precisarse en la propia resolución cuál es, en su caso, la diversa autoridad a quien compete el conocimiento del asunto, se concluye que en estos supuestos el legislador estableció una causal sustentada en la improcedencia de la vía y, por ello, no existe obligación legal del Tribunal de señalar a qué otra autoridad han de remitirse los autos, ni debe esperar a que ésta decida si acepta o no la competencia, y menos aún condicionar la improcedencia del juicio hasta que se decida un posible conflicto competencial entablado con el órgano al que se le declinó competencia, a fin de que hasta este último momento se decrete la firmeza del sobreseimiento. En efecto, no deben confundirse las figuras jurídicas de la incompetencia y de la improcedencia de la vía, pues mientras la primera implica la apertura de un procedimiento para determinar qué órgano jurisdiccional se hará cargo de la demanda, ya sea porque una autoridad decline su conocimiento, o bien, pida a otra que se inhiba de ello; la segunda exclusivamente conlleva la determinación unilateral de rechazar la demanda porque ante quien se presentó carece de atribuciones para conocer de las pretensiones del actor, quedando a salvo sus derechos para hacerlos valer ante la autoridad que elija como la competente. En consecuencia, como la Ley Federal de Procedimiento Contencioso Administrativo no dispone expresamente la apertura de un trámite competencial cuando se estime que el juicio es improcedente, porque el acto cuya nulidad se demandó no le compete conocerlo al Tribunal Federal de Justicia Administrativa, ante esta clara improcedencia de la vía, cuando la demanda hubiere sido admitida, dicho órgano jurisdiccional debe limitarse a sobreseer en el juicio, pues al carecer de facultades expresas para la apertura de un trámite competencial, hecha excepción de los conflictos originados al seno del propio Tribunal por razón de territorio, tampoco debe actuar en un sentido no autorizado por la ley, si se toma en cuenta que conforme al principio de legalidad sólo puede hacer lo que ésta le permite y, además, con ese proceder tampoco se restringen las defensas del actor, al contar con medios de impugnación a su alcance para combatir el sobreseimiento referido. Contradicción de Tesis 389/2016. El Tribunal Pleno.”</w:t>
      </w:r>
      <w:r w:rsidRPr="00CB697E">
        <w:rPr>
          <w:rFonts w:ascii="Arial" w:eastAsia="Times New Roman" w:hAnsi="Arial" w:cs="Arial"/>
          <w:sz w:val="24"/>
          <w:szCs w:val="24"/>
          <w:vertAlign w:val="superscript"/>
          <w:lang w:val="es-ES" w:eastAsia="es-ES"/>
        </w:rPr>
        <w:footnoteReference w:id="1"/>
      </w:r>
    </w:p>
    <w:p w:rsidR="00CB697E" w:rsidRPr="00CB697E" w:rsidRDefault="00CB697E" w:rsidP="00CB697E">
      <w:pPr>
        <w:spacing w:before="240" w:after="240" w:line="360" w:lineRule="auto"/>
        <w:ind w:firstLine="708"/>
        <w:jc w:val="both"/>
        <w:rPr>
          <w:rFonts w:ascii="Arial" w:eastAsia="Times New Roman" w:hAnsi="Arial" w:cs="Arial"/>
          <w:sz w:val="24"/>
          <w:szCs w:val="24"/>
          <w:lang w:val="es-ES" w:eastAsia="es-ES"/>
        </w:rPr>
      </w:pPr>
    </w:p>
    <w:p w:rsidR="00CB697E" w:rsidRPr="00CB697E" w:rsidRDefault="00CB697E" w:rsidP="00CB697E">
      <w:pPr>
        <w:spacing w:before="240" w:after="240" w:line="360" w:lineRule="auto"/>
        <w:ind w:firstLine="708"/>
        <w:jc w:val="both"/>
        <w:rPr>
          <w:rFonts w:ascii="Arial" w:eastAsia="Times New Roman" w:hAnsi="Arial" w:cs="Arial"/>
          <w:sz w:val="28"/>
          <w:szCs w:val="28"/>
          <w:lang w:val="es-ES" w:eastAsia="es-ES"/>
        </w:rPr>
      </w:pPr>
      <w:r w:rsidRPr="00CB697E">
        <w:rPr>
          <w:rFonts w:ascii="Arial" w:eastAsia="Times New Roman" w:hAnsi="Arial" w:cs="Arial"/>
          <w:sz w:val="28"/>
          <w:szCs w:val="28"/>
          <w:lang w:val="es-ES" w:eastAsia="es-ES"/>
        </w:rPr>
        <w:t>Jurisprudencia con la que se puede observar que el contenido normativo de los artículos 8° fracción II, y 9° fracción II de la Ley Federal de Procedimiento Contencioso Administrativo, es correlativo a los artículos 228 fracción X y 229 fracción II del Código Procesal Administrativo para el Estado de San Luis Potosí, a continuación se efectúa la transcripción de dichos artículos:</w:t>
      </w:r>
    </w:p>
    <w:p w:rsidR="00CB697E" w:rsidRPr="00CB697E" w:rsidRDefault="00CB697E" w:rsidP="00CB697E">
      <w:pPr>
        <w:spacing w:before="120" w:after="120"/>
        <w:ind w:left="709"/>
        <w:jc w:val="both"/>
        <w:rPr>
          <w:rFonts w:ascii="Arial" w:eastAsia="Times New Roman" w:hAnsi="Arial" w:cs="Arial"/>
          <w:sz w:val="24"/>
          <w:szCs w:val="24"/>
          <w:u w:val="single"/>
          <w:lang w:val="es-ES" w:eastAsia="es-ES"/>
        </w:rPr>
      </w:pPr>
      <w:r w:rsidRPr="00CB697E">
        <w:rPr>
          <w:rFonts w:ascii="Arial" w:eastAsia="Times New Roman" w:hAnsi="Arial" w:cs="Arial"/>
          <w:b/>
          <w:sz w:val="24"/>
          <w:szCs w:val="24"/>
          <w:u w:val="single"/>
          <w:lang w:val="es-ES" w:eastAsia="es-ES"/>
        </w:rPr>
        <w:t>Ley Federal de Procedimiento Contencioso Administrativo</w:t>
      </w:r>
      <w:r w:rsidRPr="00CB697E">
        <w:rPr>
          <w:rFonts w:ascii="Arial" w:eastAsia="Times New Roman" w:hAnsi="Arial" w:cs="Arial"/>
          <w:sz w:val="24"/>
          <w:szCs w:val="24"/>
          <w:u w:val="single"/>
          <w:lang w:val="es-ES" w:eastAsia="es-ES"/>
        </w:rPr>
        <w:t>:</w:t>
      </w:r>
    </w:p>
    <w:p w:rsidR="00CB697E" w:rsidRPr="00CB697E" w:rsidRDefault="00CB697E" w:rsidP="00CB697E">
      <w:pPr>
        <w:spacing w:before="120" w:after="120"/>
        <w:ind w:left="709"/>
        <w:jc w:val="both"/>
        <w:rPr>
          <w:rFonts w:ascii="Arial" w:eastAsia="Times New Roman" w:hAnsi="Arial" w:cs="Arial"/>
          <w:sz w:val="24"/>
          <w:szCs w:val="24"/>
          <w:lang w:val="es-ES" w:eastAsia="es-ES"/>
        </w:rPr>
      </w:pPr>
      <w:r w:rsidRPr="00CB697E">
        <w:rPr>
          <w:rFonts w:ascii="Arial" w:eastAsia="Times New Roman" w:hAnsi="Arial" w:cs="Arial"/>
          <w:sz w:val="24"/>
          <w:szCs w:val="24"/>
          <w:lang w:val="es-ES" w:eastAsia="es-ES"/>
        </w:rPr>
        <w:t>“ARTÍCULO 8o.- Es improcedente el juicio ante el Tribunal en los casos, por las causales y contra los actos siguientes: … II.  Que no le competa conocer a dicho Tribunal. …”</w:t>
      </w:r>
    </w:p>
    <w:p w:rsidR="00CB697E" w:rsidRPr="00CB697E" w:rsidRDefault="00CB697E" w:rsidP="00CB697E">
      <w:pPr>
        <w:spacing w:before="120" w:after="120"/>
        <w:ind w:left="709"/>
        <w:jc w:val="both"/>
        <w:rPr>
          <w:rFonts w:ascii="Arial" w:eastAsia="Times New Roman" w:hAnsi="Arial" w:cs="Arial"/>
          <w:sz w:val="24"/>
          <w:szCs w:val="24"/>
          <w:lang w:val="es-ES" w:eastAsia="es-ES"/>
        </w:rPr>
      </w:pPr>
      <w:r w:rsidRPr="00CB697E">
        <w:rPr>
          <w:rFonts w:ascii="Arial" w:eastAsia="Times New Roman" w:hAnsi="Arial" w:cs="Arial"/>
          <w:sz w:val="24"/>
          <w:szCs w:val="24"/>
          <w:lang w:val="es-ES" w:eastAsia="es-ES"/>
        </w:rPr>
        <w:t>“ARTÍCULO 9o.- Procede el sobreseimiento: … II. Cuando durante el juicio aparezca o sobrevenga alguna de las causas de improcedencia a que se refiere el artículo anterior. …”</w:t>
      </w:r>
    </w:p>
    <w:p w:rsidR="00CB697E" w:rsidRPr="00CB697E" w:rsidRDefault="00CB697E" w:rsidP="00CB697E">
      <w:pPr>
        <w:spacing w:before="120" w:after="120"/>
        <w:ind w:left="709"/>
        <w:jc w:val="both"/>
        <w:rPr>
          <w:rFonts w:ascii="Arial" w:eastAsia="Times New Roman" w:hAnsi="Arial" w:cs="Arial"/>
          <w:u w:val="single"/>
          <w:lang w:val="es-ES" w:eastAsia="es-ES"/>
        </w:rPr>
      </w:pPr>
      <w:r w:rsidRPr="00CB697E">
        <w:rPr>
          <w:rFonts w:ascii="Arial" w:eastAsia="Times New Roman" w:hAnsi="Arial" w:cs="Arial"/>
          <w:b/>
          <w:u w:val="single"/>
          <w:lang w:val="es-ES" w:eastAsia="es-ES"/>
        </w:rPr>
        <w:t>Código Procesal Administrativo para el Estado de San Luis Potosí</w:t>
      </w:r>
      <w:r w:rsidRPr="00CB697E">
        <w:rPr>
          <w:rFonts w:ascii="Arial" w:eastAsia="Times New Roman" w:hAnsi="Arial" w:cs="Arial"/>
          <w:u w:val="single"/>
          <w:lang w:val="es-ES" w:eastAsia="es-ES"/>
        </w:rPr>
        <w:t>:</w:t>
      </w:r>
    </w:p>
    <w:p w:rsidR="00CB697E" w:rsidRPr="00CB697E" w:rsidRDefault="00CB697E" w:rsidP="00CB697E">
      <w:pPr>
        <w:spacing w:before="120" w:after="120"/>
        <w:ind w:left="709"/>
        <w:jc w:val="both"/>
        <w:rPr>
          <w:rFonts w:ascii="Arial" w:eastAsia="Times New Roman" w:hAnsi="Arial" w:cs="Arial"/>
          <w:sz w:val="24"/>
          <w:szCs w:val="24"/>
          <w:lang w:val="es-ES" w:eastAsia="es-ES"/>
        </w:rPr>
      </w:pPr>
      <w:r w:rsidRPr="00CB697E">
        <w:rPr>
          <w:rFonts w:ascii="Arial" w:eastAsia="Times New Roman" w:hAnsi="Arial" w:cs="Arial"/>
          <w:sz w:val="24"/>
          <w:szCs w:val="24"/>
          <w:lang w:val="es-ES" w:eastAsia="es-ES"/>
        </w:rPr>
        <w:t>“ARTÍCULO  228.  Es improcedente  el juicio  ante  el Tribunal contra actos: … X. Contra actos y resoluciones distintos de los enunciados en el artículo 7° de la Ley Orgánica del Tribunal. …”</w:t>
      </w:r>
    </w:p>
    <w:p w:rsidR="00CB697E" w:rsidRPr="00CB697E" w:rsidRDefault="00CB697E" w:rsidP="00CB697E">
      <w:pPr>
        <w:spacing w:before="120" w:after="120"/>
        <w:ind w:left="709"/>
        <w:jc w:val="both"/>
        <w:rPr>
          <w:rFonts w:ascii="Arial" w:eastAsia="Times New Roman" w:hAnsi="Arial" w:cs="Arial"/>
          <w:sz w:val="24"/>
          <w:szCs w:val="24"/>
          <w:lang w:val="es-ES" w:eastAsia="es-ES"/>
        </w:rPr>
      </w:pPr>
      <w:r w:rsidRPr="00CB697E">
        <w:rPr>
          <w:rFonts w:ascii="Arial" w:eastAsia="Times New Roman" w:hAnsi="Arial" w:cs="Arial"/>
          <w:sz w:val="24"/>
          <w:szCs w:val="24"/>
          <w:lang w:val="es-ES" w:eastAsia="es-ES"/>
        </w:rPr>
        <w:t>“ARTÍCULO  229. Procede  el sobreseimiento  del juicio: … II. Cuando durante la tramitación del procedimiento sobreviniere  alguna  de las causas  de improcedencia  a que se refiere el artículo  anterior</w:t>
      </w:r>
      <w:proofErr w:type="gramStart"/>
      <w:r w:rsidRPr="00CB697E">
        <w:rPr>
          <w:rFonts w:ascii="Arial" w:eastAsia="Times New Roman" w:hAnsi="Arial" w:cs="Arial"/>
          <w:sz w:val="24"/>
          <w:szCs w:val="24"/>
          <w:lang w:val="es-ES" w:eastAsia="es-ES"/>
        </w:rPr>
        <w:t>; …”</w:t>
      </w:r>
      <w:proofErr w:type="gramEnd"/>
    </w:p>
    <w:p w:rsidR="00CB697E" w:rsidRPr="00CB697E" w:rsidRDefault="00CB697E" w:rsidP="00CB697E">
      <w:pPr>
        <w:spacing w:before="240" w:after="240" w:line="360" w:lineRule="auto"/>
        <w:ind w:firstLine="708"/>
        <w:jc w:val="both"/>
        <w:rPr>
          <w:rFonts w:ascii="Arial" w:eastAsia="Times New Roman" w:hAnsi="Arial" w:cs="Arial"/>
          <w:sz w:val="28"/>
          <w:szCs w:val="28"/>
          <w:lang w:val="es-ES" w:eastAsia="es-ES"/>
        </w:rPr>
      </w:pPr>
    </w:p>
    <w:p w:rsidR="00CB697E" w:rsidRDefault="00CB697E" w:rsidP="00CB697E">
      <w:pPr>
        <w:spacing w:before="240" w:after="240" w:line="360" w:lineRule="auto"/>
        <w:ind w:firstLine="708"/>
        <w:jc w:val="both"/>
        <w:rPr>
          <w:rFonts w:ascii="Arial" w:eastAsia="Times New Roman" w:hAnsi="Arial" w:cs="Arial"/>
          <w:sz w:val="28"/>
          <w:szCs w:val="28"/>
          <w:lang w:val="es-ES" w:eastAsia="es-ES"/>
        </w:rPr>
      </w:pPr>
      <w:r w:rsidRPr="00CB697E">
        <w:rPr>
          <w:rFonts w:ascii="Arial" w:eastAsia="Times New Roman" w:hAnsi="Arial" w:cs="Arial"/>
          <w:sz w:val="28"/>
          <w:szCs w:val="28"/>
          <w:lang w:val="es-ES" w:eastAsia="es-ES"/>
        </w:rPr>
        <w:t>En ese orden de ideas, la Tesis de Jurisprudencia citada, resulta aplicable al presente caso, en que se emite una resolución definitiva, donde se admitió la demanda, pero respecto de un acto que resultó ajeno a la competencia de este Tribunal Estatal de Justicia Administrativa.</w:t>
      </w:r>
    </w:p>
    <w:p w:rsidR="006E3D32" w:rsidRPr="00CB697E" w:rsidRDefault="006E3D32" w:rsidP="00CB697E">
      <w:pPr>
        <w:spacing w:before="240" w:after="240" w:line="360" w:lineRule="auto"/>
        <w:ind w:firstLine="708"/>
        <w:jc w:val="both"/>
        <w:rPr>
          <w:rFonts w:ascii="Arial" w:eastAsia="Times New Roman" w:hAnsi="Arial" w:cs="Arial"/>
          <w:sz w:val="28"/>
          <w:szCs w:val="28"/>
          <w:lang w:val="es-ES" w:eastAsia="es-ES"/>
        </w:rPr>
      </w:pPr>
    </w:p>
    <w:p w:rsidR="00AE6BB8" w:rsidRPr="00A364B3" w:rsidRDefault="006E3D32" w:rsidP="00AE6BB8">
      <w:pPr>
        <w:spacing w:after="0" w:line="360" w:lineRule="auto"/>
        <w:ind w:firstLine="708"/>
        <w:jc w:val="both"/>
        <w:rPr>
          <w:rFonts w:ascii="Arial" w:eastAsia="Calibri" w:hAnsi="Arial" w:cs="Arial"/>
          <w:sz w:val="28"/>
          <w:szCs w:val="28"/>
        </w:rPr>
      </w:pPr>
      <w:r w:rsidRPr="00A364B3">
        <w:rPr>
          <w:rFonts w:ascii="Arial" w:eastAsia="Calibri" w:hAnsi="Arial" w:cs="Arial"/>
          <w:sz w:val="28"/>
          <w:szCs w:val="28"/>
        </w:rPr>
        <w:t xml:space="preserve">Ahora bien, </w:t>
      </w:r>
      <w:r w:rsidR="002321A0" w:rsidRPr="00A364B3">
        <w:rPr>
          <w:rFonts w:ascii="Arial" w:eastAsia="Calibri" w:hAnsi="Arial" w:cs="Arial"/>
          <w:sz w:val="28"/>
          <w:szCs w:val="28"/>
        </w:rPr>
        <w:t xml:space="preserve">la actora hizo consistir su impugnación, </w:t>
      </w:r>
      <w:r w:rsidRPr="00A364B3">
        <w:rPr>
          <w:rFonts w:ascii="Arial" w:eastAsia="Calibri" w:hAnsi="Arial" w:cs="Arial"/>
          <w:sz w:val="28"/>
          <w:szCs w:val="28"/>
        </w:rPr>
        <w:t xml:space="preserve">en </w:t>
      </w:r>
      <w:r w:rsidR="002321A0" w:rsidRPr="00A364B3">
        <w:rPr>
          <w:rFonts w:ascii="Arial" w:eastAsia="Calibri" w:hAnsi="Arial" w:cs="Arial"/>
          <w:sz w:val="28"/>
          <w:szCs w:val="28"/>
          <w:lang w:val="es-ES"/>
        </w:rPr>
        <w:t xml:space="preserve">los actos de procedimiento administrativo de ejecución, consistentes en los mandamientos de ejecución número 1706129, 1706130, 1706131, 1706132, 1706133, 1809087 y 1809086, de fechas 18 de junio de 2021 y 28 de febrero de 2020, así como sus actas de requerimiento de pago y los embargos de bienes relacionados con las mismas, respecto a los cuales, niega de manera lisa y llana en términos del artículo 45 del Código Fiscal del Estado; así como las resoluciones determinantes de los supuestos créditos fiscales señalados y sus respectivas constancias de notificación de las cuales niega de manera lisa y llana tener conocimiento de su existencia y de todos sus antecedentes. Señalando como autoridad demandada al Director de Recaudación y Política Fiscal de la Dirección de Ingresos, de la Secretaría de Finanzas de Gobierno del Estado; por lo que el actor, al contestar la vista que se le dio con la contestación de demanda, mediante auto de once de julio de dos mil veintitrés, exhibe el oficio No. SF/DGI/DRPF/SCT-298/2023, de fecha 23 de febrero de 2023, </w:t>
      </w:r>
      <w:r w:rsidR="00314FEB" w:rsidRPr="00A364B3">
        <w:rPr>
          <w:rFonts w:ascii="Arial" w:eastAsia="Calibri" w:hAnsi="Arial" w:cs="Arial"/>
          <w:sz w:val="28"/>
          <w:szCs w:val="28"/>
          <w:lang w:val="es-ES"/>
        </w:rPr>
        <w:t xml:space="preserve">signado por la Directora General de Ingresos de la Secretaría de Finanzas de Gobierno del Estado, </w:t>
      </w:r>
      <w:r w:rsidR="002321A0" w:rsidRPr="00A364B3">
        <w:rPr>
          <w:rFonts w:ascii="Arial" w:eastAsia="Calibri" w:hAnsi="Arial" w:cs="Arial"/>
          <w:sz w:val="28"/>
          <w:szCs w:val="28"/>
          <w:lang w:val="es-ES"/>
        </w:rPr>
        <w:t xml:space="preserve">el cual informa a la persona moral actora, sobre inmovilización de </w:t>
      </w:r>
      <w:r w:rsidR="00314FEB" w:rsidRPr="00A364B3">
        <w:rPr>
          <w:rFonts w:ascii="Arial" w:eastAsia="Calibri" w:hAnsi="Arial" w:cs="Arial"/>
          <w:sz w:val="28"/>
          <w:szCs w:val="28"/>
          <w:lang w:val="es-ES"/>
        </w:rPr>
        <w:t xml:space="preserve">fondos de las cuentas abiertas a su nombre de las Instituciones de Banca Múltiple, citadas en el oficio en mención, </w:t>
      </w:r>
      <w:r w:rsidR="002321A0" w:rsidRPr="00A364B3">
        <w:rPr>
          <w:rFonts w:ascii="Arial" w:eastAsia="Calibri" w:hAnsi="Arial" w:cs="Arial"/>
          <w:sz w:val="28"/>
          <w:szCs w:val="28"/>
          <w:lang w:val="es-ES"/>
        </w:rPr>
        <w:t xml:space="preserve">respecto de la determinación de los créditos fiscales por un monto total de $13’634,988.50 pesos, que indica la autoridad </w:t>
      </w:r>
      <w:r w:rsidR="00E4275E" w:rsidRPr="00A364B3">
        <w:rPr>
          <w:rFonts w:ascii="Arial" w:eastAsia="Calibri" w:hAnsi="Arial" w:cs="Arial"/>
          <w:sz w:val="28"/>
          <w:szCs w:val="28"/>
          <w:lang w:val="es-ES"/>
        </w:rPr>
        <w:t>había transcurrido en exceso el plazo establecido en el artículo 65 del Código Fiscal Federal, sin haber pagado y garantiza</w:t>
      </w:r>
      <w:r w:rsidR="00A178D8" w:rsidRPr="00A364B3">
        <w:rPr>
          <w:rFonts w:ascii="Arial" w:eastAsia="Calibri" w:hAnsi="Arial" w:cs="Arial"/>
          <w:sz w:val="28"/>
          <w:szCs w:val="28"/>
          <w:lang w:val="es-ES"/>
        </w:rPr>
        <w:t>n</w:t>
      </w:r>
      <w:r w:rsidR="00E4275E" w:rsidRPr="00A364B3">
        <w:rPr>
          <w:rFonts w:ascii="Arial" w:eastAsia="Calibri" w:hAnsi="Arial" w:cs="Arial"/>
          <w:sz w:val="28"/>
          <w:szCs w:val="28"/>
          <w:lang w:val="es-ES"/>
        </w:rPr>
        <w:t xml:space="preserve">do los créditos referidos con bienes </w:t>
      </w:r>
      <w:r w:rsidR="00A178D8" w:rsidRPr="00A364B3">
        <w:rPr>
          <w:rFonts w:ascii="Arial" w:eastAsia="Calibri" w:hAnsi="Arial" w:cs="Arial"/>
          <w:sz w:val="28"/>
          <w:szCs w:val="28"/>
          <w:lang w:val="es-ES"/>
        </w:rPr>
        <w:t>in</w:t>
      </w:r>
      <w:r w:rsidR="00E4275E" w:rsidRPr="00A364B3">
        <w:rPr>
          <w:rFonts w:ascii="Arial" w:eastAsia="Calibri" w:hAnsi="Arial" w:cs="Arial"/>
          <w:sz w:val="28"/>
          <w:szCs w:val="28"/>
          <w:lang w:val="es-ES"/>
        </w:rPr>
        <w:t>sufici</w:t>
      </w:r>
      <w:r w:rsidR="00A178D8" w:rsidRPr="00A364B3">
        <w:rPr>
          <w:rFonts w:ascii="Arial" w:eastAsia="Calibri" w:hAnsi="Arial" w:cs="Arial"/>
          <w:sz w:val="28"/>
          <w:szCs w:val="28"/>
          <w:lang w:val="es-ES"/>
        </w:rPr>
        <w:t xml:space="preserve">entes, motivo por el cual de conformidad con lo dispuesto en los artículos 136, 145, 150 fracciones I y II y 151 del citado Código Fiscal Federal, procedió a emitir requerimiento de pago del citado crédito, por el cual el notificador-ejecutor procedió a dar cumplimiento al mandamiento de ejecución en el domicilio fiscal del contribuyente; oficio en el cual, la autoridad cita como ordenamiento legal </w:t>
      </w:r>
      <w:r w:rsidR="00AE6BB8" w:rsidRPr="00A364B3">
        <w:rPr>
          <w:rFonts w:ascii="Arial" w:eastAsia="Calibri" w:hAnsi="Arial" w:cs="Arial"/>
          <w:sz w:val="28"/>
          <w:szCs w:val="28"/>
          <w:lang w:val="es-ES"/>
        </w:rPr>
        <w:t xml:space="preserve">que lo sustenta </w:t>
      </w:r>
      <w:r w:rsidRPr="00A364B3">
        <w:rPr>
          <w:rFonts w:ascii="Arial" w:eastAsia="Calibri" w:hAnsi="Arial" w:cs="Arial"/>
          <w:sz w:val="28"/>
          <w:szCs w:val="28"/>
        </w:rPr>
        <w:t>el Código Fiscal de la Federación, y además cita como fundamentos los artículos 13</w:t>
      </w:r>
      <w:r w:rsidR="00AE6BB8" w:rsidRPr="00A364B3">
        <w:rPr>
          <w:rFonts w:ascii="Arial" w:eastAsia="Calibri" w:hAnsi="Arial" w:cs="Arial"/>
          <w:sz w:val="28"/>
          <w:szCs w:val="28"/>
        </w:rPr>
        <w:t>,</w:t>
      </w:r>
      <w:r w:rsidRPr="00A364B3">
        <w:rPr>
          <w:rFonts w:ascii="Arial" w:eastAsia="Calibri" w:hAnsi="Arial" w:cs="Arial"/>
          <w:sz w:val="28"/>
          <w:szCs w:val="28"/>
        </w:rPr>
        <w:t xml:space="preserve"> 14</w:t>
      </w:r>
      <w:r w:rsidR="00AE6BB8" w:rsidRPr="00A364B3">
        <w:rPr>
          <w:rFonts w:ascii="Arial" w:eastAsia="Calibri" w:hAnsi="Arial" w:cs="Arial"/>
          <w:sz w:val="28"/>
          <w:szCs w:val="28"/>
        </w:rPr>
        <w:t xml:space="preserve"> y 15</w:t>
      </w:r>
      <w:r w:rsidRPr="00A364B3">
        <w:rPr>
          <w:rFonts w:ascii="Arial" w:eastAsia="Calibri" w:hAnsi="Arial" w:cs="Arial"/>
          <w:sz w:val="28"/>
          <w:szCs w:val="28"/>
        </w:rPr>
        <w:t xml:space="preserve"> de la Ley de Coordinación Fiscal; en las clausulas primera, </w:t>
      </w:r>
      <w:r w:rsidR="00AE6BB8" w:rsidRPr="00A364B3">
        <w:rPr>
          <w:rFonts w:ascii="Arial" w:eastAsia="Calibri" w:hAnsi="Arial" w:cs="Arial"/>
          <w:sz w:val="28"/>
          <w:szCs w:val="28"/>
        </w:rPr>
        <w:t>S</w:t>
      </w:r>
      <w:r w:rsidRPr="00A364B3">
        <w:rPr>
          <w:rFonts w:ascii="Arial" w:eastAsia="Calibri" w:hAnsi="Arial" w:cs="Arial"/>
          <w:sz w:val="28"/>
          <w:szCs w:val="28"/>
        </w:rPr>
        <w:t>egunda fracci</w:t>
      </w:r>
      <w:r w:rsidR="00AE6BB8" w:rsidRPr="00A364B3">
        <w:rPr>
          <w:rFonts w:ascii="Arial" w:eastAsia="Calibri" w:hAnsi="Arial" w:cs="Arial"/>
          <w:sz w:val="28"/>
          <w:szCs w:val="28"/>
        </w:rPr>
        <w:t>ón X inciso c); Cuarta, párrafos primero y segundo; Octava, primer párrafo fracción I, inciso d), e); fracción II inciso a), del Co</w:t>
      </w:r>
      <w:r w:rsidRPr="00A364B3">
        <w:rPr>
          <w:rFonts w:ascii="Arial" w:eastAsia="Calibri" w:hAnsi="Arial" w:cs="Arial"/>
          <w:sz w:val="28"/>
          <w:szCs w:val="28"/>
        </w:rPr>
        <w:t xml:space="preserve">nvenio de Colaboración Administrativa en materia Fiscal Federal, celebrado entre el Gobierno Federal, por conducto de la Secretaría de Hacienda y Crédito Público y el Gobierno del Estado de San Luis Potosí, publicado en el Diario Oficial de la Federación el l7 de agosto del 2015 y en el Periódico Oficial del Estado de San Luis Potosí el l8 de agosto de 2015; </w:t>
      </w:r>
      <w:r w:rsidR="00AE6BB8" w:rsidRPr="00A364B3">
        <w:rPr>
          <w:rFonts w:ascii="Arial" w:eastAsia="Calibri" w:hAnsi="Arial" w:cs="Arial"/>
          <w:sz w:val="28"/>
          <w:szCs w:val="28"/>
        </w:rPr>
        <w:t>asimismo, en el penúltimo párrafo del oficio en mención, se le hace del conocimiento a la parte aquí demandante, que en atención a lo previsto en el artículo 23 de la Ley Federal de los Derechos del Contribuyente, en el caso de que no esté de acuerdo con dicho acto administrativo, podrá impugnarlo mediante recurso administrativo de Revocación, conforme lo señalado en el artículo 121 del Código Fiscal Federal o a través del Juicio Contencioso Administrativo, señalado en el numeral 23 de la Ley de los Derechos del Contribuyente dentro del plazo de treinta días hábiles, según corresponda en la vía ordinaria o sumaria, ante la Sala Regional competente del Tribunal Federal de Justicia Administrativa.</w:t>
      </w:r>
    </w:p>
    <w:p w:rsidR="00AE6BB8" w:rsidRPr="00A364B3" w:rsidRDefault="00AE6BB8" w:rsidP="00AE6BB8">
      <w:pPr>
        <w:spacing w:after="0" w:line="360" w:lineRule="auto"/>
        <w:ind w:firstLine="708"/>
        <w:jc w:val="both"/>
        <w:rPr>
          <w:rFonts w:ascii="Arial" w:eastAsia="Calibri" w:hAnsi="Arial" w:cs="Arial"/>
          <w:sz w:val="28"/>
          <w:szCs w:val="28"/>
        </w:rPr>
      </w:pPr>
    </w:p>
    <w:p w:rsidR="006E3D32" w:rsidRPr="00A364B3" w:rsidRDefault="00314FEB" w:rsidP="00AE6BB8">
      <w:pPr>
        <w:spacing w:after="0" w:line="360" w:lineRule="auto"/>
        <w:ind w:firstLine="708"/>
        <w:jc w:val="both"/>
        <w:rPr>
          <w:rFonts w:ascii="Arial" w:eastAsia="Calibri" w:hAnsi="Arial" w:cs="Arial"/>
          <w:sz w:val="28"/>
          <w:szCs w:val="28"/>
        </w:rPr>
      </w:pPr>
      <w:r w:rsidRPr="00A364B3">
        <w:rPr>
          <w:rFonts w:ascii="Arial" w:eastAsia="Calibri" w:hAnsi="Arial" w:cs="Arial"/>
          <w:sz w:val="28"/>
          <w:szCs w:val="28"/>
        </w:rPr>
        <w:t>Por</w:t>
      </w:r>
      <w:r w:rsidR="006E3D32" w:rsidRPr="00A364B3">
        <w:rPr>
          <w:rFonts w:ascii="Arial" w:eastAsia="Calibri" w:hAnsi="Arial" w:cs="Arial"/>
          <w:sz w:val="28"/>
          <w:szCs w:val="28"/>
        </w:rPr>
        <w:t xml:space="preserve"> lo cual</w:t>
      </w:r>
      <w:r w:rsidRPr="00A364B3">
        <w:rPr>
          <w:rFonts w:ascii="Arial" w:eastAsia="Calibri" w:hAnsi="Arial" w:cs="Arial"/>
          <w:sz w:val="28"/>
          <w:szCs w:val="28"/>
        </w:rPr>
        <w:t>,</w:t>
      </w:r>
      <w:r w:rsidR="006E3D32" w:rsidRPr="00A364B3">
        <w:rPr>
          <w:rFonts w:ascii="Arial" w:eastAsia="Calibri" w:hAnsi="Arial" w:cs="Arial"/>
          <w:sz w:val="28"/>
          <w:szCs w:val="28"/>
        </w:rPr>
        <w:t xml:space="preserve"> es patente que</w:t>
      </w:r>
      <w:r w:rsidRPr="00A364B3">
        <w:rPr>
          <w:rFonts w:ascii="Arial" w:eastAsia="Calibri" w:hAnsi="Arial" w:cs="Arial"/>
          <w:sz w:val="28"/>
          <w:szCs w:val="28"/>
        </w:rPr>
        <w:t>,</w:t>
      </w:r>
      <w:r w:rsidR="006E3D32" w:rsidRPr="00A364B3">
        <w:rPr>
          <w:rFonts w:ascii="Arial" w:eastAsia="Calibri" w:hAnsi="Arial" w:cs="Arial"/>
          <w:sz w:val="28"/>
          <w:szCs w:val="28"/>
        </w:rPr>
        <w:t xml:space="preserve"> </w:t>
      </w:r>
      <w:r w:rsidRPr="00A364B3">
        <w:rPr>
          <w:rFonts w:ascii="Arial" w:eastAsia="Calibri" w:hAnsi="Arial" w:cs="Arial"/>
          <w:sz w:val="28"/>
          <w:szCs w:val="28"/>
        </w:rPr>
        <w:t>los actos</w:t>
      </w:r>
      <w:r w:rsidR="006E3D32" w:rsidRPr="00A364B3">
        <w:rPr>
          <w:rFonts w:ascii="Arial" w:eastAsia="Calibri" w:hAnsi="Arial" w:cs="Arial"/>
          <w:sz w:val="28"/>
          <w:szCs w:val="28"/>
        </w:rPr>
        <w:t xml:space="preserve"> que impugna el actor, fue</w:t>
      </w:r>
      <w:r w:rsidRPr="00A364B3">
        <w:rPr>
          <w:rFonts w:ascii="Arial" w:eastAsia="Calibri" w:hAnsi="Arial" w:cs="Arial"/>
          <w:sz w:val="28"/>
          <w:szCs w:val="28"/>
        </w:rPr>
        <w:t>ron</w:t>
      </w:r>
      <w:r w:rsidR="006E3D32" w:rsidRPr="00A364B3">
        <w:rPr>
          <w:rFonts w:ascii="Arial" w:eastAsia="Calibri" w:hAnsi="Arial" w:cs="Arial"/>
          <w:sz w:val="28"/>
          <w:szCs w:val="28"/>
        </w:rPr>
        <w:t xml:space="preserve"> emitido</w:t>
      </w:r>
      <w:r w:rsidRPr="00A364B3">
        <w:rPr>
          <w:rFonts w:ascii="Arial" w:eastAsia="Calibri" w:hAnsi="Arial" w:cs="Arial"/>
          <w:sz w:val="28"/>
          <w:szCs w:val="28"/>
        </w:rPr>
        <w:t>s</w:t>
      </w:r>
      <w:r w:rsidR="006E3D32" w:rsidRPr="00A364B3">
        <w:rPr>
          <w:rFonts w:ascii="Arial" w:eastAsia="Calibri" w:hAnsi="Arial" w:cs="Arial"/>
          <w:sz w:val="28"/>
          <w:szCs w:val="28"/>
        </w:rPr>
        <w:t xml:space="preserve"> por la </w:t>
      </w:r>
      <w:r w:rsidRPr="00A364B3">
        <w:rPr>
          <w:rFonts w:ascii="Arial" w:eastAsia="Calibri" w:hAnsi="Arial" w:cs="Arial"/>
          <w:sz w:val="28"/>
          <w:szCs w:val="28"/>
        </w:rPr>
        <w:t>a</w:t>
      </w:r>
      <w:r w:rsidR="006E3D32" w:rsidRPr="00A364B3">
        <w:rPr>
          <w:rFonts w:ascii="Arial" w:eastAsia="Calibri" w:hAnsi="Arial" w:cs="Arial"/>
          <w:sz w:val="28"/>
          <w:szCs w:val="28"/>
        </w:rPr>
        <w:t xml:space="preserve">utoridad demandada, en ejercicio de las atribuciones que dota el convenio referido, a efecto de llevar a cabo el cobro de contribuciones de carácter federal, por lo que es de entenderse que, en el presente caso fungía como Autoridad de carácter Federal. </w:t>
      </w:r>
    </w:p>
    <w:p w:rsidR="006E3D32" w:rsidRPr="00A364B3" w:rsidRDefault="006E3D32" w:rsidP="006E3D32">
      <w:pPr>
        <w:spacing w:after="0" w:line="360" w:lineRule="auto"/>
        <w:ind w:firstLine="708"/>
        <w:jc w:val="both"/>
        <w:rPr>
          <w:rFonts w:ascii="Arial" w:eastAsia="Calibri" w:hAnsi="Arial" w:cs="Arial"/>
          <w:sz w:val="28"/>
          <w:szCs w:val="28"/>
        </w:rPr>
      </w:pPr>
    </w:p>
    <w:p w:rsidR="006E3D32" w:rsidRPr="00A364B3" w:rsidRDefault="006E3D32" w:rsidP="006E3D32">
      <w:pPr>
        <w:spacing w:after="0" w:line="360" w:lineRule="auto"/>
        <w:ind w:firstLine="708"/>
        <w:jc w:val="both"/>
        <w:rPr>
          <w:rFonts w:ascii="Arial" w:eastAsia="Times New Roman" w:hAnsi="Arial" w:cs="Arial"/>
          <w:sz w:val="28"/>
          <w:szCs w:val="28"/>
          <w:lang w:eastAsia="es-MX"/>
        </w:rPr>
      </w:pPr>
      <w:r w:rsidRPr="00A364B3">
        <w:rPr>
          <w:rFonts w:ascii="Arial" w:eastAsia="Calibri" w:hAnsi="Arial" w:cs="Arial"/>
          <w:color w:val="000000"/>
          <w:spacing w:val="1"/>
          <w:sz w:val="28"/>
          <w:szCs w:val="28"/>
        </w:rPr>
        <w:t>Ahora bien, resulta necesario precisar q</w:t>
      </w:r>
      <w:r w:rsidRPr="00A364B3">
        <w:rPr>
          <w:rFonts w:ascii="Arial" w:eastAsia="Calibri" w:hAnsi="Arial" w:cs="Arial"/>
          <w:sz w:val="28"/>
          <w:szCs w:val="28"/>
        </w:rPr>
        <w:t>ue, el artículo 7</w:t>
      </w:r>
      <w:r w:rsidRPr="00A364B3">
        <w:rPr>
          <w:rFonts w:ascii="Arial" w:eastAsia="Calibri" w:hAnsi="Arial" w:cs="Arial"/>
          <w:color w:val="000000"/>
          <w:spacing w:val="1"/>
          <w:sz w:val="28"/>
          <w:szCs w:val="28"/>
        </w:rPr>
        <w:t xml:space="preserve"> de la Ley Orgánica del Tribunal Estatal de Justicia Administrativa d</w:t>
      </w:r>
      <w:r w:rsidRPr="00A364B3">
        <w:rPr>
          <w:rFonts w:ascii="Arial" w:eastAsia="Calibri" w:hAnsi="Arial" w:cs="Arial"/>
          <w:color w:val="000000"/>
          <w:spacing w:val="1"/>
          <w:sz w:val="28"/>
          <w:szCs w:val="28"/>
          <w:lang w:val="es-ES_tradnl"/>
        </w:rPr>
        <w:t xml:space="preserve">el Estado de San Luis Potosí, establece que éste Tribunal tiene competencia para conocer </w:t>
      </w:r>
      <w:r w:rsidRPr="00A364B3">
        <w:rPr>
          <w:rFonts w:ascii="Arial" w:eastAsia="Times New Roman" w:hAnsi="Arial" w:cs="Arial"/>
          <w:sz w:val="28"/>
          <w:szCs w:val="28"/>
          <w:lang w:eastAsia="es-MX"/>
        </w:rPr>
        <w:t>de los juicios que se promuevan en contra las resoluciones definitivas, actos administrativos y procedimientos siguientes:</w:t>
      </w:r>
    </w:p>
    <w:p w:rsidR="006E3D32" w:rsidRPr="006E3D32" w:rsidRDefault="006E3D32" w:rsidP="006E3D32">
      <w:pPr>
        <w:spacing w:after="0" w:line="240" w:lineRule="auto"/>
        <w:rPr>
          <w:rFonts w:ascii="Arial" w:eastAsia="Times New Roman" w:hAnsi="Arial" w:cs="Arial"/>
          <w:b/>
          <w:sz w:val="25"/>
          <w:szCs w:val="25"/>
          <w:lang w:eastAsia="es-MX"/>
        </w:rPr>
      </w:pPr>
    </w:p>
    <w:p w:rsidR="006E3D32" w:rsidRPr="006E3D32" w:rsidRDefault="006E3D32" w:rsidP="006E3D32">
      <w:pPr>
        <w:spacing w:after="0" w:line="240" w:lineRule="auto"/>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“I. Las controversias de carácter administrativo y fiscal derivadas de actos o resoluciones definitivas, o que pongan fin a un procedimiento, que dicten, ordenen, ejecuten o traten de ejecutar en agravio de los particulares, las autoridades del Poder Ejecutivo Estatal, de los municipios del Estado, así como de los organismos públicos descentralizados estatales y municipales, cuando los mismos actúen como autoridades;</w:t>
      </w:r>
    </w:p>
    <w:p w:rsidR="006E3D32" w:rsidRPr="006E3D32" w:rsidRDefault="006E3D32" w:rsidP="006E3D32">
      <w:pPr>
        <w:spacing w:after="0" w:line="240" w:lineRule="auto"/>
        <w:ind w:left="851" w:right="193"/>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 xml:space="preserve">II. Los decretos y acuerdos estatales y municipales de carácter general, diversos a los reglamentos, cuando sean </w:t>
      </w:r>
      <w:proofErr w:type="spellStart"/>
      <w:r w:rsidRPr="006E3D32">
        <w:rPr>
          <w:rFonts w:ascii="Arial" w:eastAsia="Times New Roman" w:hAnsi="Arial" w:cs="Arial"/>
          <w:b/>
          <w:szCs w:val="25"/>
          <w:lang w:eastAsia="es-MX"/>
        </w:rPr>
        <w:t>autoaplicativos</w:t>
      </w:r>
      <w:proofErr w:type="spellEnd"/>
      <w:r w:rsidRPr="006E3D32">
        <w:rPr>
          <w:rFonts w:ascii="Arial" w:eastAsia="Times New Roman" w:hAnsi="Arial" w:cs="Arial"/>
          <w:b/>
          <w:szCs w:val="25"/>
          <w:lang w:eastAsia="es-MX"/>
        </w:rPr>
        <w:t xml:space="preserve"> o cuando el interesado los controvierta con motivo de su primer acto de aplicación;</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III. Las dictadas por autoridades fiscales estatales y municipales, incluyendo a sus organismos descentralizados, en que se determine la existencia de una obligación fiscal, se fije en cantidad líquida o se den las bases para su liquidación;</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IV.  Las que nieguen la devolución de un ingreso de los regulados por el Código Fiscal del Estado, indebidamente percibido por el Estado o por el municipio, incluyendo a sus organismos descentralizados, o cuya devolución proceda de conformidad con las leyes fiscales estatales;</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V. Las que impongan multas por infracción a las normas administrativas estatales;</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VI. Las que causen un agravio en materia fiscal distinto al que se refieren las fracciones anteriores;</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VII. Las resoluciones administrativas y fiscales favorables a los particulares que impugnen las autoridades, por considerar que lesionan a la administración pública o al interés público;</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VIII. Las que se dicten en materia de pensiones civiles, sea con cargo al erario estatal o municipal o a la Dirección de Pensiones del Estado;</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IX. Las que se originen por fallos en licitaciones públicas y la interpretación y cumplimiento de contratos públicos, de obra pública, adquisiciones, arrendamientos y servicios celebrados por las dependencias y entidades de la Administración Pública Estatal y Municipal centralizada y paraestatal; así como, las que estén bajo responsabilidad de los entes públicos estatales y municipales cuando las disposiciones aplicables señalen expresamente la competencia del Tribunal;</w:t>
      </w:r>
    </w:p>
    <w:p w:rsidR="006E3D32" w:rsidRPr="006E3D32" w:rsidRDefault="006E3D32" w:rsidP="006E3D32">
      <w:pPr>
        <w:spacing w:after="0" w:line="240" w:lineRule="auto"/>
        <w:ind w:left="851" w:right="193"/>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X. Las que nieguen la indemnización por responsabilidad patrimonial del Estado, declaren improcedente su reclamación o cuando habiéndola otorgado no satisfaga al reclamante; así como las que en dicha materia se tramiten directamente ante el Tribunal. También, las que por vía de repetición, impongan la obligación a los servidores públicos de resarcir al Estado el pago correspondiente a la indemnización, en los términos de la ley de la materia;</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XI. Las dictadas por las autoridades administrativas que pongan fin a un procedimiento administrativo, a una instancia o resuelvan un expediente, en los términos del Libro Segundo del Código Procesal Administrativo del Estado de San Luis Potosí;</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 xml:space="preserve">XII. Las que resuelvan los recursos administrativos en contra de las resoluciones que se indican en las demás fracciones de este artículo; </w:t>
      </w:r>
    </w:p>
    <w:p w:rsidR="006E3D32" w:rsidRPr="006E3D32" w:rsidRDefault="006E3D32" w:rsidP="006E3D32">
      <w:pPr>
        <w:spacing w:after="0" w:line="240" w:lineRule="auto"/>
        <w:ind w:left="851" w:right="193"/>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XIII. Las que se configuren por negativa ficta en las materias señaladas en este artículo, por el transcurso del plazo que señalen el Código Fiscal del Estado, el Código Procesal Administrativo del Estado de San Luis Potosí, o las disposiciones aplicables o, en su defecto, en el plazo de tres meses, así como las que nieguen la expedición de la constancia de haberse configurado la resolución afirmativa ficta, cuando ésta se encuentre prevista por la ley que rija a dichas materias.</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No será aplicable lo dispuesto en el párrafo anterior en todos aquellos casos en los que se pudiere afectar el derecho de un tercero, reconocido en un registro o anotación ante autoridad administrativa;</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XIV. Las resoluciones definitivas por las que se impongan sanciones a los servidores públicos por faltas administrativas no graves en términos de la legislación aplicable, así como contra las que decidan los recursos administrativos previstos en dichos ordenamientos, incluyendo las resoluciones dictadas por los órganos constitucionales autónomos;</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XV. Las resoluciones de la Contraloría del Consejo Estatal Electoral y de Participación Ciudadana que impongan sanciones administrativas no graves, en términos de la Ley Electoral del Estado;</w:t>
      </w:r>
    </w:p>
    <w:p w:rsidR="006E3D32" w:rsidRPr="006E3D32" w:rsidRDefault="006E3D32" w:rsidP="006E3D32">
      <w:pPr>
        <w:spacing w:after="0" w:line="240" w:lineRule="auto"/>
        <w:ind w:left="851" w:right="193"/>
        <w:rPr>
          <w:rFonts w:ascii="Arial" w:eastAsia="Times New Roman" w:hAnsi="Arial" w:cs="Arial"/>
          <w:b/>
          <w:szCs w:val="25"/>
          <w:lang w:eastAsia="es-MX"/>
        </w:rPr>
      </w:pPr>
      <w:r w:rsidRPr="006E3D32">
        <w:rPr>
          <w:rFonts w:ascii="Arial" w:eastAsia="Times New Roman" w:hAnsi="Arial" w:cs="Arial"/>
          <w:b/>
          <w:szCs w:val="25"/>
          <w:lang w:eastAsia="es-MX"/>
        </w:rPr>
        <w:t>XVI. Las sanciones y demás resoluciones emitidas por la Auditoría Superior del Estado, en términos de la Ley de Auditoría Superior del Estado de San Luis Potosí;</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XVII. Las resoluciones definitivas que determinen la separación, remoción, baja, cese o cualquier otra forma de terminación del servicio de, los agentes del Ministerio Público; peritos; custodios, y miembros de las instituciones policiales del Estado y municipios de San Luis Potosí, que dicten las autoridades correspondientes en aplicación de la Ley del Sistema de Seguridad Pública del Estado, y reglamentos de la materia, y</w:t>
      </w:r>
    </w:p>
    <w:p w:rsidR="006E3D32" w:rsidRPr="006E3D32" w:rsidRDefault="006E3D32" w:rsidP="006E3D32">
      <w:pPr>
        <w:spacing w:after="0" w:line="240" w:lineRule="auto"/>
        <w:ind w:left="851" w:right="193"/>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 xml:space="preserve">XVIII. Las señaladas en ésta y otras leyes como competencia del Tribunal. </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El Tribunal conocerá también de los juicios que promuevan las autoridades para que sean anuladas las resoluciones administrativas favorables a un particular, cuando se consideren contrarias a la ley.”</w:t>
      </w:r>
    </w:p>
    <w:p w:rsidR="006E3D32" w:rsidRPr="006E3D32" w:rsidRDefault="006E3D32" w:rsidP="006E3D32">
      <w:pPr>
        <w:spacing w:after="0" w:line="240" w:lineRule="auto"/>
        <w:rPr>
          <w:rFonts w:ascii="Arial" w:eastAsia="Times New Roman" w:hAnsi="Arial" w:cs="Arial"/>
          <w:b/>
          <w:szCs w:val="25"/>
          <w:lang w:eastAsia="es-MX"/>
        </w:rPr>
      </w:pPr>
    </w:p>
    <w:p w:rsidR="006E3D32" w:rsidRPr="006E3D32" w:rsidRDefault="006E3D32" w:rsidP="006E3D32">
      <w:pPr>
        <w:spacing w:after="0" w:line="240" w:lineRule="auto"/>
        <w:rPr>
          <w:rFonts w:ascii="Arial" w:eastAsia="Times New Roman" w:hAnsi="Arial" w:cs="Arial"/>
          <w:b/>
          <w:szCs w:val="25"/>
          <w:lang w:eastAsia="es-MX"/>
        </w:rPr>
      </w:pPr>
    </w:p>
    <w:p w:rsidR="006E3D32" w:rsidRPr="00A364B3" w:rsidRDefault="006E3D32" w:rsidP="006E3D32">
      <w:pPr>
        <w:spacing w:line="360" w:lineRule="auto"/>
        <w:ind w:firstLine="708"/>
        <w:jc w:val="both"/>
        <w:rPr>
          <w:rFonts w:ascii="Arial" w:eastAsia="Calibri" w:hAnsi="Arial" w:cs="Arial"/>
          <w:color w:val="000000"/>
          <w:spacing w:val="1"/>
          <w:sz w:val="28"/>
          <w:szCs w:val="28"/>
          <w:lang w:val="es-ES_tradnl"/>
        </w:rPr>
      </w:pPr>
      <w:r w:rsidRPr="00A364B3">
        <w:rPr>
          <w:rFonts w:ascii="Arial" w:eastAsia="Calibri" w:hAnsi="Arial" w:cs="Arial"/>
          <w:color w:val="000000"/>
          <w:spacing w:val="1"/>
          <w:sz w:val="28"/>
          <w:szCs w:val="28"/>
          <w:lang w:val="es-ES_tradnl"/>
        </w:rPr>
        <w:t>Adicionalmente, el artículo 28</w:t>
      </w:r>
      <w:r w:rsidRPr="00A364B3">
        <w:rPr>
          <w:rFonts w:ascii="Arial" w:eastAsia="Calibri" w:hAnsi="Arial" w:cs="Arial"/>
          <w:color w:val="000000"/>
          <w:spacing w:val="1"/>
          <w:sz w:val="28"/>
          <w:szCs w:val="28"/>
        </w:rPr>
        <w:t xml:space="preserve"> de la Ley Orgánica del Tribunal Estatal de Justicia Administrativa</w:t>
      </w:r>
      <w:r w:rsidRPr="00A364B3">
        <w:rPr>
          <w:rFonts w:ascii="Arial" w:eastAsia="Calibri" w:hAnsi="Arial" w:cs="Arial"/>
          <w:color w:val="000000"/>
          <w:spacing w:val="1"/>
          <w:sz w:val="28"/>
          <w:szCs w:val="28"/>
          <w:lang w:val="es-ES_tradnl"/>
        </w:rPr>
        <w:t xml:space="preserve">; señala que las Salas Unitarias del Tribunal Estatal de Justicia Administrativa, además de los juicios a que se refiere el artículo 7 fracciones I a XII, conocerán de aquellos juicios que se promuevan contras las resoluciones definitivas, actos administrativos y procedimientos que se indican a continuación: </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 xml:space="preserve"> “I. Las resoluciones definitivas relacionadas con la interpretación y cumplimiento de contratos públicos, obra pública, adquisiciones, arrendamientos y servicios celebrados por las dependencias y entidades de la Administración Pública Estatal y Municipal;</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II. Las dictadas por autoridades administrativas en materia de licitaciones públicas;</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III. Las que nieguen la indemnización por responsabilidad patrimonial del Estado o Municipios, declaren improcedente su reclamación, o cuando habiéndola otorgado no satisfaga al reclamante, y las que por repetición impongan la obligación a los servidores públicos de resarcir al Estado los pagos correspondientes a la indemnización, en los términos de la ley de la materia;</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IV. Las dictadas por las autoridades administrativas que pongan fin a un procedimiento administrativo, a una instancia o resuelvan un expediente, respecto de los supuestos descritos en los incisos anteriores de este artículo;</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V.  Las dictadas en los juicios promovidos por los Secretarios de Estudio y Cuenta, Secretarios de Acuerdos, Actuarios y demás personal del Tribunal, en contra de sanciones derivadas de actos u omisiones que constituyan faltas administrativas no graves, impuestas por el Pleno o por el Órgano Interno de Control, en aplicación de la Ley de Responsabilidades Administrativas, y</w:t>
      </w:r>
    </w:p>
    <w:p w:rsidR="006E3D32" w:rsidRPr="006E3D32" w:rsidRDefault="006E3D32" w:rsidP="006E3D32">
      <w:pPr>
        <w:spacing w:after="0" w:line="240" w:lineRule="auto"/>
        <w:ind w:left="851" w:right="193"/>
        <w:jc w:val="both"/>
        <w:rPr>
          <w:rFonts w:ascii="Arial" w:eastAsia="Times New Roman" w:hAnsi="Arial" w:cs="Arial"/>
          <w:b/>
          <w:szCs w:val="25"/>
          <w:lang w:eastAsia="es-MX"/>
        </w:rPr>
      </w:pPr>
    </w:p>
    <w:p w:rsidR="006E3D32" w:rsidRPr="006E3D32" w:rsidRDefault="006E3D32" w:rsidP="006E3D32">
      <w:pPr>
        <w:spacing w:after="0" w:line="240" w:lineRule="auto"/>
        <w:ind w:left="851" w:right="193"/>
        <w:jc w:val="both"/>
        <w:rPr>
          <w:rFonts w:ascii="Arial" w:eastAsia="Times New Roman" w:hAnsi="Arial" w:cs="Arial"/>
          <w:b/>
          <w:szCs w:val="25"/>
          <w:lang w:eastAsia="es-MX"/>
        </w:rPr>
      </w:pPr>
      <w:r w:rsidRPr="006E3D32">
        <w:rPr>
          <w:rFonts w:ascii="Arial" w:eastAsia="Times New Roman" w:hAnsi="Arial" w:cs="Arial"/>
          <w:b/>
          <w:szCs w:val="25"/>
          <w:lang w:eastAsia="es-MX"/>
        </w:rPr>
        <w:t>VI. Las que resuelvan los recursos administrativos en contra de las resoluciones que se indican en las demás fracciones de este artículo.”</w:t>
      </w:r>
    </w:p>
    <w:p w:rsidR="006E3D32" w:rsidRPr="006E3D32" w:rsidRDefault="006E3D32" w:rsidP="006E3D32">
      <w:pPr>
        <w:spacing w:after="0" w:line="240" w:lineRule="auto"/>
        <w:ind w:right="193"/>
        <w:jc w:val="both"/>
        <w:rPr>
          <w:rFonts w:ascii="Arial" w:eastAsia="Times New Roman" w:hAnsi="Arial" w:cs="Arial"/>
          <w:b/>
          <w:szCs w:val="25"/>
          <w:lang w:eastAsia="es-MX"/>
        </w:rPr>
      </w:pPr>
    </w:p>
    <w:p w:rsidR="006E3D32" w:rsidRPr="006E3D32" w:rsidRDefault="006E3D32" w:rsidP="006E3D32">
      <w:pPr>
        <w:spacing w:after="0" w:line="240" w:lineRule="auto"/>
        <w:ind w:right="193"/>
        <w:jc w:val="both"/>
        <w:rPr>
          <w:rFonts w:ascii="Arial" w:eastAsia="Times New Roman" w:hAnsi="Arial" w:cs="Arial"/>
          <w:b/>
          <w:sz w:val="25"/>
          <w:szCs w:val="25"/>
          <w:lang w:eastAsia="es-MX"/>
        </w:rPr>
      </w:pPr>
    </w:p>
    <w:p w:rsidR="006E3D32" w:rsidRPr="00A364B3" w:rsidRDefault="006E3D32" w:rsidP="006E3D32">
      <w:pPr>
        <w:autoSpaceDE w:val="0"/>
        <w:autoSpaceDN w:val="0"/>
        <w:adjustRightInd w:val="0"/>
        <w:spacing w:line="360" w:lineRule="auto"/>
        <w:ind w:right="-86" w:firstLine="708"/>
        <w:jc w:val="both"/>
        <w:rPr>
          <w:rFonts w:ascii="Arial" w:eastAsia="Calibri" w:hAnsi="Arial" w:cs="Arial"/>
          <w:sz w:val="28"/>
          <w:szCs w:val="28"/>
          <w:lang w:eastAsia="es-MX"/>
        </w:rPr>
      </w:pPr>
      <w:r w:rsidRPr="00A364B3">
        <w:rPr>
          <w:rFonts w:ascii="Arial" w:eastAsia="Calibri" w:hAnsi="Arial" w:cs="Arial"/>
          <w:sz w:val="28"/>
          <w:szCs w:val="28"/>
          <w:lang w:eastAsia="es-MX"/>
        </w:rPr>
        <w:t xml:space="preserve">De los preceptos legales transcritos con antelación se </w:t>
      </w:r>
      <w:r w:rsidR="00314FEB" w:rsidRPr="00A364B3">
        <w:rPr>
          <w:rFonts w:ascii="Arial" w:eastAsia="Calibri" w:hAnsi="Arial" w:cs="Arial"/>
          <w:sz w:val="28"/>
          <w:szCs w:val="28"/>
          <w:lang w:eastAsia="es-MX"/>
        </w:rPr>
        <w:t>desprende lo siguiente</w:t>
      </w:r>
      <w:r w:rsidRPr="00A364B3">
        <w:rPr>
          <w:rFonts w:ascii="Arial" w:eastAsia="Calibri" w:hAnsi="Arial" w:cs="Arial"/>
          <w:sz w:val="28"/>
          <w:szCs w:val="28"/>
          <w:lang w:eastAsia="es-MX"/>
        </w:rPr>
        <w:t xml:space="preserve">: </w:t>
      </w:r>
    </w:p>
    <w:p w:rsidR="006E3D32" w:rsidRPr="00A364B3" w:rsidRDefault="006E3D32" w:rsidP="006E3D32">
      <w:pPr>
        <w:autoSpaceDE w:val="0"/>
        <w:autoSpaceDN w:val="0"/>
        <w:adjustRightInd w:val="0"/>
        <w:spacing w:line="360" w:lineRule="auto"/>
        <w:ind w:right="-86" w:firstLine="708"/>
        <w:jc w:val="both"/>
        <w:rPr>
          <w:rFonts w:ascii="Arial" w:eastAsia="Calibri" w:hAnsi="Arial" w:cs="Arial"/>
          <w:sz w:val="28"/>
          <w:szCs w:val="28"/>
        </w:rPr>
      </w:pPr>
      <w:r w:rsidRPr="00A364B3">
        <w:rPr>
          <w:rFonts w:ascii="Arial" w:eastAsia="Calibri" w:hAnsi="Arial" w:cs="Arial"/>
          <w:b/>
          <w:sz w:val="28"/>
          <w:szCs w:val="28"/>
          <w:lang w:eastAsia="es-MX"/>
        </w:rPr>
        <w:t>a)</w:t>
      </w:r>
      <w:r w:rsidRPr="00A364B3">
        <w:rPr>
          <w:rFonts w:ascii="Arial" w:eastAsia="Calibri" w:hAnsi="Arial" w:cs="Arial"/>
          <w:sz w:val="28"/>
          <w:szCs w:val="28"/>
          <w:lang w:eastAsia="es-MX"/>
        </w:rPr>
        <w:t xml:space="preserve">.- Que </w:t>
      </w:r>
      <w:r w:rsidRPr="00A364B3">
        <w:rPr>
          <w:rFonts w:ascii="Arial" w:eastAsia="Calibri" w:hAnsi="Arial" w:cs="Arial"/>
          <w:sz w:val="28"/>
          <w:szCs w:val="28"/>
        </w:rPr>
        <w:t xml:space="preserve">la competencia de este Tribunal de Jurisdicción Contenciosa Administrativa, se acota, entre otras, a dirimir controversias suscitadas entre los particulares y la administración pública estatal y municipal, entendiendo como tal (administración pública) exclusivamente los órganos dependientes del Poder Ejecutivo del Estado y Municipios, es decir, las dependencias o entidades de carácter administrativo que integran al Poder Ejecutivo Estatal, municipal y organismos descentralizados cuando éstas emitan actos de naturaleza o contenido administrativo, y; </w:t>
      </w:r>
    </w:p>
    <w:p w:rsidR="006E3D32" w:rsidRPr="00A364B3" w:rsidRDefault="006E3D32" w:rsidP="006E3D32">
      <w:pPr>
        <w:autoSpaceDE w:val="0"/>
        <w:autoSpaceDN w:val="0"/>
        <w:adjustRightInd w:val="0"/>
        <w:spacing w:line="360" w:lineRule="auto"/>
        <w:ind w:right="-86" w:firstLine="708"/>
        <w:jc w:val="both"/>
        <w:rPr>
          <w:rFonts w:ascii="Arial" w:eastAsia="Calibri" w:hAnsi="Arial" w:cs="Arial"/>
          <w:sz w:val="28"/>
          <w:szCs w:val="28"/>
          <w:lang w:eastAsia="es-MX"/>
        </w:rPr>
      </w:pPr>
      <w:r w:rsidRPr="00A364B3">
        <w:rPr>
          <w:rFonts w:ascii="Arial" w:eastAsia="Calibri" w:hAnsi="Arial" w:cs="Arial"/>
          <w:b/>
          <w:sz w:val="28"/>
          <w:szCs w:val="28"/>
        </w:rPr>
        <w:t>b).-</w:t>
      </w:r>
      <w:r w:rsidRPr="00A364B3">
        <w:rPr>
          <w:rFonts w:ascii="Arial" w:eastAsia="Calibri" w:hAnsi="Arial" w:cs="Arial"/>
          <w:sz w:val="28"/>
          <w:szCs w:val="28"/>
        </w:rPr>
        <w:t xml:space="preserve"> Que </w:t>
      </w:r>
      <w:r w:rsidRPr="00A364B3">
        <w:rPr>
          <w:rFonts w:ascii="Arial" w:eastAsia="Calibri" w:hAnsi="Arial" w:cs="Arial"/>
          <w:sz w:val="28"/>
          <w:szCs w:val="28"/>
          <w:lang w:eastAsia="es-MX"/>
        </w:rPr>
        <w:t xml:space="preserve">las Salas de este Tribunal conocerán de los juicios que se promuevan en contra de actos y resoluciones de las Autoridades del Poder Ejecutivo del Estado, de los Municipios, y de los organismos descentralizados estatales y municipales, cuando éstos actúen como Autoridad; por lo que necesariamente </w:t>
      </w:r>
      <w:r w:rsidRPr="00A364B3">
        <w:rPr>
          <w:rFonts w:ascii="Arial" w:eastAsia="Calibri" w:hAnsi="Arial" w:cs="Arial"/>
          <w:sz w:val="28"/>
          <w:szCs w:val="28"/>
        </w:rPr>
        <w:t xml:space="preserve">se requiere de que exista </w:t>
      </w:r>
      <w:r w:rsidRPr="00A364B3">
        <w:rPr>
          <w:rFonts w:ascii="Arial" w:eastAsia="Calibri" w:hAnsi="Arial" w:cs="Arial"/>
          <w:color w:val="000000"/>
          <w:sz w:val="28"/>
          <w:szCs w:val="28"/>
          <w:lang w:eastAsia="es-MX"/>
        </w:rPr>
        <w:t>una actuación definitiva por parte de una autoridad en la que determine, ordene o ejecute un agravio al interés jurídico del particular y que constituya por ende una resolución o acto definitivo, que permita a esta Sala emitir un pronunciamiento en la medida que uno de los objetivos del juicio de nulidad es analizar la legalidad o ilegalidad de los actos de autoridad.</w:t>
      </w:r>
    </w:p>
    <w:p w:rsidR="006E3D32" w:rsidRPr="00A364B3" w:rsidRDefault="006E3D32" w:rsidP="006E3D32">
      <w:pPr>
        <w:spacing w:line="360" w:lineRule="auto"/>
        <w:ind w:right="56" w:firstLine="348"/>
        <w:jc w:val="both"/>
        <w:rPr>
          <w:rFonts w:ascii="Arial" w:eastAsia="Calibri" w:hAnsi="Arial" w:cs="Arial"/>
          <w:sz w:val="28"/>
          <w:szCs w:val="28"/>
        </w:rPr>
      </w:pPr>
    </w:p>
    <w:p w:rsidR="006E3D32" w:rsidRPr="00A364B3" w:rsidRDefault="006E3D32" w:rsidP="006E3D32">
      <w:pPr>
        <w:spacing w:line="360" w:lineRule="auto"/>
        <w:ind w:right="-86" w:firstLine="708"/>
        <w:jc w:val="both"/>
        <w:rPr>
          <w:rFonts w:ascii="Arial" w:eastAsia="Calibri" w:hAnsi="Arial" w:cs="Arial"/>
          <w:sz w:val="28"/>
          <w:szCs w:val="28"/>
          <w:lang w:eastAsia="es-MX"/>
        </w:rPr>
      </w:pPr>
      <w:r w:rsidRPr="00A364B3">
        <w:rPr>
          <w:rFonts w:ascii="Arial" w:eastAsia="Calibri" w:hAnsi="Arial" w:cs="Arial"/>
          <w:sz w:val="28"/>
          <w:szCs w:val="28"/>
          <w:lang w:eastAsia="es-MX"/>
        </w:rPr>
        <w:t xml:space="preserve">De esta manera, tenemos que </w:t>
      </w:r>
      <w:r w:rsidRPr="00A364B3">
        <w:rPr>
          <w:rFonts w:ascii="Arial" w:eastAsia="Calibri" w:hAnsi="Arial" w:cs="Arial"/>
          <w:sz w:val="28"/>
          <w:szCs w:val="28"/>
        </w:rPr>
        <w:t xml:space="preserve">por regla general </w:t>
      </w:r>
      <w:r w:rsidRPr="00A364B3">
        <w:rPr>
          <w:rFonts w:ascii="Arial" w:eastAsia="Calibri" w:hAnsi="Arial" w:cs="Arial"/>
          <w:sz w:val="28"/>
          <w:szCs w:val="28"/>
          <w:lang w:eastAsia="es-MX"/>
        </w:rPr>
        <w:t>el juicio de nulidad</w:t>
      </w:r>
      <w:r w:rsidRPr="00A364B3">
        <w:rPr>
          <w:rFonts w:ascii="Arial" w:eastAsia="Calibri" w:hAnsi="Arial" w:cs="Arial"/>
          <w:sz w:val="28"/>
          <w:szCs w:val="28"/>
        </w:rPr>
        <w:t>, es un medio de defensa que el particular puede interponer cuando ve afectada su esfera jurídica, por algún acto o resolución de naturaleza administrativa, emitida por una autoridad estatal, municipal o de un organismo descentralizado, a efecto de que el Tribunal Estatal de Justicia Administrativa dirima la controversia planteada y determine si la actuación de la autoridad administrativa se ajustó a los lineamientos legales que regulan su actuación</w:t>
      </w:r>
      <w:r w:rsidRPr="00A364B3">
        <w:rPr>
          <w:rFonts w:ascii="Arial" w:eastAsia="Calibri" w:hAnsi="Arial" w:cs="Arial"/>
          <w:sz w:val="28"/>
          <w:szCs w:val="28"/>
          <w:lang w:eastAsia="es-MX"/>
        </w:rPr>
        <w:t xml:space="preserve">, de lo que se sigue que su procedencia está sujeta a que el acto de autoridad que se pretende impugnar constituya un acto o </w:t>
      </w:r>
      <w:r w:rsidRPr="00A364B3">
        <w:rPr>
          <w:rFonts w:ascii="Arial" w:eastAsia="Calibri" w:hAnsi="Arial" w:cs="Arial"/>
          <w:bCs/>
          <w:sz w:val="28"/>
          <w:szCs w:val="28"/>
          <w:lang w:eastAsia="es-MX"/>
        </w:rPr>
        <w:t xml:space="preserve">resolución definitiva </w:t>
      </w:r>
      <w:r w:rsidRPr="00A364B3">
        <w:rPr>
          <w:rFonts w:ascii="Arial" w:eastAsia="Calibri" w:hAnsi="Arial" w:cs="Arial"/>
          <w:sz w:val="28"/>
          <w:szCs w:val="28"/>
          <w:lang w:eastAsia="es-MX"/>
        </w:rPr>
        <w:t>prevista por el artículo 7 de la Ley Orgánica del Tribunal Estatal de Justicia Administrativa y ese acto o resolución además cause un agravio personal y directo al promovente en su esfera jurídica.</w:t>
      </w:r>
    </w:p>
    <w:p w:rsidR="006E3D32" w:rsidRPr="00A364B3" w:rsidRDefault="006E3D32" w:rsidP="006E3D32">
      <w:pPr>
        <w:jc w:val="both"/>
        <w:rPr>
          <w:rFonts w:ascii="Arial" w:eastAsia="Calibri" w:hAnsi="Arial" w:cs="Arial"/>
          <w:sz w:val="28"/>
          <w:szCs w:val="28"/>
        </w:rPr>
      </w:pPr>
    </w:p>
    <w:p w:rsidR="006E3D32" w:rsidRPr="00A364B3" w:rsidRDefault="006E3D32" w:rsidP="006E3D32">
      <w:pPr>
        <w:spacing w:line="360" w:lineRule="auto"/>
        <w:ind w:firstLine="708"/>
        <w:jc w:val="both"/>
        <w:rPr>
          <w:rFonts w:ascii="Arial" w:eastAsia="Calibri" w:hAnsi="Arial" w:cs="Arial"/>
          <w:color w:val="000000"/>
          <w:sz w:val="28"/>
          <w:szCs w:val="28"/>
          <w:lang w:eastAsia="es-MX"/>
        </w:rPr>
      </w:pPr>
      <w:r w:rsidRPr="00A364B3">
        <w:rPr>
          <w:rFonts w:ascii="Arial" w:eastAsia="Calibri" w:hAnsi="Arial" w:cs="Arial"/>
          <w:sz w:val="28"/>
          <w:szCs w:val="28"/>
        </w:rPr>
        <w:t xml:space="preserve">En tal Sentido, </w:t>
      </w:r>
      <w:r w:rsidRPr="00A364B3">
        <w:rPr>
          <w:rFonts w:ascii="Arial" w:eastAsia="Calibri" w:hAnsi="Arial" w:cs="Arial"/>
          <w:b/>
          <w:sz w:val="28"/>
          <w:szCs w:val="28"/>
          <w:u w:val="single"/>
        </w:rPr>
        <w:t>se considera</w:t>
      </w:r>
      <w:r w:rsidRPr="00A364B3">
        <w:rPr>
          <w:rFonts w:ascii="Arial" w:eastAsia="Calibri" w:hAnsi="Arial" w:cs="Arial"/>
          <w:b/>
          <w:sz w:val="28"/>
          <w:szCs w:val="28"/>
          <w:u w:val="single"/>
          <w:lang w:val="es-ES"/>
        </w:rPr>
        <w:t xml:space="preserve"> que este órgano Jurisdiccional carece de competencia para conocer de</w:t>
      </w:r>
      <w:r w:rsidR="00314FEB" w:rsidRPr="00A364B3">
        <w:rPr>
          <w:rFonts w:ascii="Arial" w:eastAsia="Calibri" w:hAnsi="Arial" w:cs="Arial"/>
          <w:b/>
          <w:sz w:val="28"/>
          <w:szCs w:val="28"/>
          <w:u w:val="single"/>
          <w:lang w:val="es-ES"/>
        </w:rPr>
        <w:t xml:space="preserve"> </w:t>
      </w:r>
      <w:r w:rsidRPr="00A364B3">
        <w:rPr>
          <w:rFonts w:ascii="Arial" w:eastAsia="Calibri" w:hAnsi="Arial" w:cs="Arial"/>
          <w:b/>
          <w:sz w:val="28"/>
          <w:szCs w:val="28"/>
          <w:u w:val="single"/>
          <w:lang w:val="es-ES"/>
        </w:rPr>
        <w:t>l</w:t>
      </w:r>
      <w:r w:rsidR="00314FEB" w:rsidRPr="00A364B3">
        <w:rPr>
          <w:rFonts w:ascii="Arial" w:eastAsia="Calibri" w:hAnsi="Arial" w:cs="Arial"/>
          <w:b/>
          <w:sz w:val="28"/>
          <w:szCs w:val="28"/>
          <w:u w:val="single"/>
          <w:lang w:val="es-ES"/>
        </w:rPr>
        <w:t>os actos que impugna la parte actora</w:t>
      </w:r>
      <w:r w:rsidRPr="00A364B3">
        <w:rPr>
          <w:rFonts w:ascii="Arial" w:eastAsia="Calibri" w:hAnsi="Arial" w:cs="Arial"/>
          <w:b/>
          <w:color w:val="000000"/>
          <w:sz w:val="28"/>
          <w:szCs w:val="28"/>
          <w:u w:val="single"/>
        </w:rPr>
        <w:t xml:space="preserve"> </w:t>
      </w:r>
      <w:r w:rsidR="008274DD" w:rsidRPr="00A364B3">
        <w:rPr>
          <w:rFonts w:ascii="Arial" w:eastAsia="Calibri" w:hAnsi="Arial" w:cs="Arial"/>
          <w:b/>
          <w:color w:val="000000"/>
          <w:sz w:val="28"/>
          <w:szCs w:val="28"/>
          <w:u w:val="single"/>
        </w:rPr>
        <w:t>en el presente juicio</w:t>
      </w:r>
      <w:r w:rsidR="008274DD" w:rsidRPr="00A364B3">
        <w:rPr>
          <w:rFonts w:ascii="Arial" w:eastAsia="Calibri" w:hAnsi="Arial" w:cs="Arial"/>
          <w:color w:val="000000"/>
          <w:sz w:val="28"/>
          <w:szCs w:val="28"/>
        </w:rPr>
        <w:t>, c</w:t>
      </w:r>
      <w:r w:rsidR="008274DD" w:rsidRPr="00A364B3">
        <w:rPr>
          <w:rFonts w:ascii="Arial" w:eastAsia="Calibri" w:hAnsi="Arial" w:cs="Arial"/>
          <w:b/>
          <w:color w:val="000000"/>
          <w:sz w:val="28"/>
          <w:szCs w:val="28"/>
        </w:rPr>
        <w:t xml:space="preserve">onsistentes </w:t>
      </w:r>
      <w:r w:rsidR="008274DD" w:rsidRPr="00A364B3">
        <w:rPr>
          <w:rFonts w:ascii="Arial" w:eastAsia="Calibri" w:hAnsi="Arial" w:cs="Arial"/>
          <w:sz w:val="28"/>
          <w:szCs w:val="28"/>
          <w:lang w:val="es-ES"/>
        </w:rPr>
        <w:t>en los mandamientos de ejecución número 1706129, 1706130, 1706131, 1706132, 1706133, 1809087 y 1809086, de fechas 18 de junio de 2021 y 28 de febrero de 2020, así como sus actas de requerimiento de pago y los embargos de bienes relacionados con las mismas, respecto a los cuales, niega de manera lisa y llana en términos del artículo 45 del Código Fiscal del Estado; así como las resoluciones determinantes de los supuestos créditos fiscales señalados y sus respectivas constancias de notificación de las cuales niega de manera lisa y llana tener conocimiento de su existencia y de todos sus antecedentes</w:t>
      </w:r>
      <w:r w:rsidRPr="00A364B3">
        <w:rPr>
          <w:rFonts w:ascii="Arial" w:eastAsia="Calibri" w:hAnsi="Arial" w:cs="Arial"/>
          <w:b/>
          <w:color w:val="000000"/>
          <w:sz w:val="28"/>
          <w:szCs w:val="28"/>
        </w:rPr>
        <w:t xml:space="preserve">, </w:t>
      </w:r>
      <w:r w:rsidRPr="00A364B3">
        <w:rPr>
          <w:rFonts w:ascii="Arial" w:eastAsia="Calibri" w:hAnsi="Arial" w:cs="Arial"/>
          <w:sz w:val="28"/>
          <w:szCs w:val="28"/>
          <w:lang w:val="es-ES"/>
        </w:rPr>
        <w:t>ya que dicho</w:t>
      </w:r>
      <w:r w:rsidR="008274DD" w:rsidRPr="00A364B3">
        <w:rPr>
          <w:rFonts w:ascii="Arial" w:eastAsia="Calibri" w:hAnsi="Arial" w:cs="Arial"/>
          <w:sz w:val="28"/>
          <w:szCs w:val="28"/>
          <w:lang w:val="es-ES"/>
        </w:rPr>
        <w:t>s</w:t>
      </w:r>
      <w:r w:rsidRPr="00A364B3">
        <w:rPr>
          <w:rFonts w:ascii="Arial" w:eastAsia="Calibri" w:hAnsi="Arial" w:cs="Arial"/>
          <w:sz w:val="28"/>
          <w:szCs w:val="28"/>
          <w:lang w:val="es-ES"/>
        </w:rPr>
        <w:t xml:space="preserve"> acto</w:t>
      </w:r>
      <w:r w:rsidR="008274DD" w:rsidRPr="00A364B3">
        <w:rPr>
          <w:rFonts w:ascii="Arial" w:eastAsia="Calibri" w:hAnsi="Arial" w:cs="Arial"/>
          <w:sz w:val="28"/>
          <w:szCs w:val="28"/>
          <w:lang w:val="es-ES"/>
        </w:rPr>
        <w:t>s</w:t>
      </w:r>
      <w:r w:rsidRPr="00A364B3">
        <w:rPr>
          <w:rFonts w:ascii="Arial" w:eastAsia="Calibri" w:hAnsi="Arial" w:cs="Arial"/>
          <w:sz w:val="28"/>
          <w:szCs w:val="28"/>
          <w:lang w:val="es-ES"/>
        </w:rPr>
        <w:t xml:space="preserve"> no se encuentra</w:t>
      </w:r>
      <w:r w:rsidR="008274DD" w:rsidRPr="00A364B3">
        <w:rPr>
          <w:rFonts w:ascii="Arial" w:eastAsia="Calibri" w:hAnsi="Arial" w:cs="Arial"/>
          <w:sz w:val="28"/>
          <w:szCs w:val="28"/>
          <w:lang w:val="es-ES"/>
        </w:rPr>
        <w:t>n</w:t>
      </w:r>
      <w:r w:rsidRPr="00A364B3">
        <w:rPr>
          <w:rFonts w:ascii="Arial" w:eastAsia="Calibri" w:hAnsi="Arial" w:cs="Arial"/>
          <w:sz w:val="28"/>
          <w:szCs w:val="28"/>
          <w:lang w:val="es-ES"/>
        </w:rPr>
        <w:t xml:space="preserve"> contemplado</w:t>
      </w:r>
      <w:r w:rsidR="008274DD" w:rsidRPr="00A364B3">
        <w:rPr>
          <w:rFonts w:ascii="Arial" w:eastAsia="Calibri" w:hAnsi="Arial" w:cs="Arial"/>
          <w:sz w:val="28"/>
          <w:szCs w:val="28"/>
          <w:lang w:val="es-ES"/>
        </w:rPr>
        <w:t>s</w:t>
      </w:r>
      <w:r w:rsidRPr="00A364B3">
        <w:rPr>
          <w:rFonts w:ascii="Arial" w:eastAsia="Calibri" w:hAnsi="Arial" w:cs="Arial"/>
          <w:sz w:val="28"/>
          <w:szCs w:val="28"/>
          <w:lang w:val="es-ES"/>
        </w:rPr>
        <w:t xml:space="preserve"> dentro de alguno de los supuestos contenidos en los citados numerales 7 y 28 de </w:t>
      </w:r>
      <w:r w:rsidRPr="00A364B3">
        <w:rPr>
          <w:rFonts w:ascii="Arial" w:eastAsia="Calibri" w:hAnsi="Arial" w:cs="Arial"/>
          <w:color w:val="000000"/>
          <w:spacing w:val="1"/>
          <w:sz w:val="28"/>
          <w:szCs w:val="28"/>
        </w:rPr>
        <w:t>la Ley Orgánica del Tribunal Estatal de Justicia Administrativa d</w:t>
      </w:r>
      <w:r w:rsidRPr="00A364B3">
        <w:rPr>
          <w:rFonts w:ascii="Arial" w:eastAsia="Calibri" w:hAnsi="Arial" w:cs="Arial"/>
          <w:color w:val="000000"/>
          <w:spacing w:val="1"/>
          <w:sz w:val="28"/>
          <w:szCs w:val="28"/>
          <w:lang w:val="es-ES_tradnl"/>
        </w:rPr>
        <w:t xml:space="preserve">el Estado de San Luis Potosí, respecto de los cuales tenga </w:t>
      </w:r>
      <w:r w:rsidRPr="00A364B3">
        <w:rPr>
          <w:rFonts w:ascii="Arial" w:eastAsia="Calibri" w:hAnsi="Arial" w:cs="Arial"/>
          <w:sz w:val="28"/>
          <w:szCs w:val="28"/>
          <w:lang w:val="es-ES"/>
        </w:rPr>
        <w:t>competencia para conocer</w:t>
      </w:r>
      <w:r w:rsidRPr="00A364B3">
        <w:rPr>
          <w:rFonts w:ascii="Arial" w:eastAsia="Calibri" w:hAnsi="Arial" w:cs="Arial"/>
          <w:color w:val="000000"/>
          <w:sz w:val="28"/>
          <w:szCs w:val="28"/>
          <w:lang w:eastAsia="es-MX"/>
        </w:rPr>
        <w:t>; esto en virtud de que fue</w:t>
      </w:r>
      <w:r w:rsidR="008274DD" w:rsidRPr="00A364B3">
        <w:rPr>
          <w:rFonts w:ascii="Arial" w:eastAsia="Calibri" w:hAnsi="Arial" w:cs="Arial"/>
          <w:color w:val="000000"/>
          <w:sz w:val="28"/>
          <w:szCs w:val="28"/>
          <w:lang w:eastAsia="es-MX"/>
        </w:rPr>
        <w:t>ron</w:t>
      </w:r>
      <w:r w:rsidRPr="00A364B3">
        <w:rPr>
          <w:rFonts w:ascii="Arial" w:eastAsia="Calibri" w:hAnsi="Arial" w:cs="Arial"/>
          <w:color w:val="000000"/>
          <w:sz w:val="28"/>
          <w:szCs w:val="28"/>
          <w:lang w:eastAsia="es-MX"/>
        </w:rPr>
        <w:t xml:space="preserve"> emitido</w:t>
      </w:r>
      <w:r w:rsidR="008274DD" w:rsidRPr="00A364B3">
        <w:rPr>
          <w:rFonts w:ascii="Arial" w:eastAsia="Calibri" w:hAnsi="Arial" w:cs="Arial"/>
          <w:color w:val="000000"/>
          <w:sz w:val="28"/>
          <w:szCs w:val="28"/>
          <w:lang w:eastAsia="es-MX"/>
        </w:rPr>
        <w:t>s</w:t>
      </w:r>
      <w:r w:rsidRPr="00A364B3">
        <w:rPr>
          <w:rFonts w:ascii="Arial" w:eastAsia="Calibri" w:hAnsi="Arial" w:cs="Arial"/>
          <w:color w:val="000000"/>
          <w:sz w:val="28"/>
          <w:szCs w:val="28"/>
          <w:lang w:eastAsia="es-MX"/>
        </w:rPr>
        <w:t xml:space="preserve"> por la </w:t>
      </w:r>
      <w:r w:rsidR="00314FEB" w:rsidRPr="00A364B3">
        <w:rPr>
          <w:rFonts w:ascii="Arial" w:eastAsia="Calibri" w:hAnsi="Arial" w:cs="Arial"/>
          <w:color w:val="000000"/>
          <w:sz w:val="28"/>
          <w:szCs w:val="28"/>
          <w:lang w:eastAsia="es-MX"/>
        </w:rPr>
        <w:t>Dirección</w:t>
      </w:r>
      <w:r w:rsidRPr="00A364B3">
        <w:rPr>
          <w:rFonts w:ascii="Arial" w:eastAsia="Calibri" w:hAnsi="Arial" w:cs="Arial"/>
          <w:color w:val="000000"/>
          <w:sz w:val="28"/>
          <w:szCs w:val="28"/>
          <w:lang w:eastAsia="es-MX"/>
        </w:rPr>
        <w:t xml:space="preserve"> General de Ingresos de la Secretaría de Finanzas de Gobierno del Estado de San Luis </w:t>
      </w:r>
      <w:r w:rsidR="00314FEB" w:rsidRPr="00A364B3">
        <w:rPr>
          <w:rFonts w:ascii="Arial" w:eastAsia="Calibri" w:hAnsi="Arial" w:cs="Arial"/>
          <w:color w:val="000000"/>
          <w:sz w:val="28"/>
          <w:szCs w:val="28"/>
          <w:lang w:eastAsia="es-MX"/>
        </w:rPr>
        <w:t>Potosí</w:t>
      </w:r>
      <w:r w:rsidRPr="00A364B3">
        <w:rPr>
          <w:rFonts w:ascii="Arial" w:eastAsia="Calibri" w:hAnsi="Arial" w:cs="Arial"/>
          <w:color w:val="000000"/>
          <w:sz w:val="28"/>
          <w:szCs w:val="28"/>
          <w:lang w:eastAsia="es-MX"/>
        </w:rPr>
        <w:t xml:space="preserve">, en ejercicio de las facultades que le confiere el convenio de colaboración administrativa en materia fiscal federal celebrado por el Gobierno Federal, por conducto de la Secretaria de Hacienda y Crédito Público con el Gobierno del Estado de San Luis Potosí y en relación a lo establecido en el artículo 14 de la Ley de Coordinación Fiscal, transcrito en </w:t>
      </w:r>
      <w:r w:rsidR="00314FEB" w:rsidRPr="00A364B3">
        <w:rPr>
          <w:rFonts w:ascii="Arial" w:eastAsia="Calibri" w:hAnsi="Arial" w:cs="Arial"/>
          <w:color w:val="000000"/>
          <w:sz w:val="28"/>
          <w:szCs w:val="28"/>
          <w:lang w:eastAsia="es-MX"/>
        </w:rPr>
        <w:t>supra líneas</w:t>
      </w:r>
      <w:r w:rsidRPr="00A364B3">
        <w:rPr>
          <w:rFonts w:ascii="Arial" w:eastAsia="Calibri" w:hAnsi="Arial" w:cs="Arial"/>
          <w:color w:val="000000"/>
          <w:sz w:val="28"/>
          <w:szCs w:val="28"/>
          <w:lang w:eastAsia="es-MX"/>
        </w:rPr>
        <w:t xml:space="preserve">, que le permite administrar los ingresos federales que se estipulan en dicho convenio, y por tanto se entiende que en contra del acto que impugna la parte actora, dentro del presente asunto, sólo proceden los recursos y medios de defensa que establecidos en las leyes ferales. </w:t>
      </w:r>
    </w:p>
    <w:p w:rsidR="006E3D32" w:rsidRPr="00A364B3" w:rsidRDefault="006E3D32" w:rsidP="006E3D32">
      <w:pPr>
        <w:spacing w:line="360" w:lineRule="auto"/>
        <w:ind w:firstLine="708"/>
        <w:jc w:val="both"/>
        <w:rPr>
          <w:rFonts w:ascii="Arial" w:eastAsia="Calibri" w:hAnsi="Arial" w:cs="Arial"/>
          <w:color w:val="000000"/>
          <w:sz w:val="28"/>
          <w:szCs w:val="28"/>
          <w:lang w:eastAsia="es-MX"/>
        </w:rPr>
      </w:pPr>
    </w:p>
    <w:p w:rsidR="006E3D32" w:rsidRPr="00A364B3" w:rsidRDefault="006E3D32" w:rsidP="00A364B3">
      <w:pPr>
        <w:autoSpaceDE w:val="0"/>
        <w:autoSpaceDN w:val="0"/>
        <w:adjustRightInd w:val="0"/>
        <w:spacing w:after="0" w:line="360" w:lineRule="auto"/>
        <w:ind w:firstLine="708"/>
        <w:jc w:val="both"/>
        <w:rPr>
          <w:rFonts w:ascii="Arial" w:eastAsia="Calibri" w:hAnsi="Arial" w:cs="Arial"/>
          <w:color w:val="000000"/>
          <w:sz w:val="28"/>
          <w:szCs w:val="28"/>
          <w:lang w:eastAsia="es-MX"/>
        </w:rPr>
      </w:pPr>
      <w:r w:rsidRPr="00A364B3">
        <w:rPr>
          <w:rFonts w:ascii="Arial" w:eastAsia="Calibri" w:hAnsi="Arial" w:cs="Arial"/>
          <w:color w:val="000000"/>
          <w:sz w:val="28"/>
          <w:szCs w:val="28"/>
          <w:lang w:eastAsia="es-MX"/>
        </w:rPr>
        <w:t xml:space="preserve">Por lo </w:t>
      </w:r>
      <w:r w:rsidR="008274DD" w:rsidRPr="00A364B3">
        <w:rPr>
          <w:rFonts w:ascii="Arial" w:eastAsia="Calibri" w:hAnsi="Arial" w:cs="Arial"/>
          <w:color w:val="000000"/>
          <w:sz w:val="28"/>
          <w:szCs w:val="28"/>
          <w:lang w:eastAsia="es-MX"/>
        </w:rPr>
        <w:t>tanto</w:t>
      </w:r>
      <w:r w:rsidRPr="00A364B3">
        <w:rPr>
          <w:rFonts w:ascii="Arial" w:eastAsia="Calibri" w:hAnsi="Arial" w:cs="Arial"/>
          <w:color w:val="000000"/>
          <w:sz w:val="28"/>
          <w:szCs w:val="28"/>
          <w:lang w:eastAsia="es-MX"/>
        </w:rPr>
        <w:t>, en virtu</w:t>
      </w:r>
      <w:r w:rsidR="008274DD" w:rsidRPr="00A364B3">
        <w:rPr>
          <w:rFonts w:ascii="Arial" w:eastAsia="Calibri" w:hAnsi="Arial" w:cs="Arial"/>
          <w:color w:val="000000"/>
          <w:sz w:val="28"/>
          <w:szCs w:val="28"/>
          <w:lang w:eastAsia="es-MX"/>
        </w:rPr>
        <w:t>d de que, de la competencia especí</w:t>
      </w:r>
      <w:r w:rsidRPr="00A364B3">
        <w:rPr>
          <w:rFonts w:ascii="Arial" w:eastAsia="Calibri" w:hAnsi="Arial" w:cs="Arial"/>
          <w:color w:val="000000"/>
          <w:sz w:val="28"/>
          <w:szCs w:val="28"/>
          <w:lang w:eastAsia="es-MX"/>
        </w:rPr>
        <w:t>fica atribuida a las Salas de este Tribunal</w:t>
      </w:r>
      <w:r w:rsidR="008274DD" w:rsidRPr="00A364B3">
        <w:rPr>
          <w:rFonts w:ascii="Arial" w:eastAsia="Calibri" w:hAnsi="Arial" w:cs="Arial"/>
          <w:color w:val="000000"/>
          <w:sz w:val="28"/>
          <w:szCs w:val="28"/>
          <w:lang w:eastAsia="es-MX"/>
        </w:rPr>
        <w:t>,</w:t>
      </w:r>
      <w:r w:rsidRPr="00A364B3">
        <w:rPr>
          <w:rFonts w:ascii="Arial" w:eastAsia="Calibri" w:hAnsi="Arial" w:cs="Arial"/>
          <w:color w:val="000000"/>
          <w:sz w:val="28"/>
          <w:szCs w:val="28"/>
          <w:lang w:eastAsia="es-MX"/>
        </w:rPr>
        <w:t xml:space="preserve"> no se advierte que la acción emprendida por la parte actora</w:t>
      </w:r>
      <w:r w:rsidR="008274DD" w:rsidRPr="00A364B3">
        <w:rPr>
          <w:rFonts w:ascii="Arial" w:eastAsia="Calibri" w:hAnsi="Arial" w:cs="Arial"/>
          <w:color w:val="000000"/>
          <w:sz w:val="28"/>
          <w:szCs w:val="28"/>
          <w:lang w:eastAsia="es-MX"/>
        </w:rPr>
        <w:t>,</w:t>
      </w:r>
      <w:r w:rsidRPr="00A364B3">
        <w:rPr>
          <w:rFonts w:ascii="Arial" w:eastAsia="Calibri" w:hAnsi="Arial" w:cs="Arial"/>
          <w:color w:val="000000"/>
          <w:sz w:val="28"/>
          <w:szCs w:val="28"/>
          <w:lang w:eastAsia="es-MX"/>
        </w:rPr>
        <w:t xml:space="preserve"> encuadre en alguna de las hipótesis previstas en los numerales 7 y 28 de</w:t>
      </w:r>
      <w:r w:rsidR="00A364B3">
        <w:rPr>
          <w:rFonts w:ascii="Arial" w:eastAsia="Calibri" w:hAnsi="Arial" w:cs="Arial"/>
          <w:color w:val="000000"/>
          <w:sz w:val="28"/>
          <w:szCs w:val="28"/>
          <w:lang w:eastAsia="es-MX"/>
        </w:rPr>
        <w:t xml:space="preserve"> </w:t>
      </w:r>
      <w:r w:rsidR="00A364B3" w:rsidRPr="00A364B3">
        <w:rPr>
          <w:rFonts w:ascii="Arial" w:eastAsia="Calibri" w:hAnsi="Arial" w:cs="Arial"/>
          <w:color w:val="000000"/>
          <w:spacing w:val="1"/>
          <w:sz w:val="28"/>
          <w:szCs w:val="28"/>
        </w:rPr>
        <w:t>la Ley Orgánica del Tribunal Estatal de Justicia Administrativa d</w:t>
      </w:r>
      <w:r w:rsidR="00A364B3" w:rsidRPr="00A364B3">
        <w:rPr>
          <w:rFonts w:ascii="Arial" w:eastAsia="Calibri" w:hAnsi="Arial" w:cs="Arial"/>
          <w:color w:val="000000"/>
          <w:spacing w:val="1"/>
          <w:sz w:val="28"/>
          <w:szCs w:val="28"/>
          <w:lang w:val="es-ES_tradnl"/>
        </w:rPr>
        <w:t>el Estado de San Luis Potosí</w:t>
      </w:r>
      <w:r w:rsidRPr="00A364B3">
        <w:rPr>
          <w:rFonts w:ascii="Arial" w:eastAsia="Calibri" w:hAnsi="Arial" w:cs="Arial"/>
          <w:color w:val="000000"/>
          <w:sz w:val="28"/>
          <w:szCs w:val="28"/>
          <w:lang w:eastAsia="es-MX"/>
        </w:rPr>
        <w:t>, es patente, que este Tribunal carece de competencia para pronunciarse respecto de actos impugnados por la parte actora de</w:t>
      </w:r>
      <w:r w:rsidR="008274DD" w:rsidRPr="00A364B3">
        <w:rPr>
          <w:rFonts w:ascii="Arial" w:eastAsia="Calibri" w:hAnsi="Arial" w:cs="Arial"/>
          <w:color w:val="000000"/>
          <w:sz w:val="28"/>
          <w:szCs w:val="28"/>
          <w:lang w:eastAsia="es-MX"/>
        </w:rPr>
        <w:t xml:space="preserve"> este</w:t>
      </w:r>
      <w:r w:rsidRPr="00A364B3">
        <w:rPr>
          <w:rFonts w:ascii="Arial" w:eastAsia="Calibri" w:hAnsi="Arial" w:cs="Arial"/>
          <w:color w:val="000000"/>
          <w:sz w:val="28"/>
          <w:szCs w:val="28"/>
          <w:lang w:eastAsia="es-MX"/>
        </w:rPr>
        <w:t xml:space="preserve"> juicio, y de hacerlo, sin tener facultades para ello, vulneraría la garantía de legalidad y de seguridad jurídica que derivada del primer párrafo del artículo 16 de la Constitución Política de los Estados Unidos Mexicanos y cuya inobservancia conduciría a declarar inválido lo resuelto. </w:t>
      </w:r>
    </w:p>
    <w:p w:rsidR="006E3D32" w:rsidRPr="00A364B3" w:rsidRDefault="006E3D32" w:rsidP="006E3D32">
      <w:pPr>
        <w:autoSpaceDE w:val="0"/>
        <w:autoSpaceDN w:val="0"/>
        <w:adjustRightInd w:val="0"/>
        <w:spacing w:after="0" w:line="360" w:lineRule="atLeast"/>
        <w:jc w:val="both"/>
        <w:rPr>
          <w:rFonts w:ascii="Arial" w:eastAsia="Calibri" w:hAnsi="Arial" w:cs="Arial"/>
          <w:color w:val="000000"/>
          <w:sz w:val="28"/>
          <w:szCs w:val="28"/>
          <w:lang w:eastAsia="es-MX"/>
        </w:rPr>
      </w:pPr>
    </w:p>
    <w:p w:rsidR="006E3D32" w:rsidRPr="00A364B3" w:rsidRDefault="006E3D32" w:rsidP="006E3D32">
      <w:pPr>
        <w:autoSpaceDE w:val="0"/>
        <w:autoSpaceDN w:val="0"/>
        <w:adjustRightInd w:val="0"/>
        <w:spacing w:after="0" w:line="360" w:lineRule="auto"/>
        <w:ind w:firstLine="708"/>
        <w:jc w:val="both"/>
        <w:rPr>
          <w:rFonts w:ascii="Arial" w:eastAsia="Calibri" w:hAnsi="Arial" w:cs="Arial"/>
          <w:color w:val="000000"/>
          <w:sz w:val="28"/>
          <w:szCs w:val="28"/>
          <w:lang w:eastAsia="es-MX"/>
        </w:rPr>
      </w:pPr>
      <w:r w:rsidRPr="00A364B3">
        <w:rPr>
          <w:rFonts w:ascii="Arial" w:eastAsia="Calibri" w:hAnsi="Arial" w:cs="Arial"/>
          <w:color w:val="000000"/>
          <w:sz w:val="28"/>
          <w:szCs w:val="28"/>
          <w:lang w:eastAsia="es-MX"/>
        </w:rPr>
        <w:t>Sirve de apoyo a lo determinado con antelación, el criterio sustentado en la Tesis de jurisprudencia, de la Novena Época, Registro: 167557, Instancia: Pleno, Fuente: Semanario Judicial de la Federación y su Gaceta Tomo XXIX, Abril de 2009 Materia(s): Común Tesis: P</w:t>
      </w:r>
      <w:proofErr w:type="gramStart"/>
      <w:r w:rsidRPr="00A364B3">
        <w:rPr>
          <w:rFonts w:ascii="Arial" w:eastAsia="Calibri" w:hAnsi="Arial" w:cs="Arial"/>
          <w:color w:val="000000"/>
          <w:sz w:val="28"/>
          <w:szCs w:val="28"/>
          <w:lang w:eastAsia="es-MX"/>
        </w:rPr>
        <w:t>./</w:t>
      </w:r>
      <w:proofErr w:type="gramEnd"/>
      <w:r w:rsidRPr="00A364B3">
        <w:rPr>
          <w:rFonts w:ascii="Arial" w:eastAsia="Calibri" w:hAnsi="Arial" w:cs="Arial"/>
          <w:color w:val="000000"/>
          <w:sz w:val="28"/>
          <w:szCs w:val="28"/>
          <w:lang w:eastAsia="es-MX"/>
        </w:rPr>
        <w:t xml:space="preserve">J. 21/2009 Página: 5 , cuyo rubro y contenido citan: </w:t>
      </w:r>
    </w:p>
    <w:p w:rsidR="006E3D32" w:rsidRPr="00A364B3" w:rsidRDefault="006E3D32" w:rsidP="006E3D32">
      <w:pPr>
        <w:autoSpaceDE w:val="0"/>
        <w:autoSpaceDN w:val="0"/>
        <w:adjustRightInd w:val="0"/>
        <w:spacing w:after="0" w:line="360" w:lineRule="auto"/>
        <w:jc w:val="both"/>
        <w:rPr>
          <w:rFonts w:ascii="Arial" w:eastAsia="Calibri" w:hAnsi="Arial" w:cs="Arial"/>
          <w:color w:val="000000"/>
          <w:sz w:val="28"/>
          <w:szCs w:val="28"/>
          <w:lang w:eastAsia="es-MX"/>
        </w:rPr>
      </w:pPr>
    </w:p>
    <w:p w:rsidR="006E3D32" w:rsidRPr="006E3D32" w:rsidRDefault="006E3D32" w:rsidP="006E3D32">
      <w:pPr>
        <w:autoSpaceDE w:val="0"/>
        <w:autoSpaceDN w:val="0"/>
        <w:adjustRightInd w:val="0"/>
        <w:spacing w:after="0" w:line="240" w:lineRule="auto"/>
        <w:ind w:left="426" w:right="193"/>
        <w:jc w:val="both"/>
        <w:rPr>
          <w:rFonts w:ascii="Arial" w:eastAsia="Calibri" w:hAnsi="Arial" w:cs="Arial"/>
          <w:color w:val="000000"/>
          <w:sz w:val="24"/>
          <w:szCs w:val="25"/>
          <w:lang w:eastAsia="es-MX"/>
        </w:rPr>
      </w:pPr>
      <w:r w:rsidRPr="006E3D32">
        <w:rPr>
          <w:rFonts w:ascii="Arial" w:eastAsia="Calibri" w:hAnsi="Arial" w:cs="Arial"/>
          <w:b/>
          <w:color w:val="000000"/>
          <w:sz w:val="24"/>
          <w:szCs w:val="25"/>
          <w:lang w:eastAsia="es-MX"/>
        </w:rPr>
        <w:t>COMPETENCIA POR RAZÓN DE MATERIA. SI EL JUEZ DE DISTRITO QUE CARECE DE ELLA RESUELVE UN JUICIO DE AMPARO, TAL SITUACIÓN CONSTITUYE UNA VIOLACIÓN A LAS REGLAS FUNDAMENTALES QUE NORMAN EL PROCEDIMIENTO RESPECTIVO</w:t>
      </w:r>
      <w:r w:rsidRPr="006E3D32">
        <w:rPr>
          <w:rFonts w:ascii="Arial" w:eastAsia="Calibri" w:hAnsi="Arial" w:cs="Arial"/>
          <w:color w:val="000000"/>
          <w:sz w:val="24"/>
          <w:szCs w:val="25"/>
          <w:lang w:eastAsia="es-MX"/>
        </w:rPr>
        <w:t xml:space="preserve">. La competencia de la autoridad es una garantía de legalidad y de seguridad jurídica derivada del primer párrafo del artículo 16 de la Constitución Política de los Estados Unidos Mexicanos y, por tanto, es una cuestión de orden público, lo que aplicado al derecho procesal se traduce en la suma de facultades que la ley otorga al juzgador para ejercer su jurisdicción en determinado tipo de litigios, cuya inobservancia conduce a declarar inválido lo resuelto por el Juez incompetente. Por otra parte, de la interpretación sistemática de los artículos 107, fracción V y 94, párrafo sexto, constitucionales, se infiere que la competencia especializada por razón de materia de los Juzgados de Distrito está elevada a rango constitucional. En congruencia con lo anterior, se concluye que aquella competencia es un presupuesto de validez del proceso cuya infracción por los citados órganos jurisdiccionales al resolver un juicio de amparo sin tener competencia por razón de materia, se traduce en el desconocimiento de la voluntad del Constituyente y, por ende, de la del legislador que la desarrolla, lo que ocasiona que se violen las reglas fundamentales que norman el procedimiento en el juicio de amparo en perjuicio de las partes, porque se les sujeta a la determinación proveniente de una autoridad que prorroga indebidamente su competencia y resuelve un juicio específico sin tener facultades para ello, afectando directamente los derechos sustantivos de aquéllas. </w:t>
      </w:r>
    </w:p>
    <w:p w:rsidR="006E3D32" w:rsidRPr="006E3D32" w:rsidRDefault="006E3D32" w:rsidP="006E3D32">
      <w:pPr>
        <w:autoSpaceDE w:val="0"/>
        <w:autoSpaceDN w:val="0"/>
        <w:adjustRightInd w:val="0"/>
        <w:spacing w:after="0" w:line="240" w:lineRule="auto"/>
        <w:ind w:right="193"/>
        <w:jc w:val="both"/>
        <w:rPr>
          <w:rFonts w:ascii="Arial" w:eastAsia="Calibri" w:hAnsi="Arial" w:cs="Arial"/>
          <w:color w:val="000000"/>
          <w:sz w:val="24"/>
          <w:szCs w:val="25"/>
          <w:lang w:eastAsia="es-MX"/>
        </w:rPr>
      </w:pPr>
    </w:p>
    <w:p w:rsidR="006E3D32" w:rsidRPr="006E3D32" w:rsidRDefault="006E3D32" w:rsidP="006E3D32">
      <w:pPr>
        <w:autoSpaceDE w:val="0"/>
        <w:autoSpaceDN w:val="0"/>
        <w:adjustRightInd w:val="0"/>
        <w:spacing w:after="0" w:line="240" w:lineRule="auto"/>
        <w:ind w:right="193"/>
        <w:jc w:val="both"/>
        <w:rPr>
          <w:rFonts w:ascii="Arial" w:eastAsia="Calibri" w:hAnsi="Arial" w:cs="Arial"/>
          <w:color w:val="000000"/>
          <w:sz w:val="24"/>
          <w:szCs w:val="25"/>
          <w:lang w:eastAsia="es-MX"/>
        </w:rPr>
      </w:pPr>
    </w:p>
    <w:p w:rsidR="00A364B3" w:rsidRDefault="00CB697E" w:rsidP="00CB697E">
      <w:pPr>
        <w:spacing w:before="240" w:after="240" w:line="360" w:lineRule="auto"/>
        <w:ind w:firstLine="708"/>
        <w:jc w:val="both"/>
        <w:rPr>
          <w:rFonts w:ascii="Arial" w:eastAsia="Times New Roman" w:hAnsi="Arial" w:cs="Arial"/>
          <w:sz w:val="28"/>
          <w:szCs w:val="28"/>
          <w:lang w:val="es-ES" w:eastAsia="es-ES"/>
        </w:rPr>
      </w:pPr>
      <w:r w:rsidRPr="00A364B3">
        <w:rPr>
          <w:rFonts w:ascii="Arial" w:eastAsia="Times New Roman" w:hAnsi="Arial" w:cs="Arial"/>
          <w:sz w:val="28"/>
          <w:szCs w:val="28"/>
          <w:lang w:val="es-ES" w:eastAsia="es-ES"/>
        </w:rPr>
        <w:t xml:space="preserve">Así las cosas, durante la tramitación del presente juicio contencioso administrativo, se actualizó la causal de improcedencia prevista por el artículo 228 fracción X del Código Procesal Administrativo para el Estado de San Luis Potosí; y en consecuencia, con fundamento en el artículo 229 fracción II del Código Procesal Administrativo para el Estado de San Luis Potosí, se decreta el </w:t>
      </w:r>
      <w:r w:rsidR="008274DD" w:rsidRPr="00A364B3">
        <w:rPr>
          <w:rFonts w:ascii="Arial" w:eastAsia="Times New Roman" w:hAnsi="Arial" w:cs="Arial"/>
          <w:b/>
          <w:sz w:val="28"/>
          <w:szCs w:val="28"/>
          <w:lang w:val="es-ES" w:eastAsia="es-ES"/>
        </w:rPr>
        <w:t>SOBRESEIMIENTO</w:t>
      </w:r>
      <w:r w:rsidR="008274DD" w:rsidRPr="00A364B3">
        <w:rPr>
          <w:rFonts w:ascii="Arial" w:eastAsia="Times New Roman" w:hAnsi="Arial" w:cs="Arial"/>
          <w:sz w:val="28"/>
          <w:szCs w:val="28"/>
          <w:lang w:val="es-ES" w:eastAsia="es-ES"/>
        </w:rPr>
        <w:t xml:space="preserve"> </w:t>
      </w:r>
      <w:r w:rsidRPr="00A364B3">
        <w:rPr>
          <w:rFonts w:ascii="Arial" w:eastAsia="Times New Roman" w:hAnsi="Arial" w:cs="Arial"/>
          <w:sz w:val="28"/>
          <w:szCs w:val="28"/>
          <w:lang w:val="es-ES" w:eastAsia="es-ES"/>
        </w:rPr>
        <w:t>del presente juicio contencioso administrativo, en razón de que el acto impugnado es ajeno la competencia del Tribunal Estatal de Justicia Administrativa</w:t>
      </w:r>
      <w:r w:rsidR="00A364B3">
        <w:rPr>
          <w:rFonts w:ascii="Arial" w:eastAsia="Times New Roman" w:hAnsi="Arial" w:cs="Arial"/>
          <w:sz w:val="28"/>
          <w:szCs w:val="28"/>
          <w:lang w:val="es-ES" w:eastAsia="es-ES"/>
        </w:rPr>
        <w:t xml:space="preserve"> del Estado de San Luis Potosí.</w:t>
      </w:r>
    </w:p>
    <w:p w:rsidR="00A364B3" w:rsidRDefault="00A364B3" w:rsidP="00CB697E">
      <w:pPr>
        <w:spacing w:before="240" w:after="240" w:line="360" w:lineRule="auto"/>
        <w:ind w:firstLine="708"/>
        <w:jc w:val="both"/>
        <w:rPr>
          <w:rFonts w:ascii="Arial" w:eastAsia="Times New Roman" w:hAnsi="Arial" w:cs="Arial"/>
          <w:sz w:val="28"/>
          <w:szCs w:val="28"/>
          <w:lang w:val="es-ES" w:eastAsia="es-ES"/>
        </w:rPr>
      </w:pPr>
    </w:p>
    <w:p w:rsidR="00CC330D" w:rsidRDefault="00CB697E" w:rsidP="00CB697E">
      <w:pPr>
        <w:spacing w:before="240" w:after="240" w:line="360" w:lineRule="auto"/>
        <w:ind w:firstLine="708"/>
        <w:jc w:val="both"/>
        <w:rPr>
          <w:rFonts w:ascii="Arial" w:eastAsia="Times New Roman" w:hAnsi="Arial" w:cs="Arial"/>
          <w:sz w:val="28"/>
          <w:szCs w:val="28"/>
          <w:lang w:val="es-ES" w:eastAsia="es-ES"/>
        </w:rPr>
      </w:pPr>
      <w:r w:rsidRPr="00A364B3">
        <w:rPr>
          <w:rFonts w:ascii="Arial" w:eastAsia="Times New Roman" w:hAnsi="Arial" w:cs="Arial"/>
          <w:sz w:val="28"/>
          <w:szCs w:val="28"/>
          <w:lang w:val="es-ES" w:eastAsia="es-ES"/>
        </w:rPr>
        <w:t>Por lo expuesto, fundado y con apoyo en los artículos 1° párrafo segundo, 7°</w:t>
      </w:r>
      <w:r w:rsidR="00A364B3">
        <w:rPr>
          <w:rFonts w:ascii="Arial" w:eastAsia="Times New Roman" w:hAnsi="Arial" w:cs="Arial"/>
          <w:sz w:val="28"/>
          <w:szCs w:val="28"/>
          <w:lang w:val="es-ES" w:eastAsia="es-ES"/>
        </w:rPr>
        <w:t xml:space="preserve"> y 28  de la</w:t>
      </w:r>
      <w:r w:rsidRPr="00A364B3">
        <w:rPr>
          <w:rFonts w:ascii="Arial" w:eastAsia="Times New Roman" w:hAnsi="Arial" w:cs="Arial"/>
          <w:sz w:val="28"/>
          <w:szCs w:val="28"/>
          <w:lang w:val="es-ES" w:eastAsia="es-ES"/>
        </w:rPr>
        <w:t xml:space="preserve">  Ley Orgánica del Tribunal Estatal de Justicia Administrativa de San Luis Potosí, en relación con los artículos 228 fracción X, y 229 fracción II, del Código Procesal Administrativo para el Estado de San Luis Potosí</w:t>
      </w:r>
      <w:r w:rsidR="00CC330D">
        <w:rPr>
          <w:rFonts w:ascii="Arial" w:eastAsia="Times New Roman" w:hAnsi="Arial" w:cs="Arial"/>
          <w:sz w:val="28"/>
          <w:szCs w:val="28"/>
          <w:lang w:val="es-ES" w:eastAsia="es-ES"/>
        </w:rPr>
        <w:t xml:space="preserve"> y </w:t>
      </w:r>
      <w:r w:rsidRPr="00A364B3">
        <w:rPr>
          <w:rFonts w:ascii="Arial" w:eastAsia="Times New Roman" w:hAnsi="Arial" w:cs="Arial"/>
          <w:sz w:val="28"/>
          <w:szCs w:val="28"/>
          <w:lang w:val="es-ES" w:eastAsia="es-ES"/>
        </w:rPr>
        <w:t>se</w:t>
      </w:r>
      <w:r w:rsidR="00CC330D">
        <w:rPr>
          <w:rFonts w:ascii="Arial" w:eastAsia="Times New Roman" w:hAnsi="Arial" w:cs="Arial"/>
          <w:sz w:val="28"/>
          <w:szCs w:val="28"/>
          <w:lang w:val="es-ES" w:eastAsia="es-ES"/>
        </w:rPr>
        <w:t>,</w:t>
      </w:r>
      <w:r w:rsidRPr="00A364B3">
        <w:rPr>
          <w:rFonts w:ascii="Arial" w:eastAsia="Times New Roman" w:hAnsi="Arial" w:cs="Arial"/>
          <w:sz w:val="28"/>
          <w:szCs w:val="28"/>
          <w:lang w:val="es-ES" w:eastAsia="es-ES"/>
        </w:rPr>
        <w:t xml:space="preserve"> </w:t>
      </w:r>
    </w:p>
    <w:p w:rsidR="00CC330D" w:rsidRPr="00CC330D" w:rsidRDefault="00CC330D" w:rsidP="00CC330D">
      <w:pPr>
        <w:spacing w:before="240" w:after="240" w:line="360" w:lineRule="auto"/>
        <w:ind w:firstLine="708"/>
        <w:jc w:val="center"/>
        <w:rPr>
          <w:rFonts w:ascii="Arial" w:eastAsia="Times New Roman" w:hAnsi="Arial" w:cs="Arial"/>
          <w:b/>
          <w:sz w:val="28"/>
          <w:szCs w:val="28"/>
          <w:lang w:val="es-ES" w:eastAsia="es-ES"/>
        </w:rPr>
      </w:pPr>
      <w:r w:rsidRPr="00CC330D">
        <w:rPr>
          <w:rFonts w:ascii="Arial" w:eastAsia="Times New Roman" w:hAnsi="Arial" w:cs="Arial"/>
          <w:b/>
          <w:sz w:val="28"/>
          <w:szCs w:val="28"/>
          <w:lang w:val="es-ES" w:eastAsia="es-ES"/>
        </w:rPr>
        <w:t>R E S U E L V E</w:t>
      </w:r>
    </w:p>
    <w:p w:rsidR="00CB697E" w:rsidRPr="00A364B3" w:rsidRDefault="00CB697E" w:rsidP="00CB697E">
      <w:pPr>
        <w:spacing w:before="120" w:after="120" w:line="360" w:lineRule="auto"/>
        <w:ind w:firstLine="708"/>
        <w:jc w:val="both"/>
        <w:rPr>
          <w:rFonts w:ascii="Arial" w:eastAsia="Times New Roman" w:hAnsi="Arial" w:cs="Arial"/>
          <w:sz w:val="28"/>
          <w:szCs w:val="28"/>
          <w:lang w:val="es-ES" w:eastAsia="es-ES"/>
        </w:rPr>
      </w:pPr>
      <w:r w:rsidRPr="00A364B3">
        <w:rPr>
          <w:rFonts w:ascii="Arial" w:eastAsia="Times New Roman" w:hAnsi="Arial" w:cs="Arial"/>
          <w:b/>
          <w:sz w:val="28"/>
          <w:szCs w:val="28"/>
          <w:lang w:val="es-ES" w:eastAsia="es-ES"/>
        </w:rPr>
        <w:t>PRIMERO</w:t>
      </w:r>
      <w:r w:rsidRPr="00A364B3">
        <w:rPr>
          <w:rFonts w:ascii="Arial" w:eastAsia="Times New Roman" w:hAnsi="Arial" w:cs="Arial"/>
          <w:sz w:val="28"/>
          <w:szCs w:val="28"/>
          <w:lang w:val="es-ES" w:eastAsia="es-ES"/>
        </w:rPr>
        <w:t>.- Esta Tercera Sala Unitaria no resultó competente para conocer y resolver la presente controversia.</w:t>
      </w:r>
    </w:p>
    <w:p w:rsidR="00CB697E" w:rsidRPr="00A364B3" w:rsidRDefault="00CB697E" w:rsidP="00CB697E">
      <w:pPr>
        <w:spacing w:before="240" w:after="240" w:line="360" w:lineRule="auto"/>
        <w:ind w:firstLine="708"/>
        <w:jc w:val="both"/>
        <w:rPr>
          <w:rFonts w:ascii="Arial" w:eastAsia="Times New Roman" w:hAnsi="Arial" w:cs="Arial"/>
          <w:b/>
          <w:sz w:val="28"/>
          <w:szCs w:val="28"/>
          <w:lang w:val="es-ES" w:eastAsia="es-ES"/>
        </w:rPr>
      </w:pPr>
    </w:p>
    <w:p w:rsidR="00CB697E" w:rsidRPr="00A364B3" w:rsidRDefault="00CB697E" w:rsidP="00CB697E">
      <w:pPr>
        <w:spacing w:before="240" w:after="240" w:line="360" w:lineRule="auto"/>
        <w:ind w:firstLine="708"/>
        <w:jc w:val="both"/>
        <w:rPr>
          <w:rFonts w:ascii="Arial" w:eastAsia="Times New Roman" w:hAnsi="Arial" w:cs="Arial"/>
          <w:sz w:val="28"/>
          <w:szCs w:val="28"/>
          <w:lang w:val="es-ES" w:eastAsia="es-ES"/>
        </w:rPr>
      </w:pPr>
      <w:r w:rsidRPr="00A364B3">
        <w:rPr>
          <w:rFonts w:ascii="Arial" w:eastAsia="Times New Roman" w:hAnsi="Arial" w:cs="Arial"/>
          <w:b/>
          <w:sz w:val="28"/>
          <w:szCs w:val="28"/>
          <w:lang w:val="es-ES" w:eastAsia="es-ES"/>
        </w:rPr>
        <w:t>SEGUNDO</w:t>
      </w:r>
      <w:r w:rsidRPr="00A364B3">
        <w:rPr>
          <w:rFonts w:ascii="Arial" w:eastAsia="Times New Roman" w:hAnsi="Arial" w:cs="Arial"/>
          <w:sz w:val="28"/>
          <w:szCs w:val="28"/>
          <w:lang w:val="es-ES" w:eastAsia="es-ES"/>
        </w:rPr>
        <w:t xml:space="preserve">.- Se decreta el </w:t>
      </w:r>
      <w:r w:rsidRPr="00A364B3">
        <w:rPr>
          <w:rFonts w:ascii="Arial" w:eastAsia="Times New Roman" w:hAnsi="Arial" w:cs="Arial"/>
          <w:b/>
          <w:sz w:val="28"/>
          <w:szCs w:val="28"/>
          <w:lang w:val="es-ES" w:eastAsia="es-ES"/>
        </w:rPr>
        <w:t>SOBRESEIMIENTO</w:t>
      </w:r>
      <w:r w:rsidRPr="00A364B3">
        <w:rPr>
          <w:rFonts w:ascii="Arial" w:eastAsia="Times New Roman" w:hAnsi="Arial" w:cs="Arial"/>
          <w:sz w:val="28"/>
          <w:szCs w:val="28"/>
          <w:lang w:val="es-ES" w:eastAsia="es-ES"/>
        </w:rPr>
        <w:t xml:space="preserve"> del presente juicio contencioso administrativo en razón de que el acto impugnado es ajeno a la competencia del Tribunal Estatal de Justicia Administrativa, de acuerdo con las consideraciones, fundamentos y motivos expuestos en el considerando primero de la presente </w:t>
      </w:r>
      <w:r w:rsidR="00A364B3">
        <w:rPr>
          <w:rFonts w:ascii="Arial" w:eastAsia="Times New Roman" w:hAnsi="Arial" w:cs="Arial"/>
          <w:sz w:val="28"/>
          <w:szCs w:val="28"/>
          <w:lang w:val="es-ES" w:eastAsia="es-ES"/>
        </w:rPr>
        <w:t>s</w:t>
      </w:r>
      <w:r w:rsidRPr="00A364B3">
        <w:rPr>
          <w:rFonts w:ascii="Arial" w:eastAsia="Times New Roman" w:hAnsi="Arial" w:cs="Arial"/>
          <w:sz w:val="28"/>
          <w:szCs w:val="28"/>
          <w:lang w:val="es-ES" w:eastAsia="es-ES"/>
        </w:rPr>
        <w:t>entencia.</w:t>
      </w:r>
    </w:p>
    <w:p w:rsidR="00CB697E" w:rsidRPr="00A364B3" w:rsidRDefault="00CB697E" w:rsidP="00CB697E">
      <w:pPr>
        <w:spacing w:before="240" w:after="240" w:line="360" w:lineRule="auto"/>
        <w:ind w:firstLine="708"/>
        <w:jc w:val="both"/>
        <w:rPr>
          <w:rFonts w:ascii="Arial" w:eastAsia="Times New Roman" w:hAnsi="Arial" w:cs="Arial"/>
          <w:sz w:val="28"/>
          <w:szCs w:val="28"/>
          <w:lang w:val="es-ES" w:eastAsia="es-ES"/>
        </w:rPr>
      </w:pPr>
    </w:p>
    <w:p w:rsidR="00CB697E" w:rsidRPr="00A364B3" w:rsidRDefault="00CB697E" w:rsidP="00CB697E">
      <w:pPr>
        <w:spacing w:after="0" w:line="360" w:lineRule="auto"/>
        <w:ind w:firstLine="709"/>
        <w:jc w:val="both"/>
        <w:rPr>
          <w:rFonts w:ascii="Arial" w:eastAsia="Calibri" w:hAnsi="Arial" w:cs="Arial"/>
          <w:sz w:val="28"/>
          <w:szCs w:val="28"/>
        </w:rPr>
      </w:pPr>
      <w:r w:rsidRPr="00A364B3">
        <w:rPr>
          <w:rFonts w:ascii="Arial" w:eastAsia="Times New Roman" w:hAnsi="Arial" w:cs="Arial"/>
          <w:b/>
          <w:color w:val="000000"/>
          <w:sz w:val="28"/>
          <w:szCs w:val="28"/>
          <w:lang w:eastAsia="es-MX"/>
        </w:rPr>
        <w:t xml:space="preserve">TERCERO.- </w:t>
      </w:r>
      <w:r w:rsidRPr="00A364B3">
        <w:rPr>
          <w:rFonts w:ascii="Arial" w:eastAsia="Times New Roman" w:hAnsi="Arial" w:cs="Arial"/>
          <w:color w:val="000000"/>
          <w:sz w:val="28"/>
          <w:szCs w:val="28"/>
          <w:lang w:eastAsia="es-MX"/>
        </w:rPr>
        <w:t>Notifíquese personalmente</w:t>
      </w:r>
      <w:r w:rsidRPr="00A364B3">
        <w:rPr>
          <w:rFonts w:ascii="Arial" w:eastAsia="Calibri" w:hAnsi="Arial" w:cs="Arial"/>
          <w:sz w:val="28"/>
          <w:szCs w:val="28"/>
        </w:rPr>
        <w:t>.</w:t>
      </w:r>
    </w:p>
    <w:p w:rsidR="00CB697E" w:rsidRPr="00A364B3" w:rsidRDefault="00CB697E" w:rsidP="00CB697E">
      <w:pPr>
        <w:spacing w:after="0" w:line="360" w:lineRule="auto"/>
        <w:ind w:firstLine="709"/>
        <w:jc w:val="both"/>
        <w:rPr>
          <w:rFonts w:ascii="Arial" w:eastAsia="Calibri" w:hAnsi="Arial" w:cs="Arial"/>
          <w:sz w:val="28"/>
          <w:szCs w:val="28"/>
        </w:rPr>
      </w:pPr>
    </w:p>
    <w:p w:rsidR="00CB697E" w:rsidRPr="00A364B3" w:rsidRDefault="00CB697E" w:rsidP="008274DD">
      <w:pPr>
        <w:spacing w:line="360" w:lineRule="auto"/>
        <w:ind w:firstLine="709"/>
        <w:jc w:val="both"/>
        <w:rPr>
          <w:sz w:val="28"/>
          <w:szCs w:val="28"/>
        </w:rPr>
      </w:pPr>
      <w:r w:rsidRPr="00A364B3">
        <w:rPr>
          <w:rFonts w:ascii="Arial" w:eastAsia="Calibri" w:hAnsi="Arial" w:cs="Arial"/>
          <w:sz w:val="28"/>
          <w:szCs w:val="28"/>
        </w:rPr>
        <w:t xml:space="preserve">Así lo resolvió y firma, el Magistrado Titular de la Tercera Sala Unitaria del Tribunal Estatal de Justicia Administrativa de San Luis Potosí, </w:t>
      </w:r>
      <w:r w:rsidRPr="00A364B3">
        <w:rPr>
          <w:rFonts w:ascii="Arial" w:eastAsia="Calibri" w:hAnsi="Arial" w:cs="Arial"/>
          <w:b/>
          <w:sz w:val="28"/>
          <w:szCs w:val="28"/>
        </w:rPr>
        <w:t>Licenciado Jorge Alejandro Vera Noyola,</w:t>
      </w:r>
      <w:r w:rsidRPr="00A364B3">
        <w:rPr>
          <w:rFonts w:ascii="Arial" w:eastAsia="Calibri" w:hAnsi="Arial" w:cs="Arial"/>
          <w:sz w:val="28"/>
          <w:szCs w:val="28"/>
        </w:rPr>
        <w:t xml:space="preserve"> quien actúa con Secretario de Acuerdos, </w:t>
      </w:r>
      <w:r w:rsidRPr="00A364B3">
        <w:rPr>
          <w:rFonts w:ascii="Arial" w:eastAsia="Calibri" w:hAnsi="Arial" w:cs="Arial"/>
          <w:b/>
          <w:sz w:val="28"/>
          <w:szCs w:val="28"/>
        </w:rPr>
        <w:t>Licenciado Ismael Méndez Hernández,</w:t>
      </w:r>
      <w:r w:rsidRPr="00A364B3">
        <w:rPr>
          <w:rFonts w:ascii="Arial" w:eastAsia="Calibri" w:hAnsi="Arial" w:cs="Arial"/>
          <w:sz w:val="28"/>
          <w:szCs w:val="28"/>
        </w:rPr>
        <w:t xml:space="preserve"> que autoriza y da fe. </w:t>
      </w:r>
    </w:p>
    <w:p w:rsidR="005300C9" w:rsidRDefault="005300C9" w:rsidP="005300C9">
      <w:pPr>
        <w:jc w:val="both"/>
      </w:pPr>
      <w:r>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3E3B62" w:rsidRPr="00A364B3" w:rsidRDefault="003E3B62" w:rsidP="005300C9">
      <w:pPr>
        <w:rPr>
          <w:sz w:val="28"/>
          <w:szCs w:val="28"/>
        </w:rPr>
      </w:pPr>
      <w:bookmarkStart w:id="0" w:name="_GoBack"/>
      <w:bookmarkEnd w:id="0"/>
    </w:p>
    <w:sectPr w:rsidR="003E3B62" w:rsidRPr="00A364B3" w:rsidSect="0008324B">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5DDC" w:rsidRDefault="00865DDC" w:rsidP="00CB697E">
      <w:pPr>
        <w:spacing w:after="0" w:line="240" w:lineRule="auto"/>
      </w:pPr>
      <w:r>
        <w:separator/>
      </w:r>
    </w:p>
  </w:endnote>
  <w:endnote w:type="continuationSeparator" w:id="0">
    <w:p w:rsidR="00865DDC" w:rsidRDefault="00865DDC" w:rsidP="00CB69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5DDC" w:rsidRDefault="00865DDC" w:rsidP="00CB697E">
      <w:pPr>
        <w:spacing w:after="0" w:line="240" w:lineRule="auto"/>
      </w:pPr>
      <w:r>
        <w:separator/>
      </w:r>
    </w:p>
  </w:footnote>
  <w:footnote w:type="continuationSeparator" w:id="0">
    <w:p w:rsidR="00865DDC" w:rsidRDefault="00865DDC" w:rsidP="00CB697E">
      <w:pPr>
        <w:spacing w:after="0" w:line="240" w:lineRule="auto"/>
      </w:pPr>
      <w:r>
        <w:continuationSeparator/>
      </w:r>
    </w:p>
  </w:footnote>
  <w:footnote w:id="1">
    <w:p w:rsidR="00CB697E" w:rsidRDefault="00CB697E" w:rsidP="00CB697E">
      <w:pPr>
        <w:pStyle w:val="Textonotapie"/>
        <w:jc w:val="both"/>
      </w:pPr>
      <w:r>
        <w:rPr>
          <w:rStyle w:val="Refdenotaalpie"/>
        </w:rPr>
        <w:footnoteRef/>
      </w:r>
      <w:r>
        <w:t xml:space="preserve"> </w:t>
      </w:r>
      <w:r w:rsidRPr="00CB587A">
        <w:rPr>
          <w:sz w:val="18"/>
          <w:szCs w:val="18"/>
        </w:rPr>
        <w:t>Registro digital: 2017811, Instancia: Pleno, Décima Época, Materias(s): Administrativa, Tesis: P</w:t>
      </w:r>
      <w:proofErr w:type="gramStart"/>
      <w:r w:rsidRPr="00CB587A">
        <w:rPr>
          <w:sz w:val="18"/>
          <w:szCs w:val="18"/>
        </w:rPr>
        <w:t>./</w:t>
      </w:r>
      <w:proofErr w:type="gramEnd"/>
      <w:r w:rsidRPr="00CB587A">
        <w:rPr>
          <w:sz w:val="18"/>
          <w:szCs w:val="18"/>
        </w:rPr>
        <w:t>J. 21/2018 (10a.), Fuente: Gaceta del Semanario Judicial de la Federación. Libro 58, Septiembre de 2018, Tomo I, página 271, Tipo: Jurisprudencia.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550E" w:rsidRDefault="005300C9" w:rsidP="0090550E">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90550E" w:rsidRPr="006C0427" w:rsidRDefault="00366D4D" w:rsidP="0090550E">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5300C9">
      <w:rPr>
        <w:rStyle w:val="Nmerodepgina"/>
        <w:noProof/>
        <w:color w:val="FFFFFF"/>
      </w:rPr>
      <w:t>13</w:t>
    </w:r>
    <w:r w:rsidRPr="006C0427">
      <w:rPr>
        <w:rStyle w:val="Nmerodepgina"/>
        <w:color w:val="FFFFFF"/>
      </w:rPr>
      <w:fldChar w:fldCharType="end"/>
    </w:r>
    <w:r w:rsidRPr="006C0427">
      <w:rPr>
        <w:rStyle w:val="Nmerodepgina"/>
        <w:color w:val="FFFFFF"/>
      </w:rPr>
      <w:t xml:space="preserve"> </w:t>
    </w:r>
  </w:p>
  <w:bookmarkEnd w:id="1"/>
  <w:p w:rsidR="0090550E" w:rsidRPr="00364AFE" w:rsidRDefault="00366D4D" w:rsidP="0090550E">
    <w:pPr>
      <w:pStyle w:val="Encabezado"/>
      <w:jc w:val="right"/>
      <w:rPr>
        <w:rFonts w:ascii="Arial Narrow" w:hAnsi="Arial Narrow"/>
      </w:rPr>
    </w:pPr>
    <w:r w:rsidRPr="00E47A61">
      <w:rPr>
        <w:rFonts w:ascii="Arial Narrow" w:hAnsi="Arial Narrow"/>
        <w:sz w:val="28"/>
        <w:szCs w:val="28"/>
      </w:rPr>
      <w:t xml:space="preserve">  </w:t>
    </w:r>
    <w:r>
      <w:rPr>
        <w:rFonts w:ascii="Arial Narrow" w:hAnsi="Arial Narrow"/>
        <w:sz w:val="28"/>
        <w:szCs w:val="28"/>
      </w:rPr>
      <w:t>…</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5300C9">
      <w:rPr>
        <w:rFonts w:ascii="Arial Narrow" w:hAnsi="Arial Narrow"/>
        <w:noProof/>
      </w:rPr>
      <w:t>7</w:t>
    </w:r>
    <w:r w:rsidRPr="00364AFE">
      <w:rPr>
        <w:rFonts w:ascii="Arial Narrow" w:hAnsi="Arial Narrow"/>
      </w:rPr>
      <w:fldChar w:fldCharType="end"/>
    </w:r>
    <w:r>
      <w:rPr>
        <w:rFonts w:ascii="Arial Narrow" w:hAnsi="Arial Narrow"/>
      </w:rPr>
      <w:t>.-</w:t>
    </w:r>
  </w:p>
  <w:p w:rsidR="0090550E" w:rsidRPr="00364AFE" w:rsidRDefault="00366D4D" w:rsidP="0090550E">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52C06D14" wp14:editId="3B258536">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0550E" w:rsidRDefault="00366D4D" w:rsidP="0090550E">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0079F4D" wp14:editId="6F774D8C">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90550E" w:rsidRPr="00B23B9D" w:rsidRDefault="00366D4D"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0550E" w:rsidRPr="00B23B9D" w:rsidRDefault="00366D4D"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0550E" w:rsidRPr="00B23B9D" w:rsidRDefault="00366D4D"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0550E" w:rsidRPr="00B23B9D" w:rsidRDefault="005300C9" w:rsidP="0090550E">
                          <w:pPr>
                            <w:pStyle w:val="Sinespaciado"/>
                            <w:jc w:val="center"/>
                            <w:rPr>
                              <w:rFonts w:ascii="Microsoft Sans Serif" w:eastAsia="SimHei" w:hAnsi="Microsoft Sans Serif" w:cs="Microsoft Sans Serif"/>
                              <w:b/>
                              <w:sz w:val="14"/>
                              <w:szCs w:val="14"/>
                            </w:rPr>
                          </w:pPr>
                        </w:p>
                        <w:p w:rsidR="0090550E" w:rsidRPr="00B23B9D" w:rsidRDefault="00366D4D" w:rsidP="0090550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90550E" w:rsidRDefault="00366D4D" w:rsidP="0090550E">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0079F4D" wp14:editId="6F774D8C">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90550E" w:rsidRPr="00B23B9D" w:rsidRDefault="00366D4D"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0550E" w:rsidRPr="00B23B9D" w:rsidRDefault="00366D4D"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0550E" w:rsidRPr="00B23B9D" w:rsidRDefault="00366D4D"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0550E" w:rsidRPr="00B23B9D" w:rsidRDefault="005300C9" w:rsidP="0090550E">
                    <w:pPr>
                      <w:pStyle w:val="Sinespaciado"/>
                      <w:jc w:val="center"/>
                      <w:rPr>
                        <w:rFonts w:ascii="Microsoft Sans Serif" w:eastAsia="SimHei" w:hAnsi="Microsoft Sans Serif" w:cs="Microsoft Sans Serif"/>
                        <w:b/>
                        <w:sz w:val="14"/>
                        <w:szCs w:val="14"/>
                      </w:rPr>
                    </w:pPr>
                  </w:p>
                  <w:p w:rsidR="0090550E" w:rsidRPr="00B23B9D" w:rsidRDefault="00366D4D" w:rsidP="0090550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sidR="00846669">
      <w:rPr>
        <w:rFonts w:ascii="Arial Narrow" w:hAnsi="Arial Narrow"/>
      </w:rPr>
      <w:t>3</w:t>
    </w:r>
    <w:r>
      <w:rPr>
        <w:rFonts w:ascii="Arial Narrow" w:hAnsi="Arial Narrow"/>
      </w:rPr>
      <w:t>1</w:t>
    </w:r>
    <w:r w:rsidR="00846669">
      <w:rPr>
        <w:rFonts w:ascii="Arial Narrow" w:hAnsi="Arial Narrow"/>
      </w:rPr>
      <w:t>4</w:t>
    </w:r>
    <w:r w:rsidRPr="00364AFE">
      <w:rPr>
        <w:rFonts w:ascii="Arial Narrow" w:hAnsi="Arial Narrow"/>
      </w:rPr>
      <w:t>/20</w:t>
    </w:r>
    <w:r>
      <w:rPr>
        <w:rFonts w:ascii="Arial Narrow" w:hAnsi="Arial Narrow"/>
      </w:rPr>
      <w:t>2</w:t>
    </w:r>
    <w:r w:rsidR="00846669">
      <w:rPr>
        <w:rFonts w:ascii="Arial Narrow" w:hAnsi="Arial Narrow"/>
      </w:rPr>
      <w:t>3</w:t>
    </w:r>
    <w:r w:rsidRPr="00364AFE">
      <w:rPr>
        <w:rFonts w:ascii="Arial Narrow" w:hAnsi="Arial Narrow"/>
      </w:rPr>
      <w:t xml:space="preserve">-3 </w:t>
    </w:r>
  </w:p>
  <w:p w:rsidR="0090550E" w:rsidRPr="00E47A61" w:rsidRDefault="005300C9" w:rsidP="0090550E">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550E" w:rsidRPr="004A456E" w:rsidRDefault="00366D4D" w:rsidP="0090550E">
    <w:pPr>
      <w:pStyle w:val="Encabezado"/>
      <w:tabs>
        <w:tab w:val="left" w:pos="1503"/>
      </w:tabs>
    </w:pPr>
    <w:r>
      <w:rPr>
        <w:noProof/>
        <w:lang w:eastAsia="es-MX"/>
      </w:rPr>
      <mc:AlternateContent>
        <mc:Choice Requires="wps">
          <w:drawing>
            <wp:anchor distT="0" distB="0" distL="114300" distR="114300" simplePos="0" relativeHeight="251659264" behindDoc="1" locked="0" layoutInCell="1" allowOverlap="1" wp14:anchorId="29744681" wp14:editId="6CC18D31">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0550E" w:rsidRDefault="00366D4D" w:rsidP="0090550E">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28CCDC0" wp14:editId="0EBDF7C6">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90550E" w:rsidRPr="00B23B9D" w:rsidRDefault="00366D4D"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0550E" w:rsidRPr="00B23B9D" w:rsidRDefault="00366D4D"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0550E" w:rsidRPr="00B23B9D" w:rsidRDefault="00366D4D"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0550E" w:rsidRPr="00B23B9D" w:rsidRDefault="005300C9" w:rsidP="0090550E">
                          <w:pPr>
                            <w:pStyle w:val="Sinespaciado"/>
                            <w:jc w:val="center"/>
                            <w:rPr>
                              <w:rFonts w:ascii="Microsoft Sans Serif" w:eastAsia="SimHei" w:hAnsi="Microsoft Sans Serif" w:cs="Microsoft Sans Serif"/>
                              <w:b/>
                              <w:sz w:val="14"/>
                              <w:szCs w:val="14"/>
                            </w:rPr>
                          </w:pPr>
                        </w:p>
                        <w:p w:rsidR="0090550E" w:rsidRPr="00B23B9D" w:rsidRDefault="00366D4D" w:rsidP="0090550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90550E" w:rsidRDefault="00366D4D" w:rsidP="0090550E">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28CCDC0" wp14:editId="0EBDF7C6">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90550E" w:rsidRPr="00B23B9D" w:rsidRDefault="00366D4D"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0550E" w:rsidRPr="00B23B9D" w:rsidRDefault="00366D4D"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0550E" w:rsidRPr="00B23B9D" w:rsidRDefault="00366D4D"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0550E" w:rsidRPr="00B23B9D" w:rsidRDefault="005300C9" w:rsidP="0090550E">
                    <w:pPr>
                      <w:pStyle w:val="Sinespaciado"/>
                      <w:jc w:val="center"/>
                      <w:rPr>
                        <w:rFonts w:ascii="Microsoft Sans Serif" w:eastAsia="SimHei" w:hAnsi="Microsoft Sans Serif" w:cs="Microsoft Sans Serif"/>
                        <w:b/>
                        <w:sz w:val="14"/>
                        <w:szCs w:val="14"/>
                      </w:rPr>
                    </w:pPr>
                  </w:p>
                  <w:p w:rsidR="0090550E" w:rsidRPr="00B23B9D" w:rsidRDefault="00366D4D" w:rsidP="0090550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97E"/>
    <w:rsid w:val="0008324B"/>
    <w:rsid w:val="000D54B6"/>
    <w:rsid w:val="002321A0"/>
    <w:rsid w:val="002604E3"/>
    <w:rsid w:val="002933AB"/>
    <w:rsid w:val="00314FEB"/>
    <w:rsid w:val="00366D4D"/>
    <w:rsid w:val="003761DE"/>
    <w:rsid w:val="003E3B62"/>
    <w:rsid w:val="005300C9"/>
    <w:rsid w:val="00640F12"/>
    <w:rsid w:val="006C67FC"/>
    <w:rsid w:val="006E3D32"/>
    <w:rsid w:val="007C6F13"/>
    <w:rsid w:val="008274DD"/>
    <w:rsid w:val="00846669"/>
    <w:rsid w:val="00865DDC"/>
    <w:rsid w:val="008D3285"/>
    <w:rsid w:val="00A178D8"/>
    <w:rsid w:val="00A364B3"/>
    <w:rsid w:val="00AE6BB8"/>
    <w:rsid w:val="00CB697E"/>
    <w:rsid w:val="00CC330D"/>
    <w:rsid w:val="00E36E41"/>
    <w:rsid w:val="00E4275E"/>
    <w:rsid w:val="00FB3A16"/>
    <w:rsid w:val="00FD39D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CB697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CB697E"/>
  </w:style>
  <w:style w:type="character" w:styleId="Nmerodepgina">
    <w:name w:val="page number"/>
    <w:basedOn w:val="Fuentedeprrafopredeter"/>
    <w:rsid w:val="00CB697E"/>
  </w:style>
  <w:style w:type="paragraph" w:styleId="Sinespaciado">
    <w:name w:val="No Spacing"/>
    <w:link w:val="SinespaciadoCar"/>
    <w:uiPriority w:val="1"/>
    <w:qFormat/>
    <w:rsid w:val="00CB697E"/>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B697E"/>
    <w:rPr>
      <w:rFonts w:ascii="Calibri" w:eastAsia="Calibri" w:hAnsi="Calibri" w:cs="Times New Roman"/>
    </w:rPr>
  </w:style>
  <w:style w:type="paragraph" w:styleId="Textonotapie">
    <w:name w:val="footnote text"/>
    <w:basedOn w:val="Normal"/>
    <w:link w:val="TextonotapieCar"/>
    <w:uiPriority w:val="99"/>
    <w:rsid w:val="00CB697E"/>
    <w:pPr>
      <w:spacing w:after="0" w:line="240" w:lineRule="auto"/>
    </w:pPr>
    <w:rPr>
      <w:rFonts w:ascii="Arial" w:eastAsia="Times New Roman" w:hAnsi="Arial" w:cs="Arial"/>
      <w:sz w:val="20"/>
      <w:szCs w:val="20"/>
      <w:lang w:val="es-ES" w:eastAsia="es-ES"/>
    </w:rPr>
  </w:style>
  <w:style w:type="character" w:customStyle="1" w:styleId="TextonotapieCar">
    <w:name w:val="Texto nota pie Car"/>
    <w:basedOn w:val="Fuentedeprrafopredeter"/>
    <w:link w:val="Textonotapie"/>
    <w:uiPriority w:val="99"/>
    <w:rsid w:val="00CB697E"/>
    <w:rPr>
      <w:rFonts w:ascii="Arial" w:eastAsia="Times New Roman" w:hAnsi="Arial" w:cs="Arial"/>
      <w:sz w:val="20"/>
      <w:szCs w:val="20"/>
      <w:lang w:val="es-ES" w:eastAsia="es-ES"/>
    </w:rPr>
  </w:style>
  <w:style w:type="character" w:styleId="Refdenotaalpie">
    <w:name w:val="footnote reference"/>
    <w:uiPriority w:val="99"/>
    <w:rsid w:val="00CB697E"/>
    <w:rPr>
      <w:vertAlign w:val="superscript"/>
    </w:rPr>
  </w:style>
  <w:style w:type="paragraph" w:styleId="Textodeglobo">
    <w:name w:val="Balloon Text"/>
    <w:basedOn w:val="Normal"/>
    <w:link w:val="TextodegloboCar"/>
    <w:uiPriority w:val="99"/>
    <w:semiHidden/>
    <w:unhideWhenUsed/>
    <w:rsid w:val="00CB697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B697E"/>
    <w:rPr>
      <w:rFonts w:ascii="Tahoma" w:hAnsi="Tahoma" w:cs="Tahoma"/>
      <w:sz w:val="16"/>
      <w:szCs w:val="16"/>
    </w:rPr>
  </w:style>
  <w:style w:type="paragraph" w:styleId="Piedepgina">
    <w:name w:val="footer"/>
    <w:basedOn w:val="Normal"/>
    <w:link w:val="PiedepginaCar"/>
    <w:uiPriority w:val="99"/>
    <w:unhideWhenUsed/>
    <w:rsid w:val="0084666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46669"/>
  </w:style>
  <w:style w:type="paragraph" w:customStyle="1" w:styleId="Style1">
    <w:name w:val="Style 1"/>
    <w:basedOn w:val="Normal"/>
    <w:uiPriority w:val="99"/>
    <w:rsid w:val="00CC330D"/>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CB697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CB697E"/>
  </w:style>
  <w:style w:type="character" w:styleId="Nmerodepgina">
    <w:name w:val="page number"/>
    <w:basedOn w:val="Fuentedeprrafopredeter"/>
    <w:rsid w:val="00CB697E"/>
  </w:style>
  <w:style w:type="paragraph" w:styleId="Sinespaciado">
    <w:name w:val="No Spacing"/>
    <w:link w:val="SinespaciadoCar"/>
    <w:uiPriority w:val="1"/>
    <w:qFormat/>
    <w:rsid w:val="00CB697E"/>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B697E"/>
    <w:rPr>
      <w:rFonts w:ascii="Calibri" w:eastAsia="Calibri" w:hAnsi="Calibri" w:cs="Times New Roman"/>
    </w:rPr>
  </w:style>
  <w:style w:type="paragraph" w:styleId="Textonotapie">
    <w:name w:val="footnote text"/>
    <w:basedOn w:val="Normal"/>
    <w:link w:val="TextonotapieCar"/>
    <w:uiPriority w:val="99"/>
    <w:rsid w:val="00CB697E"/>
    <w:pPr>
      <w:spacing w:after="0" w:line="240" w:lineRule="auto"/>
    </w:pPr>
    <w:rPr>
      <w:rFonts w:ascii="Arial" w:eastAsia="Times New Roman" w:hAnsi="Arial" w:cs="Arial"/>
      <w:sz w:val="20"/>
      <w:szCs w:val="20"/>
      <w:lang w:val="es-ES" w:eastAsia="es-ES"/>
    </w:rPr>
  </w:style>
  <w:style w:type="character" w:customStyle="1" w:styleId="TextonotapieCar">
    <w:name w:val="Texto nota pie Car"/>
    <w:basedOn w:val="Fuentedeprrafopredeter"/>
    <w:link w:val="Textonotapie"/>
    <w:uiPriority w:val="99"/>
    <w:rsid w:val="00CB697E"/>
    <w:rPr>
      <w:rFonts w:ascii="Arial" w:eastAsia="Times New Roman" w:hAnsi="Arial" w:cs="Arial"/>
      <w:sz w:val="20"/>
      <w:szCs w:val="20"/>
      <w:lang w:val="es-ES" w:eastAsia="es-ES"/>
    </w:rPr>
  </w:style>
  <w:style w:type="character" w:styleId="Refdenotaalpie">
    <w:name w:val="footnote reference"/>
    <w:uiPriority w:val="99"/>
    <w:rsid w:val="00CB697E"/>
    <w:rPr>
      <w:vertAlign w:val="superscript"/>
    </w:rPr>
  </w:style>
  <w:style w:type="paragraph" w:styleId="Textodeglobo">
    <w:name w:val="Balloon Text"/>
    <w:basedOn w:val="Normal"/>
    <w:link w:val="TextodegloboCar"/>
    <w:uiPriority w:val="99"/>
    <w:semiHidden/>
    <w:unhideWhenUsed/>
    <w:rsid w:val="00CB697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B697E"/>
    <w:rPr>
      <w:rFonts w:ascii="Tahoma" w:hAnsi="Tahoma" w:cs="Tahoma"/>
      <w:sz w:val="16"/>
      <w:szCs w:val="16"/>
    </w:rPr>
  </w:style>
  <w:style w:type="paragraph" w:styleId="Piedepgina">
    <w:name w:val="footer"/>
    <w:basedOn w:val="Normal"/>
    <w:link w:val="PiedepginaCar"/>
    <w:uiPriority w:val="99"/>
    <w:unhideWhenUsed/>
    <w:rsid w:val="0084666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46669"/>
  </w:style>
  <w:style w:type="paragraph" w:customStyle="1" w:styleId="Style1">
    <w:name w:val="Style 1"/>
    <w:basedOn w:val="Normal"/>
    <w:uiPriority w:val="99"/>
    <w:rsid w:val="00CC330D"/>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14</Pages>
  <Words>4494</Words>
  <Characters>24721</Characters>
  <Application>Microsoft Office Word</Application>
  <DocSecurity>0</DocSecurity>
  <Lines>206</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21</cp:revision>
  <cp:lastPrinted>2023-12-14T15:42:00Z</cp:lastPrinted>
  <dcterms:created xsi:type="dcterms:W3CDTF">2023-12-13T19:10:00Z</dcterms:created>
  <dcterms:modified xsi:type="dcterms:W3CDTF">2024-01-10T19:08:00Z</dcterms:modified>
</cp:coreProperties>
</file>