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336C" w:rsidRDefault="00BD3C19">
      <w:pPr>
        <w:spacing w:line="276" w:lineRule="auto"/>
        <w:jc w:val="both"/>
        <w:rPr>
          <w:rFonts w:ascii="Arial" w:hAnsi="Arial" w:cs="Arial"/>
          <w:b/>
        </w:rPr>
      </w:pPr>
      <w:bookmarkStart w:id="0" w:name="_GoBack"/>
      <w:bookmarkEnd w:id="0"/>
      <w:r>
        <w:rPr>
          <w:rFonts w:ascii="Arial" w:hAnsi="Arial" w:cs="Arial"/>
        </w:rPr>
        <w:t xml:space="preserve">En cumplimiento al acuerdo emitido por el Comité de Transparencia de la Fiscalía General del Estado –FGE, en la </w:t>
      </w:r>
      <w:r>
        <w:rPr>
          <w:rFonts w:ascii="Arial" w:hAnsi="Arial" w:cs="Arial"/>
          <w:b/>
        </w:rPr>
        <w:t xml:space="preserve">décima segunda </w:t>
      </w:r>
      <w:r>
        <w:rPr>
          <w:rFonts w:ascii="Arial" w:hAnsi="Arial" w:cs="Arial"/>
        </w:rPr>
        <w:t xml:space="preserve">sesión ordinaria </w:t>
      </w:r>
      <w:r>
        <w:rPr>
          <w:rFonts w:ascii="Arial" w:hAnsi="Arial" w:cs="Arial"/>
          <w:b/>
        </w:rPr>
        <w:t>2023</w:t>
      </w:r>
      <w:r>
        <w:rPr>
          <w:rFonts w:ascii="Arial" w:hAnsi="Arial" w:cs="Arial"/>
        </w:rPr>
        <w:t>, en términos de lo dispuesto por los artículos 51, y 52 fracción II de la Ley de Transparencia y Acceso a la Información Pública del Estado de San Luis Potosí -LTAIPSLP-, se procede a emitir la siguiente Resolución.</w:t>
      </w:r>
    </w:p>
    <w:p w:rsidR="00EC336C" w:rsidRDefault="00EC336C">
      <w:pPr>
        <w:spacing w:line="276" w:lineRule="auto"/>
        <w:jc w:val="center"/>
        <w:rPr>
          <w:rFonts w:ascii="Arial" w:hAnsi="Arial" w:cs="Arial"/>
          <w:b/>
        </w:rPr>
      </w:pPr>
    </w:p>
    <w:p w:rsidR="00EC336C" w:rsidRDefault="00EC336C">
      <w:pPr>
        <w:spacing w:line="276" w:lineRule="auto"/>
        <w:jc w:val="center"/>
        <w:rPr>
          <w:rFonts w:ascii="Arial" w:hAnsi="Arial" w:cs="Arial"/>
          <w:b/>
        </w:rPr>
      </w:pPr>
    </w:p>
    <w:p w:rsidR="00EC336C" w:rsidRDefault="00BD3C19">
      <w:pPr>
        <w:spacing w:line="276" w:lineRule="auto"/>
        <w:jc w:val="center"/>
        <w:rPr>
          <w:rFonts w:ascii="Arial" w:hAnsi="Arial" w:cs="Arial"/>
          <w:b/>
        </w:rPr>
      </w:pPr>
      <w:r>
        <w:rPr>
          <w:rFonts w:ascii="Arial" w:hAnsi="Arial" w:cs="Arial"/>
          <w:b/>
        </w:rPr>
        <w:t>RESULTANDO</w:t>
      </w:r>
    </w:p>
    <w:p w:rsidR="00EC336C" w:rsidRDefault="00EC336C">
      <w:pPr>
        <w:spacing w:line="276" w:lineRule="auto"/>
        <w:rPr>
          <w:rFonts w:ascii="Arial" w:hAnsi="Arial" w:cs="Arial"/>
          <w:b/>
        </w:rPr>
      </w:pPr>
    </w:p>
    <w:p w:rsidR="00EC336C" w:rsidRDefault="00BD3C19">
      <w:pPr>
        <w:spacing w:line="276" w:lineRule="auto"/>
        <w:rPr>
          <w:rFonts w:ascii="Arial" w:hAnsi="Arial" w:cs="Arial"/>
          <w:b/>
        </w:rPr>
      </w:pPr>
      <w:r>
        <w:rPr>
          <w:rFonts w:ascii="Arial" w:hAnsi="Arial" w:cs="Arial"/>
          <w:b/>
        </w:rPr>
        <w:t>ANTECEDENTES</w:t>
      </w:r>
    </w:p>
    <w:p w:rsidR="00EC336C" w:rsidRDefault="00EC336C">
      <w:pPr>
        <w:spacing w:line="276" w:lineRule="auto"/>
        <w:rPr>
          <w:rFonts w:ascii="Arial" w:hAnsi="Arial" w:cs="Arial"/>
          <w:b/>
        </w:rPr>
      </w:pPr>
    </w:p>
    <w:p w:rsidR="00EC336C" w:rsidRDefault="00EC336C">
      <w:pPr>
        <w:spacing w:line="276" w:lineRule="auto"/>
        <w:rPr>
          <w:rFonts w:ascii="Arial" w:hAnsi="Arial" w:cs="Arial"/>
          <w:b/>
        </w:rPr>
      </w:pPr>
    </w:p>
    <w:p w:rsidR="00EC336C" w:rsidRDefault="00BD3C19">
      <w:pPr>
        <w:pStyle w:val="Prrafodelista"/>
        <w:numPr>
          <w:ilvl w:val="0"/>
          <w:numId w:val="1"/>
        </w:numPr>
        <w:spacing w:line="276" w:lineRule="auto"/>
        <w:ind w:left="0" w:firstLine="0"/>
        <w:jc w:val="both"/>
        <w:rPr>
          <w:rFonts w:ascii="Arial" w:hAnsi="Arial" w:cs="Arial"/>
        </w:rPr>
      </w:pPr>
      <w:r>
        <w:rPr>
          <w:rFonts w:ascii="Arial" w:hAnsi="Arial" w:cs="Arial"/>
        </w:rPr>
        <w:t xml:space="preserve">Con fundamento en lo dispuesto por los artículos 52 fracción II, 113, 120 fracción III, y 138 de -LTAIPSLP- el </w:t>
      </w:r>
      <w:r>
        <w:rPr>
          <w:rFonts w:ascii="Arial" w:hAnsi="Arial" w:cs="Arial"/>
          <w:b/>
        </w:rPr>
        <w:t>Contador Público</w:t>
      </w:r>
      <w:r>
        <w:rPr>
          <w:rFonts w:ascii="Arial" w:hAnsi="Arial" w:cs="Arial"/>
        </w:rPr>
        <w:t xml:space="preserve"> </w:t>
      </w:r>
      <w:r>
        <w:rPr>
          <w:rFonts w:ascii="Arial" w:hAnsi="Arial" w:cs="Arial"/>
          <w:b/>
        </w:rPr>
        <w:t>Cesar Isidro Cruz</w:t>
      </w:r>
      <w:r>
        <w:rPr>
          <w:rFonts w:ascii="Arial" w:hAnsi="Arial" w:cs="Arial"/>
        </w:rPr>
        <w:t xml:space="preserve">, Director General de Administración turnó mediante oficio </w:t>
      </w:r>
      <w:r>
        <w:rPr>
          <w:rFonts w:ascii="Arial" w:hAnsi="Arial" w:cs="Arial"/>
          <w:b/>
        </w:rPr>
        <w:t xml:space="preserve">DGA/DRH/5315/2023, </w:t>
      </w:r>
      <w:r>
        <w:rPr>
          <w:rFonts w:ascii="Arial" w:eastAsia="Times New Roman" w:hAnsi="Arial" w:cs="Arial"/>
          <w:b/>
        </w:rPr>
        <w:t>fechado y recibido el 01 de diciembre 2023</w:t>
      </w:r>
      <w:r>
        <w:rPr>
          <w:rFonts w:ascii="Arial" w:hAnsi="Arial" w:cs="Arial"/>
        </w:rPr>
        <w:t xml:space="preserve">, la clasificación de Información </w:t>
      </w:r>
      <w:r>
        <w:rPr>
          <w:rFonts w:ascii="Arial" w:hAnsi="Arial" w:cs="Arial"/>
          <w:b/>
        </w:rPr>
        <w:t>confidencial</w:t>
      </w:r>
      <w:r>
        <w:rPr>
          <w:rFonts w:ascii="Arial" w:hAnsi="Arial" w:cs="Arial"/>
        </w:rPr>
        <w:t xml:space="preserve"> realizada en los contratos de </w:t>
      </w:r>
      <w:r>
        <w:rPr>
          <w:rFonts w:ascii="Arial" w:hAnsi="Arial" w:cs="Arial"/>
          <w:b/>
          <w:szCs w:val="16"/>
        </w:rPr>
        <w:t xml:space="preserve">servicios profesionales por honorarios, </w:t>
      </w:r>
      <w:r>
        <w:rPr>
          <w:rFonts w:ascii="Arial" w:hAnsi="Arial" w:cs="Arial"/>
        </w:rPr>
        <w:t>con motivo de la difusión de información que establece el artículo 84 fracción XVI de la -LTAIPSLP-.</w:t>
      </w:r>
    </w:p>
    <w:p w:rsidR="00EC336C" w:rsidRDefault="00EC336C">
      <w:pPr>
        <w:spacing w:line="276" w:lineRule="auto"/>
        <w:jc w:val="both"/>
        <w:rPr>
          <w:rFonts w:ascii="Arial" w:hAnsi="Arial" w:cs="Arial"/>
          <w:b/>
        </w:rPr>
      </w:pPr>
    </w:p>
    <w:p w:rsidR="00EC336C" w:rsidRDefault="00EC336C">
      <w:pPr>
        <w:spacing w:line="276" w:lineRule="auto"/>
        <w:jc w:val="both"/>
        <w:rPr>
          <w:rFonts w:ascii="Arial" w:hAnsi="Arial" w:cs="Arial"/>
          <w:b/>
        </w:rPr>
      </w:pPr>
    </w:p>
    <w:p w:rsidR="00EC336C" w:rsidRDefault="00BD3C19">
      <w:pPr>
        <w:pStyle w:val="Prrafodelista"/>
        <w:numPr>
          <w:ilvl w:val="0"/>
          <w:numId w:val="1"/>
        </w:numPr>
        <w:spacing w:line="276" w:lineRule="auto"/>
        <w:ind w:left="0" w:firstLine="0"/>
        <w:jc w:val="both"/>
        <w:rPr>
          <w:rFonts w:ascii="Arial" w:hAnsi="Arial" w:cs="Arial"/>
        </w:rPr>
      </w:pPr>
      <w:r>
        <w:rPr>
          <w:rFonts w:ascii="Arial" w:hAnsi="Arial" w:cs="Arial"/>
        </w:rPr>
        <w:t xml:space="preserve">Se procedió a su desahogo en la </w:t>
      </w:r>
      <w:r>
        <w:rPr>
          <w:rFonts w:ascii="Arial" w:hAnsi="Arial" w:cs="Arial"/>
          <w:b/>
        </w:rPr>
        <w:t xml:space="preserve">décima segunda </w:t>
      </w:r>
      <w:r>
        <w:rPr>
          <w:rFonts w:ascii="Arial" w:hAnsi="Arial" w:cs="Arial"/>
        </w:rPr>
        <w:t xml:space="preserve">sesión ordinaria </w:t>
      </w:r>
      <w:r>
        <w:rPr>
          <w:rFonts w:ascii="Arial" w:hAnsi="Arial" w:cs="Arial"/>
          <w:b/>
        </w:rPr>
        <w:t>2023</w:t>
      </w:r>
      <w:r>
        <w:rPr>
          <w:rFonts w:ascii="Arial" w:hAnsi="Arial" w:cs="Arial"/>
        </w:rPr>
        <w:t xml:space="preserve"> programada por el Comité de Transparencia a efecto de proceder a emitir su determinación sobre la confirmación, modificación o revocación de la Clasificación de Información Confidencial realizada en los contratos de </w:t>
      </w:r>
      <w:r>
        <w:rPr>
          <w:rFonts w:ascii="Arial" w:hAnsi="Arial" w:cs="Arial"/>
          <w:b/>
          <w:szCs w:val="16"/>
        </w:rPr>
        <w:t>servicios profesionales por honorarios.</w:t>
      </w:r>
    </w:p>
    <w:p w:rsidR="00EC336C" w:rsidRDefault="00EC336C">
      <w:pPr>
        <w:spacing w:line="276" w:lineRule="auto"/>
        <w:jc w:val="both"/>
        <w:rPr>
          <w:rFonts w:ascii="Arial" w:hAnsi="Arial" w:cs="Arial"/>
        </w:rPr>
      </w:pPr>
    </w:p>
    <w:p w:rsidR="00EC336C" w:rsidRDefault="00BD3C19" w:rsidP="008B163A">
      <w:pPr>
        <w:spacing w:line="276" w:lineRule="auto"/>
        <w:jc w:val="center"/>
        <w:rPr>
          <w:rFonts w:ascii="Arial" w:hAnsi="Arial" w:cs="Arial"/>
          <w:b/>
        </w:rPr>
      </w:pPr>
      <w:r>
        <w:rPr>
          <w:rFonts w:ascii="Arial" w:hAnsi="Arial" w:cs="Arial"/>
          <w:b/>
        </w:rPr>
        <w:t>CONSIDERANDO</w:t>
      </w:r>
    </w:p>
    <w:p w:rsidR="00EC336C" w:rsidRDefault="00EC336C">
      <w:pPr>
        <w:spacing w:line="276" w:lineRule="auto"/>
        <w:rPr>
          <w:rFonts w:ascii="Arial" w:hAnsi="Arial" w:cs="Arial"/>
          <w:b/>
        </w:rPr>
      </w:pPr>
    </w:p>
    <w:p w:rsidR="00EC336C" w:rsidRDefault="00BD3C19">
      <w:pPr>
        <w:spacing w:line="276" w:lineRule="auto"/>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EC336C" w:rsidRDefault="00EC336C">
      <w:pPr>
        <w:spacing w:line="276" w:lineRule="auto"/>
        <w:jc w:val="both"/>
        <w:rPr>
          <w:rFonts w:ascii="Arial" w:hAnsi="Arial" w:cs="Arial"/>
        </w:rPr>
      </w:pPr>
    </w:p>
    <w:p w:rsidR="00EC336C" w:rsidRDefault="00BD3C19">
      <w:pPr>
        <w:spacing w:line="276" w:lineRule="auto"/>
        <w:jc w:val="both"/>
        <w:rPr>
          <w:rFonts w:ascii="Arial" w:hAnsi="Arial" w:cs="Arial"/>
        </w:rPr>
      </w:pPr>
      <w:r>
        <w:rPr>
          <w:rFonts w:ascii="Arial" w:hAnsi="Arial" w:cs="Arial"/>
        </w:rPr>
        <w:t>Este Comité de Transparencia de la Fiscalía General del Estado de San Luis Potosí; es competente para determinar sobre la confirmación, modificación o revocación de la clasificación de Información confidencial realizada en</w:t>
      </w:r>
      <w:r w:rsidRPr="00BD3C19">
        <w:rPr>
          <w:rFonts w:ascii="Arial" w:hAnsi="Arial" w:cs="Arial"/>
          <w:sz w:val="25"/>
          <w:szCs w:val="25"/>
        </w:rPr>
        <w:t xml:space="preserve"> </w:t>
      </w:r>
      <w:r w:rsidRPr="00FC69D8">
        <w:rPr>
          <w:rFonts w:ascii="Arial" w:hAnsi="Arial" w:cs="Arial"/>
          <w:sz w:val="25"/>
          <w:szCs w:val="25"/>
        </w:rPr>
        <w:t xml:space="preserve">De los contratos </w:t>
      </w:r>
      <w:r w:rsidRPr="00FC69D8">
        <w:rPr>
          <w:rFonts w:ascii="Arial" w:hAnsi="Arial" w:cs="Arial"/>
          <w:bCs/>
          <w:color w:val="000000"/>
          <w:sz w:val="25"/>
          <w:szCs w:val="25"/>
        </w:rPr>
        <w:t xml:space="preserve">de </w:t>
      </w:r>
      <w:r w:rsidRPr="00FC69D8">
        <w:rPr>
          <w:rFonts w:ascii="Arial" w:hAnsi="Arial" w:cs="Arial"/>
          <w:b/>
          <w:sz w:val="25"/>
          <w:szCs w:val="25"/>
        </w:rPr>
        <w:t xml:space="preserve">servicios </w:t>
      </w:r>
      <w:r w:rsidRPr="00FC69D8">
        <w:rPr>
          <w:rFonts w:ascii="Arial" w:hAnsi="Arial" w:cs="Arial"/>
          <w:b/>
          <w:sz w:val="25"/>
          <w:szCs w:val="25"/>
        </w:rPr>
        <w:lastRenderedPageBreak/>
        <w:t>profesionales por honorarios</w:t>
      </w:r>
      <w:r w:rsidRPr="00FC69D8">
        <w:rPr>
          <w:rFonts w:ascii="Arial" w:hAnsi="Arial" w:cs="Arial"/>
          <w:bCs/>
          <w:color w:val="000000"/>
          <w:sz w:val="25"/>
          <w:szCs w:val="25"/>
        </w:rPr>
        <w:t xml:space="preserve"> del siguiente período:</w:t>
      </w:r>
      <w:r w:rsidRPr="00B136FA">
        <w:rPr>
          <w:rFonts w:ascii="Arial" w:hAnsi="Arial" w:cs="Arial"/>
          <w:b/>
          <w:sz w:val="25"/>
          <w:szCs w:val="25"/>
        </w:rPr>
        <w:t xml:space="preserve"> 03 contratos de servicios profesionales por honorarios con</w:t>
      </w:r>
      <w:r>
        <w:rPr>
          <w:rFonts w:ascii="Arial" w:hAnsi="Arial" w:cs="Arial"/>
          <w:b/>
          <w:sz w:val="25"/>
          <w:szCs w:val="25"/>
        </w:rPr>
        <w:t xml:space="preserve"> </w:t>
      </w:r>
      <w:r w:rsidRPr="00495A54">
        <w:rPr>
          <w:rFonts w:ascii="Arial" w:hAnsi="Arial" w:cs="Arial"/>
          <w:b/>
          <w:sz w:val="25"/>
          <w:szCs w:val="25"/>
        </w:rPr>
        <w:t xml:space="preserve">vigencia del </w:t>
      </w:r>
      <w:r>
        <w:rPr>
          <w:rFonts w:ascii="Arial" w:hAnsi="Arial" w:cs="Arial"/>
          <w:b/>
          <w:sz w:val="25"/>
          <w:szCs w:val="25"/>
        </w:rPr>
        <w:t>15</w:t>
      </w:r>
      <w:r w:rsidRPr="00495A54">
        <w:rPr>
          <w:rFonts w:ascii="Arial" w:hAnsi="Arial" w:cs="Arial"/>
          <w:b/>
          <w:sz w:val="25"/>
          <w:szCs w:val="25"/>
        </w:rPr>
        <w:t xml:space="preserve"> de oct</w:t>
      </w:r>
      <w:r>
        <w:rPr>
          <w:rFonts w:ascii="Arial" w:hAnsi="Arial" w:cs="Arial"/>
          <w:b/>
          <w:sz w:val="25"/>
          <w:szCs w:val="25"/>
        </w:rPr>
        <w:t xml:space="preserve">ubre al 31 de diciembre de 2023; </w:t>
      </w:r>
      <w:r w:rsidRPr="00B136FA">
        <w:rPr>
          <w:rFonts w:ascii="Arial" w:hAnsi="Arial" w:cs="Arial"/>
          <w:b/>
          <w:sz w:val="25"/>
          <w:szCs w:val="25"/>
        </w:rPr>
        <w:t xml:space="preserve">1 contrato de servicios profesionales por honorarios con vigencia del 25 de octubre </w:t>
      </w:r>
      <w:r>
        <w:rPr>
          <w:rFonts w:ascii="Arial" w:hAnsi="Arial" w:cs="Arial"/>
          <w:b/>
          <w:sz w:val="25"/>
          <w:szCs w:val="25"/>
        </w:rPr>
        <w:t xml:space="preserve">al 31 de diciembre 2023 y 01 contrato de servicios profesionales por honorarios con vigencia del </w:t>
      </w:r>
      <w:r w:rsidRPr="00B136FA">
        <w:rPr>
          <w:rFonts w:ascii="Arial" w:hAnsi="Arial" w:cs="Arial"/>
          <w:b/>
          <w:sz w:val="25"/>
          <w:szCs w:val="25"/>
        </w:rPr>
        <w:t>01 de no</w:t>
      </w:r>
      <w:r w:rsidR="00EF535C">
        <w:rPr>
          <w:rFonts w:ascii="Arial" w:hAnsi="Arial" w:cs="Arial"/>
          <w:b/>
          <w:sz w:val="25"/>
          <w:szCs w:val="25"/>
        </w:rPr>
        <w:t>viembre al 31 de diciembre 2023,</w:t>
      </w:r>
      <w:r w:rsidRPr="00B136FA">
        <w:rPr>
          <w:rFonts w:ascii="Arial" w:hAnsi="Arial" w:cs="Arial"/>
          <w:b/>
          <w:sz w:val="25"/>
          <w:szCs w:val="25"/>
        </w:rPr>
        <w:t xml:space="preserve"> </w:t>
      </w:r>
      <w:r>
        <w:rPr>
          <w:rFonts w:ascii="Arial" w:hAnsi="Arial" w:cs="Arial"/>
          <w:szCs w:val="16"/>
        </w:rPr>
        <w:t>e</w:t>
      </w:r>
      <w:r>
        <w:rPr>
          <w:rFonts w:ascii="Arial" w:hAnsi="Arial" w:cs="Arial"/>
        </w:rPr>
        <w:t>n términos de lo dispuesto por el Lineamiento Quincuagésimo primero de los Lineamientos Generales en Materia de Clasificación y Desclasificación de la Información, así como para la elaboración de Versiones Públicas, los artículos 51, 52, fracción II y demás relativos aplicables de la -LTAIPSLP-, y el artículo Tercero del “Acuerdo General número AG/003/2023 del Fiscal General del Estado de San Luis Potosí, por el que se modifica el Comité de Transparencia de la Fiscalía General del Estado de San Luis Potosí”, así como, en el acuerdo general AG/011/2020 en el que se establecen los lineamientos para su funcionamiento.</w:t>
      </w:r>
    </w:p>
    <w:p w:rsidR="00EC336C" w:rsidRDefault="00EC336C">
      <w:pPr>
        <w:spacing w:line="276" w:lineRule="auto"/>
        <w:jc w:val="both"/>
        <w:rPr>
          <w:rFonts w:ascii="Arial" w:hAnsi="Arial" w:cs="Arial"/>
        </w:rPr>
      </w:pPr>
    </w:p>
    <w:p w:rsidR="00EC336C" w:rsidRDefault="00EC336C">
      <w:pPr>
        <w:spacing w:line="276" w:lineRule="auto"/>
        <w:jc w:val="both"/>
        <w:rPr>
          <w:rFonts w:ascii="Arial" w:hAnsi="Arial" w:cs="Arial"/>
        </w:rPr>
      </w:pPr>
    </w:p>
    <w:p w:rsidR="00EC336C" w:rsidRDefault="00BD3C19">
      <w:pPr>
        <w:spacing w:line="276" w:lineRule="auto"/>
        <w:jc w:val="both"/>
        <w:rPr>
          <w:rFonts w:ascii="Arial" w:hAnsi="Arial" w:cs="Arial"/>
          <w:b/>
        </w:rPr>
      </w:pPr>
      <w:r>
        <w:rPr>
          <w:rFonts w:ascii="Arial" w:hAnsi="Arial" w:cs="Arial"/>
          <w:b/>
        </w:rPr>
        <w:t>SEGUNDO. Análisis de fondo.</w:t>
      </w:r>
    </w:p>
    <w:p w:rsidR="00EC336C" w:rsidRDefault="00EC336C">
      <w:pPr>
        <w:spacing w:line="276" w:lineRule="auto"/>
        <w:jc w:val="both"/>
        <w:rPr>
          <w:rFonts w:ascii="Arial" w:hAnsi="Arial" w:cs="Arial"/>
          <w:bCs/>
        </w:rPr>
      </w:pPr>
    </w:p>
    <w:p w:rsidR="00EC336C" w:rsidRDefault="00EC336C">
      <w:pPr>
        <w:spacing w:line="276" w:lineRule="auto"/>
        <w:jc w:val="both"/>
        <w:rPr>
          <w:rFonts w:ascii="Arial" w:hAnsi="Arial" w:cs="Arial"/>
          <w:bCs/>
        </w:rPr>
      </w:pPr>
    </w:p>
    <w:p w:rsidR="00EC336C" w:rsidRDefault="00BD3C19">
      <w:pPr>
        <w:spacing w:line="276" w:lineRule="auto"/>
        <w:jc w:val="both"/>
        <w:rPr>
          <w:rFonts w:ascii="Arial" w:hAnsi="Arial" w:cs="Arial"/>
        </w:rPr>
      </w:pPr>
      <w:r>
        <w:rPr>
          <w:rFonts w:ascii="Arial" w:hAnsi="Arial" w:cs="Arial"/>
          <w:bCs/>
        </w:rPr>
        <w:t xml:space="preserve">Siendo </w:t>
      </w:r>
      <w:r>
        <w:rPr>
          <w:rFonts w:ascii="Arial" w:hAnsi="Arial" w:cs="Arial"/>
        </w:rPr>
        <w:t>que esta Fiscalía General del Estado, en el ámbito de su competencia promueve, respeta, protege y garantiza este derecho humano de conformidad con los principios de universalidad, interdependencia, indivisibilidad y progresividad acorde a lo estipulado por el artículo 1° párrafo tercero de la Constitución Política de los Estados Unidos Mexicanos; sin embargo atendiendo a que este Derecho Humano de Acceso a la Información no es absoluto y su ejercicio está sujeto a diversos principios, bases y limitantes, ya que si bien prevalece entre otros principios el de máxima publicidad, está sujeto a las restricciones establecidas en la propia norma Constitucional y se regla en la legislación secundaria.</w:t>
      </w:r>
    </w:p>
    <w:p w:rsidR="00EC336C" w:rsidRDefault="00EC336C">
      <w:pPr>
        <w:spacing w:line="276" w:lineRule="auto"/>
        <w:jc w:val="both"/>
        <w:rPr>
          <w:rFonts w:ascii="Arial" w:hAnsi="Arial" w:cs="Arial"/>
        </w:rPr>
      </w:pPr>
    </w:p>
    <w:p w:rsidR="00EC336C" w:rsidRDefault="00BD3C19">
      <w:pPr>
        <w:spacing w:line="276" w:lineRule="auto"/>
        <w:jc w:val="both"/>
        <w:rPr>
          <w:rFonts w:ascii="Arial" w:hAnsi="Arial" w:cs="Arial"/>
        </w:rPr>
      </w:pPr>
      <w:r>
        <w:rPr>
          <w:rFonts w:ascii="Arial" w:hAnsi="Arial" w:cs="Arial"/>
        </w:rPr>
        <w:t xml:space="preserve">Dentro de estas restricciones al derecho a la información están los derechos humanos de terceros que se protegen por la propia Constitución Política de los Estados Unidos Mexicanos en el apartado relativo a los Derechos Humanos y sus garantías por parte de las normas que regulan el acceso a la información como las diversas que regulan el procedimiento dentro del cual obra la información requerida que en el caso concreto lo es la propia Constitución Política de los Estados Unidos Mexicanos y el Código Nacional de </w:t>
      </w:r>
      <w:r>
        <w:rPr>
          <w:rFonts w:ascii="Arial" w:hAnsi="Arial" w:cs="Arial"/>
        </w:rPr>
        <w:lastRenderedPageBreak/>
        <w:t>Procedimientos Penales, además del Pacto Internacional de los Derechos Civiles y Políticos y en la Convención Americana de los Derechos Humanos.</w:t>
      </w:r>
    </w:p>
    <w:p w:rsidR="00EC336C" w:rsidRDefault="00EC336C">
      <w:pPr>
        <w:spacing w:line="276" w:lineRule="auto"/>
        <w:jc w:val="both"/>
        <w:rPr>
          <w:rFonts w:ascii="Arial" w:hAnsi="Arial" w:cs="Arial"/>
          <w:bCs/>
        </w:rPr>
      </w:pPr>
    </w:p>
    <w:p w:rsidR="00EC336C" w:rsidRDefault="00EC336C">
      <w:pPr>
        <w:spacing w:line="276" w:lineRule="auto"/>
        <w:jc w:val="both"/>
        <w:rPr>
          <w:rFonts w:ascii="Arial" w:hAnsi="Arial" w:cs="Arial"/>
          <w:bCs/>
        </w:rPr>
      </w:pPr>
    </w:p>
    <w:p w:rsidR="00EC336C" w:rsidRDefault="00BD3C19">
      <w:pPr>
        <w:spacing w:line="276" w:lineRule="auto"/>
        <w:jc w:val="both"/>
        <w:rPr>
          <w:rFonts w:ascii="Arial" w:hAnsi="Arial" w:cs="Arial"/>
          <w:bCs/>
          <w:i/>
        </w:rPr>
      </w:pPr>
      <w:r>
        <w:rPr>
          <w:rFonts w:ascii="Arial" w:hAnsi="Arial" w:cs="Arial"/>
          <w:bCs/>
        </w:rPr>
        <w:t>Por lo anterior, los datos referentes a:</w:t>
      </w:r>
      <w:r>
        <w:rPr>
          <w:rFonts w:ascii="Arial" w:hAnsi="Arial" w:cs="Arial"/>
          <w:b/>
          <w:color w:val="000000"/>
        </w:rPr>
        <w:t xml:space="preserve"> registro federal de contribuyentes –RFC-, domicilio particular, área de adscripción</w:t>
      </w:r>
      <w:r>
        <w:rPr>
          <w:rFonts w:ascii="Arial" w:hAnsi="Arial" w:cs="Arial"/>
          <w:color w:val="000000"/>
        </w:rPr>
        <w:t xml:space="preserve"> </w:t>
      </w:r>
      <w:r>
        <w:rPr>
          <w:rFonts w:ascii="Arial" w:hAnsi="Arial" w:cs="Arial"/>
          <w:bCs/>
          <w:color w:val="000000"/>
        </w:rPr>
        <w:t>que se encuentran en:</w:t>
      </w:r>
      <w:r>
        <w:rPr>
          <w:rFonts w:ascii="Arial" w:hAnsi="Arial" w:cs="Arial"/>
          <w:b/>
          <w:szCs w:val="16"/>
        </w:rPr>
        <w:t xml:space="preserve"> </w:t>
      </w:r>
      <w:r w:rsidRPr="00B136FA">
        <w:rPr>
          <w:rFonts w:ascii="Arial" w:hAnsi="Arial" w:cs="Arial"/>
          <w:b/>
          <w:sz w:val="25"/>
          <w:szCs w:val="25"/>
        </w:rPr>
        <w:t>03 contratos de servicios profesionales por honorarios con</w:t>
      </w:r>
      <w:r>
        <w:rPr>
          <w:rFonts w:ascii="Arial" w:hAnsi="Arial" w:cs="Arial"/>
          <w:b/>
          <w:sz w:val="25"/>
          <w:szCs w:val="25"/>
        </w:rPr>
        <w:t xml:space="preserve"> </w:t>
      </w:r>
      <w:r w:rsidRPr="00495A54">
        <w:rPr>
          <w:rFonts w:ascii="Arial" w:hAnsi="Arial" w:cs="Arial"/>
          <w:b/>
          <w:sz w:val="25"/>
          <w:szCs w:val="25"/>
        </w:rPr>
        <w:t xml:space="preserve">vigencia del </w:t>
      </w:r>
      <w:r>
        <w:rPr>
          <w:rFonts w:ascii="Arial" w:hAnsi="Arial" w:cs="Arial"/>
          <w:b/>
          <w:sz w:val="25"/>
          <w:szCs w:val="25"/>
        </w:rPr>
        <w:t>15</w:t>
      </w:r>
      <w:r w:rsidRPr="00495A54">
        <w:rPr>
          <w:rFonts w:ascii="Arial" w:hAnsi="Arial" w:cs="Arial"/>
          <w:b/>
          <w:sz w:val="25"/>
          <w:szCs w:val="25"/>
        </w:rPr>
        <w:t xml:space="preserve"> de oct</w:t>
      </w:r>
      <w:r>
        <w:rPr>
          <w:rFonts w:ascii="Arial" w:hAnsi="Arial" w:cs="Arial"/>
          <w:b/>
          <w:sz w:val="25"/>
          <w:szCs w:val="25"/>
        </w:rPr>
        <w:t xml:space="preserve">ubre al 31 de diciembre de 2023; </w:t>
      </w:r>
      <w:r w:rsidRPr="00B136FA">
        <w:rPr>
          <w:rFonts w:ascii="Arial" w:hAnsi="Arial" w:cs="Arial"/>
          <w:b/>
          <w:sz w:val="25"/>
          <w:szCs w:val="25"/>
        </w:rPr>
        <w:t xml:space="preserve">1 contrato de servicios profesionales por honorarios con vigencia del 25 de octubre </w:t>
      </w:r>
      <w:r>
        <w:rPr>
          <w:rFonts w:ascii="Arial" w:hAnsi="Arial" w:cs="Arial"/>
          <w:b/>
          <w:sz w:val="25"/>
          <w:szCs w:val="25"/>
        </w:rPr>
        <w:t xml:space="preserve">al 31 de diciembre 2023 y 01 contrato de servicios profesionales por honorarios con vigencia del </w:t>
      </w:r>
      <w:r w:rsidRPr="00B136FA">
        <w:rPr>
          <w:rFonts w:ascii="Arial" w:hAnsi="Arial" w:cs="Arial"/>
          <w:b/>
          <w:sz w:val="25"/>
          <w:szCs w:val="25"/>
        </w:rPr>
        <w:t>01 de no</w:t>
      </w:r>
      <w:r>
        <w:rPr>
          <w:rFonts w:ascii="Arial" w:hAnsi="Arial" w:cs="Arial"/>
          <w:b/>
          <w:sz w:val="25"/>
          <w:szCs w:val="25"/>
        </w:rPr>
        <w:t xml:space="preserve">viembre al 31 de diciembre 2023, </w:t>
      </w:r>
      <w:r>
        <w:rPr>
          <w:rFonts w:ascii="Arial" w:hAnsi="Arial" w:cs="Arial"/>
          <w:bCs/>
          <w:color w:val="000000"/>
        </w:rPr>
        <w:t xml:space="preserve">de esta Fiscalía General del Estado, son </w:t>
      </w:r>
      <w:r>
        <w:rPr>
          <w:rFonts w:ascii="Arial" w:hAnsi="Arial" w:cs="Arial"/>
          <w:bCs/>
        </w:rPr>
        <w:t>considerados datos personales, en virtud de que se contemplan en los descritos en el numeral 3° fracción XI de la –LTAIPSLP- en el que refiere que un dato personal es “</w:t>
      </w:r>
      <w:r>
        <w:rPr>
          <w:rFonts w:ascii="Arial" w:hAnsi="Arial" w:cs="Arial"/>
          <w:bCs/>
          <w:i/>
        </w:rPr>
        <w:t>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rsidR="00EC336C" w:rsidRDefault="00EC336C">
      <w:pPr>
        <w:spacing w:line="276" w:lineRule="auto"/>
        <w:jc w:val="both"/>
        <w:rPr>
          <w:rFonts w:ascii="Arial" w:hAnsi="Arial" w:cs="Arial"/>
          <w:bCs/>
          <w:i/>
        </w:rPr>
      </w:pPr>
    </w:p>
    <w:p w:rsidR="00EC336C" w:rsidRDefault="00BD3C19">
      <w:pPr>
        <w:spacing w:line="276" w:lineRule="auto"/>
        <w:jc w:val="both"/>
        <w:rPr>
          <w:rFonts w:ascii="Arial" w:hAnsi="Arial" w:cs="Arial"/>
          <w:i/>
        </w:rPr>
      </w:pPr>
      <w:r>
        <w:rPr>
          <w:rFonts w:ascii="Arial" w:hAnsi="Arial" w:cs="Arial"/>
          <w:i/>
        </w:rPr>
        <w:t>Se considerará identificable toda persona cuya identidad pueda determinarse, directa o indirectamente, en particular mediante un número de identificación o uno o varios elementos específicos, característicos de su identidad física, fisiológica, psíquica, económica, cultural o social.</w:t>
      </w:r>
    </w:p>
    <w:p w:rsidR="00EC336C" w:rsidRDefault="00EC336C">
      <w:pPr>
        <w:spacing w:line="276" w:lineRule="auto"/>
        <w:jc w:val="both"/>
        <w:rPr>
          <w:rFonts w:ascii="Arial" w:hAnsi="Arial" w:cs="Arial"/>
        </w:rPr>
      </w:pPr>
    </w:p>
    <w:p w:rsidR="00EC336C" w:rsidRDefault="00BD3C19">
      <w:pPr>
        <w:spacing w:line="276" w:lineRule="auto"/>
        <w:jc w:val="both"/>
        <w:rPr>
          <w:rFonts w:ascii="Arial" w:hAnsi="Arial" w:cs="Arial"/>
          <w:b/>
          <w:bCs/>
          <w:iCs/>
        </w:rPr>
      </w:pPr>
      <w:r>
        <w:rPr>
          <w:rFonts w:ascii="Arial" w:hAnsi="Arial" w:cs="Arial"/>
          <w:color w:val="000000"/>
        </w:rPr>
        <w:t xml:space="preserve">Y al brindar la información, de un tercero sin su autorización se estaría violentando la privacidad de la intimidad y su honor, hecho que sería de imposible reparación, para ello la suprema Corte de Justicia de la Nación ha emitido las siguientes tesis </w:t>
      </w:r>
      <w:r>
        <w:rPr>
          <w:rFonts w:ascii="Arial" w:hAnsi="Arial" w:cs="Arial"/>
          <w:b/>
          <w:bCs/>
          <w:iCs/>
        </w:rPr>
        <w:t>DERECHOS A LA INTIMIDAD, PROPIA IMAGEN, IDENTIDAD PERSONAL Y SEXUAL. CONSTITUYEN DERECHOS DE DEFENSA Y GARANTÍA ESENCIAL PARA LA CONDICIÓN HUMANA.</w:t>
      </w:r>
    </w:p>
    <w:p w:rsidR="00EC336C" w:rsidRDefault="00BD3C19">
      <w:pPr>
        <w:autoSpaceDE w:val="0"/>
        <w:autoSpaceDN w:val="0"/>
        <w:adjustRightInd w:val="0"/>
        <w:spacing w:line="276" w:lineRule="auto"/>
        <w:ind w:right="-140"/>
        <w:jc w:val="both"/>
        <w:rPr>
          <w:rFonts w:ascii="Arial" w:hAnsi="Arial" w:cs="Arial"/>
          <w:b/>
          <w:bCs/>
          <w:iCs/>
        </w:rPr>
      </w:pPr>
      <w:r>
        <w:rPr>
          <w:rFonts w:ascii="Arial" w:hAnsi="Arial" w:cs="Arial"/>
        </w:rPr>
        <w:t>Registro digital: 165821. Instancia Pleno. Novena Época. Materia(s) Civil. Constitucional. Tesis: P. LXVII/2009, Fuente: Semanario Judicial de la Federación y su Gaceta. Tomo XXX. Diciembre de 2009, página 7.</w:t>
      </w:r>
    </w:p>
    <w:p w:rsidR="00EC336C" w:rsidRDefault="00BD3C19">
      <w:pPr>
        <w:pStyle w:val="Default"/>
        <w:spacing w:line="276" w:lineRule="auto"/>
        <w:ind w:right="-140"/>
        <w:jc w:val="both"/>
        <w:rPr>
          <w:b/>
          <w:bCs/>
          <w:iCs/>
        </w:rPr>
      </w:pPr>
      <w:r>
        <w:rPr>
          <w:b/>
          <w:bCs/>
          <w:iCs/>
        </w:rPr>
        <w:lastRenderedPageBreak/>
        <w:t>DERECHO FUNDAMENTAL AL HONOR. SU DIMENSIÓN SUBJETIVA Y OBJETIVA.</w:t>
      </w:r>
    </w:p>
    <w:p w:rsidR="00EC336C" w:rsidRDefault="00BD3C19">
      <w:pPr>
        <w:autoSpaceDE w:val="0"/>
        <w:autoSpaceDN w:val="0"/>
        <w:adjustRightInd w:val="0"/>
        <w:spacing w:line="276" w:lineRule="auto"/>
        <w:ind w:left="142" w:right="-140" w:hanging="142"/>
        <w:jc w:val="both"/>
        <w:rPr>
          <w:rFonts w:ascii="Arial" w:hAnsi="Arial" w:cs="Arial"/>
        </w:rPr>
      </w:pPr>
      <w:r>
        <w:rPr>
          <w:rFonts w:ascii="Arial" w:hAnsi="Arial" w:cs="Arial"/>
        </w:rPr>
        <w:t xml:space="preserve">Registro digital: </w:t>
      </w:r>
      <w:r>
        <w:rPr>
          <w:rFonts w:ascii="Arial" w:hAnsi="Arial" w:cs="Arial"/>
          <w:color w:val="212529"/>
          <w:shd w:val="clear" w:color="auto" w:fill="FFFFFF"/>
        </w:rPr>
        <w:t xml:space="preserve">2005523, </w:t>
      </w:r>
      <w:r>
        <w:rPr>
          <w:rFonts w:ascii="Arial" w:hAnsi="Arial" w:cs="Arial"/>
        </w:rPr>
        <w:t xml:space="preserve">Instancia </w:t>
      </w:r>
      <w:r>
        <w:rPr>
          <w:rFonts w:ascii="Arial" w:hAnsi="Arial" w:cs="Arial"/>
          <w:color w:val="212529"/>
          <w:shd w:val="clear" w:color="auto" w:fill="FFFFFF"/>
        </w:rPr>
        <w:t xml:space="preserve">Primera Sala, </w:t>
      </w:r>
      <w:r>
        <w:rPr>
          <w:rFonts w:ascii="Arial" w:hAnsi="Arial" w:cs="Arial"/>
        </w:rPr>
        <w:t xml:space="preserve">Novena Época, Materia(s): Constitucional.  </w:t>
      </w:r>
    </w:p>
    <w:p w:rsidR="00EC336C" w:rsidRDefault="00BD3C19">
      <w:pPr>
        <w:autoSpaceDE w:val="0"/>
        <w:autoSpaceDN w:val="0"/>
        <w:adjustRightInd w:val="0"/>
        <w:spacing w:line="276" w:lineRule="auto"/>
        <w:ind w:right="-140"/>
        <w:jc w:val="both"/>
        <w:rPr>
          <w:rStyle w:val="ng-star-inserted"/>
          <w:rFonts w:ascii="Arial" w:hAnsi="Arial" w:cs="Arial"/>
          <w:color w:val="212529"/>
          <w:shd w:val="clear" w:color="auto" w:fill="FFFFFF"/>
        </w:rPr>
      </w:pPr>
      <w:r>
        <w:rPr>
          <w:rFonts w:ascii="Arial" w:hAnsi="Arial" w:cs="Arial"/>
        </w:rPr>
        <w:t xml:space="preserve">Tesis: </w:t>
      </w:r>
      <w:r>
        <w:rPr>
          <w:rFonts w:ascii="Arial" w:hAnsi="Arial" w:cs="Arial"/>
          <w:color w:val="212529"/>
          <w:shd w:val="clear" w:color="auto" w:fill="FFFFFF"/>
        </w:rPr>
        <w:t xml:space="preserve">1a./J. 118/2013 (10a.). </w:t>
      </w:r>
      <w:r>
        <w:rPr>
          <w:rFonts w:ascii="Arial" w:hAnsi="Arial" w:cs="Arial"/>
        </w:rPr>
        <w:t xml:space="preserve">Fuente: </w:t>
      </w:r>
      <w:r>
        <w:rPr>
          <w:rFonts w:ascii="Arial" w:hAnsi="Arial" w:cs="Arial"/>
          <w:color w:val="212529"/>
          <w:shd w:val="clear" w:color="auto" w:fill="FFFFFF"/>
        </w:rPr>
        <w:t>Gaceta del Semanario Judicial de la Federación.</w:t>
      </w:r>
      <w:r>
        <w:rPr>
          <w:rFonts w:ascii="Arial" w:hAnsi="Arial" w:cs="Arial"/>
          <w:color w:val="212529"/>
        </w:rPr>
        <w:t xml:space="preserve"> </w:t>
      </w:r>
      <w:r>
        <w:rPr>
          <w:rStyle w:val="ng-star-inserted"/>
          <w:rFonts w:ascii="Arial" w:hAnsi="Arial" w:cs="Arial"/>
          <w:color w:val="212529"/>
          <w:shd w:val="clear" w:color="auto" w:fill="FFFFFF"/>
        </w:rPr>
        <w:t>Libro 3. Febrero de 2014. Tomo I. página 470.</w:t>
      </w:r>
    </w:p>
    <w:p w:rsidR="00EC336C" w:rsidRDefault="00EC336C">
      <w:pPr>
        <w:autoSpaceDE w:val="0"/>
        <w:autoSpaceDN w:val="0"/>
        <w:adjustRightInd w:val="0"/>
        <w:spacing w:line="276" w:lineRule="auto"/>
        <w:ind w:right="-140"/>
        <w:jc w:val="both"/>
        <w:rPr>
          <w:rFonts w:ascii="Arial" w:hAnsi="Arial" w:cs="Arial"/>
          <w:b/>
          <w:bCs/>
          <w:iCs/>
        </w:rPr>
      </w:pPr>
    </w:p>
    <w:p w:rsidR="00EC336C" w:rsidRDefault="00BD3C19">
      <w:pPr>
        <w:spacing w:line="276" w:lineRule="auto"/>
        <w:jc w:val="both"/>
        <w:rPr>
          <w:rFonts w:ascii="Arial" w:hAnsi="Arial" w:cs="Arial"/>
        </w:rPr>
      </w:pPr>
      <w:r>
        <w:rPr>
          <w:rFonts w:ascii="Arial" w:hAnsi="Arial" w:cs="Arial"/>
        </w:rPr>
        <w:t xml:space="preserve">Por su parte el Décimo Tribunal Colegiado en Materia Administrativa del Primer Circuito. Amparo directo 535/2018. Pablo Agustín </w:t>
      </w:r>
      <w:proofErr w:type="spellStart"/>
      <w:r>
        <w:rPr>
          <w:rFonts w:ascii="Arial" w:hAnsi="Arial" w:cs="Arial"/>
        </w:rPr>
        <w:t>Meouchi</w:t>
      </w:r>
      <w:proofErr w:type="spellEnd"/>
      <w:r>
        <w:rPr>
          <w:rFonts w:ascii="Arial" w:hAnsi="Arial" w:cs="Arial"/>
        </w:rPr>
        <w:t xml:space="preserve"> </w:t>
      </w:r>
      <w:proofErr w:type="spellStart"/>
      <w:r>
        <w:rPr>
          <w:rFonts w:ascii="Arial" w:hAnsi="Arial" w:cs="Arial"/>
        </w:rPr>
        <w:t>Saade</w:t>
      </w:r>
      <w:proofErr w:type="spellEnd"/>
      <w:r>
        <w:rPr>
          <w:rFonts w:ascii="Arial" w:hAnsi="Arial" w:cs="Arial"/>
        </w:rPr>
        <w:t xml:space="preserve">. 25 de abril de 2019. Unanimidad de votos. Ponente: Jorge Arturo Camero Ocampo. Secretario: Ángel García </w:t>
      </w:r>
      <w:proofErr w:type="spellStart"/>
      <w:r>
        <w:rPr>
          <w:rFonts w:ascii="Arial" w:hAnsi="Arial" w:cs="Arial"/>
        </w:rPr>
        <w:t>Cotonieto</w:t>
      </w:r>
      <w:proofErr w:type="spellEnd"/>
      <w:r>
        <w:rPr>
          <w:rFonts w:ascii="Arial" w:hAnsi="Arial" w:cs="Arial"/>
        </w:rPr>
        <w:t>.</w:t>
      </w:r>
    </w:p>
    <w:p w:rsidR="00EC336C" w:rsidRDefault="00EC336C">
      <w:pPr>
        <w:spacing w:line="276" w:lineRule="auto"/>
        <w:ind w:left="567"/>
        <w:jc w:val="both"/>
        <w:rPr>
          <w:rFonts w:ascii="Arial" w:hAnsi="Arial" w:cs="Arial"/>
        </w:rPr>
      </w:pPr>
    </w:p>
    <w:p w:rsidR="00EC336C" w:rsidRDefault="00BD3C19">
      <w:pPr>
        <w:spacing w:line="276" w:lineRule="auto"/>
        <w:ind w:right="49"/>
        <w:jc w:val="both"/>
        <w:rPr>
          <w:rFonts w:ascii="Arial" w:hAnsi="Arial" w:cs="Arial"/>
          <w:b/>
        </w:rPr>
      </w:pPr>
      <w:r>
        <w:rPr>
          <w:rFonts w:ascii="Arial" w:hAnsi="Arial" w:cs="Arial"/>
          <w:b/>
        </w:rPr>
        <w:t>PROTECCIÓN DE DATOS PERSONALES. CONSTITUYE UN DERECHO VINCULADO CON LA SALVAGUARDA DE OTROS DERECHOS FUNDAMENTALES INHERENTES AL SER HUMANO.</w:t>
      </w:r>
    </w:p>
    <w:p w:rsidR="00EC336C" w:rsidRDefault="00BD3C19">
      <w:pPr>
        <w:spacing w:line="276" w:lineRule="auto"/>
        <w:jc w:val="both"/>
        <w:rPr>
          <w:rFonts w:ascii="Arial" w:hAnsi="Arial" w:cs="Arial"/>
        </w:rPr>
      </w:pPr>
      <w:r>
        <w:rPr>
          <w:rFonts w:ascii="Arial" w:hAnsi="Arial" w:cs="Arial"/>
        </w:rPr>
        <w:t xml:space="preserve">Robusteciendo lo anterior, se precisa lo estipulado por los artículos 24 fracción VI, 82, 114, 120 fracción III, y 138 de la –LTAIPSLP-. </w:t>
      </w:r>
    </w:p>
    <w:p w:rsidR="00EC336C" w:rsidRDefault="00EC336C">
      <w:pPr>
        <w:spacing w:line="276" w:lineRule="auto"/>
        <w:jc w:val="both"/>
        <w:rPr>
          <w:rFonts w:ascii="Arial" w:hAnsi="Arial" w:cs="Arial"/>
        </w:rPr>
      </w:pPr>
    </w:p>
    <w:p w:rsidR="00EC336C" w:rsidRDefault="00BD3C19">
      <w:pPr>
        <w:spacing w:line="276" w:lineRule="auto"/>
        <w:jc w:val="both"/>
        <w:rPr>
          <w:rFonts w:ascii="Arial" w:hAnsi="Arial" w:cs="Arial"/>
        </w:rPr>
      </w:pPr>
      <w:r>
        <w:rPr>
          <w:rFonts w:ascii="Arial" w:hAnsi="Arial" w:cs="Arial"/>
        </w:rPr>
        <w:t>Así, los numerales antes precisados constituyen los mecanismos que garantizan la protección de los datos personales en posesión de sujetos obligados, entendiendo también que le corresponde a esta autoridad apegar su actuación acorde a lo establecido por el artículo 6º, de la Constitución Federal; por lo que la presente confirmación es emitida, acorde a lo dispuesto por el artículo 1º de la Constitución Política de los Estados Unidos Mexicanos, que precisa la obligación que se tiene como autoridad en el ámbito de la competencia el promover, respetar, proteger y garantizar los derechos humanos de toda persona conformidad con los principios de universalidad, interdependencia, indivisibilidad y progresividad.</w:t>
      </w:r>
    </w:p>
    <w:p w:rsidR="00EC336C" w:rsidRDefault="00EC336C">
      <w:pPr>
        <w:spacing w:line="276" w:lineRule="auto"/>
        <w:jc w:val="both"/>
        <w:rPr>
          <w:rFonts w:ascii="Arial" w:hAnsi="Arial" w:cs="Arial"/>
        </w:rPr>
      </w:pPr>
    </w:p>
    <w:p w:rsidR="00EC336C" w:rsidRDefault="00EC336C">
      <w:pPr>
        <w:spacing w:line="276" w:lineRule="auto"/>
        <w:jc w:val="both"/>
        <w:rPr>
          <w:rFonts w:ascii="Arial" w:hAnsi="Arial" w:cs="Arial"/>
        </w:rPr>
      </w:pPr>
    </w:p>
    <w:p w:rsidR="00EC336C" w:rsidRDefault="00BD3C19">
      <w:pPr>
        <w:spacing w:line="276" w:lineRule="auto"/>
        <w:jc w:val="both"/>
        <w:rPr>
          <w:rFonts w:ascii="Arial" w:hAnsi="Arial" w:cs="Arial"/>
        </w:rPr>
      </w:pPr>
      <w:r>
        <w:rPr>
          <w:rFonts w:ascii="Arial" w:hAnsi="Arial" w:cs="Arial"/>
        </w:rPr>
        <w:t xml:space="preserve">En congruencia además los artículos 3º fracciones VII, IX; 113, 114, y 138 de la –LTAIPSLP-, precisa que las figuras de excepción al derecho de acceso a la información pública lo son: información reservada e información confidencial y que “en ningún caso se podrá contravenir”, vinculado con lo dispuesto por el lineamiento Trigésimo octavo de los Lineamientos Generales en Materia de Clasificación y Desclasificación de la Información, así como para la elaboración de Versiones Públicas, artículo 3º fracciones VIII y IX de la Ley de </w:t>
      </w:r>
      <w:r>
        <w:rPr>
          <w:rFonts w:ascii="Arial" w:hAnsi="Arial" w:cs="Arial"/>
        </w:rPr>
        <w:lastRenderedPageBreak/>
        <w:t>Protección de Datos Personales en Posesión de los Sujetos Obligados del Estado de San Luis Potosí, resultando entonces, como:</w:t>
      </w:r>
    </w:p>
    <w:p w:rsidR="00EC336C" w:rsidRDefault="00EC336C">
      <w:pPr>
        <w:spacing w:line="276" w:lineRule="auto"/>
        <w:jc w:val="both"/>
        <w:rPr>
          <w:rFonts w:ascii="Arial" w:hAnsi="Arial" w:cs="Arial"/>
        </w:rPr>
      </w:pPr>
    </w:p>
    <w:p w:rsidR="00EC336C" w:rsidRDefault="00EC336C">
      <w:pPr>
        <w:spacing w:line="276" w:lineRule="auto"/>
        <w:jc w:val="both"/>
        <w:rPr>
          <w:rFonts w:ascii="Arial" w:hAnsi="Arial" w:cs="Arial"/>
        </w:rPr>
      </w:pPr>
    </w:p>
    <w:p w:rsidR="00EC336C" w:rsidRDefault="00BD3C19">
      <w:pPr>
        <w:spacing w:line="276" w:lineRule="auto"/>
        <w:jc w:val="both"/>
        <w:rPr>
          <w:rFonts w:ascii="Arial" w:hAnsi="Arial" w:cs="Arial"/>
          <w:u w:val="single"/>
        </w:rPr>
      </w:pPr>
      <w:r>
        <w:rPr>
          <w:rFonts w:ascii="Arial" w:hAnsi="Arial" w:cs="Arial"/>
          <w:u w:val="single"/>
        </w:rPr>
        <w:t>Datos identificativos:</w:t>
      </w:r>
    </w:p>
    <w:p w:rsidR="00EC336C" w:rsidRDefault="00EC336C">
      <w:pPr>
        <w:spacing w:line="276" w:lineRule="auto"/>
        <w:jc w:val="both"/>
        <w:rPr>
          <w:rFonts w:ascii="Arial" w:hAnsi="Arial" w:cs="Arial"/>
          <w:u w:val="single"/>
        </w:rPr>
      </w:pPr>
    </w:p>
    <w:p w:rsidR="00EC336C" w:rsidRDefault="00BD3C19">
      <w:pPr>
        <w:spacing w:line="276" w:lineRule="auto"/>
        <w:jc w:val="both"/>
        <w:rPr>
          <w:rFonts w:ascii="Arial" w:hAnsi="Arial" w:cs="Arial"/>
          <w:b/>
          <w:color w:val="000000"/>
        </w:rPr>
      </w:pPr>
      <w:r>
        <w:rPr>
          <w:rFonts w:ascii="Arial" w:hAnsi="Arial" w:cs="Arial"/>
          <w:b/>
          <w:color w:val="000000"/>
        </w:rPr>
        <w:t xml:space="preserve">Registro Federal de Contribuyentes – RFC-. </w:t>
      </w:r>
      <w:r>
        <w:rPr>
          <w:rFonts w:ascii="Arial" w:hAnsi="Arial" w:cs="Arial"/>
          <w:color w:val="000000"/>
        </w:rPr>
        <w:t>Es un dato personal ya que es una clave de carácter fiscal, única e irrepetible, que permite identificar al titular, su edad y fecha de nacimiento, por lo que es un dato personal de carácter confidencial, por lo que como sujeto obligado se deben de tomar las medidas de seguridad necesarias para el resguardo de esta información, y no se puede realizarse ningún acto o hecho sin la autorización debida del titular, aunado a que dicha información no es necesaria para el debido desempeño de sus funciones.</w:t>
      </w:r>
    </w:p>
    <w:p w:rsidR="00EC336C" w:rsidRDefault="00EC336C">
      <w:pPr>
        <w:pStyle w:val="Prrafodelista"/>
        <w:spacing w:line="276" w:lineRule="auto"/>
        <w:ind w:left="0"/>
        <w:jc w:val="both"/>
        <w:rPr>
          <w:rFonts w:ascii="Arial" w:hAnsi="Arial" w:cs="Arial"/>
          <w:b/>
          <w:color w:val="000000"/>
        </w:rPr>
      </w:pPr>
    </w:p>
    <w:p w:rsidR="00EC336C" w:rsidRDefault="00BD3C19">
      <w:pPr>
        <w:pStyle w:val="Prrafodelista"/>
        <w:numPr>
          <w:ilvl w:val="0"/>
          <w:numId w:val="2"/>
        </w:numPr>
        <w:spacing w:line="276" w:lineRule="auto"/>
        <w:ind w:left="0"/>
        <w:jc w:val="both"/>
        <w:rPr>
          <w:rFonts w:ascii="Arial" w:hAnsi="Arial" w:cs="Arial"/>
          <w:b/>
          <w:color w:val="000000"/>
        </w:rPr>
      </w:pPr>
      <w:r>
        <w:rPr>
          <w:rFonts w:ascii="Arial" w:hAnsi="Arial" w:cs="Arial"/>
          <w:b/>
          <w:color w:val="000000"/>
        </w:rPr>
        <w:t xml:space="preserve">Domicilio particular. </w:t>
      </w:r>
      <w:r>
        <w:rPr>
          <w:rFonts w:ascii="Arial" w:hAnsi="Arial" w:cs="Arial"/>
          <w:color w:val="000000"/>
        </w:rPr>
        <w:t>Es un dato personal del prestador de servicios que lo hace identificable y dicha información no es necesaria para el debido desempeño de sus funciones y no contribuye a la rendición de cuentas de la Fiscalía.</w:t>
      </w:r>
    </w:p>
    <w:p w:rsidR="00EC336C" w:rsidRDefault="00EC336C">
      <w:pPr>
        <w:rPr>
          <w:rFonts w:ascii="Arial" w:hAnsi="Arial" w:cs="Arial"/>
          <w:color w:val="000000"/>
        </w:rPr>
      </w:pPr>
    </w:p>
    <w:p w:rsidR="00EC336C" w:rsidRDefault="00EC336C">
      <w:pPr>
        <w:rPr>
          <w:rFonts w:ascii="Arial" w:hAnsi="Arial" w:cs="Arial"/>
          <w:color w:val="000000"/>
        </w:rPr>
      </w:pPr>
    </w:p>
    <w:p w:rsidR="00EC336C" w:rsidRDefault="00BD3C19">
      <w:pPr>
        <w:rPr>
          <w:rFonts w:ascii="Arial" w:hAnsi="Arial" w:cs="Arial"/>
          <w:color w:val="000000"/>
          <w:u w:val="single"/>
        </w:rPr>
      </w:pPr>
      <w:r>
        <w:rPr>
          <w:rFonts w:ascii="Arial" w:hAnsi="Arial" w:cs="Arial"/>
          <w:color w:val="000000"/>
          <w:u w:val="single"/>
        </w:rPr>
        <w:t>Datos laborales:</w:t>
      </w:r>
    </w:p>
    <w:p w:rsidR="00EC336C" w:rsidRDefault="00EC336C">
      <w:pPr>
        <w:rPr>
          <w:rFonts w:ascii="Arial" w:hAnsi="Arial" w:cs="Arial"/>
          <w:color w:val="000000"/>
        </w:rPr>
      </w:pPr>
    </w:p>
    <w:p w:rsidR="00EC336C" w:rsidRDefault="00BD3C19">
      <w:pPr>
        <w:pStyle w:val="Prrafodelista"/>
        <w:numPr>
          <w:ilvl w:val="0"/>
          <w:numId w:val="2"/>
        </w:numPr>
        <w:spacing w:line="276" w:lineRule="auto"/>
        <w:ind w:left="0"/>
        <w:jc w:val="both"/>
        <w:rPr>
          <w:rFonts w:ascii="Arial" w:hAnsi="Arial" w:cs="Arial"/>
        </w:rPr>
      </w:pPr>
      <w:r>
        <w:rPr>
          <w:rFonts w:ascii="Arial" w:hAnsi="Arial" w:cs="Arial"/>
          <w:b/>
          <w:color w:val="000000"/>
        </w:rPr>
        <w:t xml:space="preserve">Área de adscripción. </w:t>
      </w:r>
      <w:r>
        <w:rPr>
          <w:rFonts w:ascii="Arial" w:hAnsi="Arial" w:cs="Arial"/>
          <w:color w:val="000000"/>
        </w:rPr>
        <w:t xml:space="preserve">Por ser asesores de </w:t>
      </w:r>
      <w:r>
        <w:rPr>
          <w:rFonts w:ascii="Arial" w:hAnsi="Arial" w:cs="Arial"/>
          <w:lang w:val="es-ES"/>
        </w:rPr>
        <w:t xml:space="preserve">áreas sustantivas de la Fiscalía General del Estado como lo son </w:t>
      </w:r>
      <w:proofErr w:type="spellStart"/>
      <w:r>
        <w:rPr>
          <w:rFonts w:ascii="Arial" w:hAnsi="Arial" w:cs="Arial"/>
          <w:lang w:val="es-ES"/>
        </w:rPr>
        <w:t>Vicefiscalías</w:t>
      </w:r>
      <w:proofErr w:type="spellEnd"/>
      <w:r>
        <w:rPr>
          <w:rFonts w:ascii="Arial" w:hAnsi="Arial" w:cs="Arial"/>
          <w:lang w:val="es-ES"/>
        </w:rPr>
        <w:t xml:space="preserve">, Fiscalías Especializadas y Dirección General de Métodos de Investigación, y aun cuando dicho personal no realiza tareas sustantivas, en su carácter de personal contratado por honorarios profesionales y que para la realización de sus funciones, pueden llegar a tener acceso a información relativa a ésta, como son operativos, turnos, armamento, imputados y víctimas, entre otros,  tal como lo resolvió el 12 de mayo 2022 la Suprema Corte de Justicia de la Nación al  emitir su pronunciamiento dentro de la controversia constitucional número </w:t>
      </w:r>
      <w:r>
        <w:rPr>
          <w:rFonts w:ascii="Arial" w:hAnsi="Arial" w:cs="Arial"/>
        </w:rPr>
        <w:t>325/2019.</w:t>
      </w:r>
    </w:p>
    <w:p w:rsidR="00EC336C" w:rsidRDefault="00EC336C">
      <w:pPr>
        <w:spacing w:line="276" w:lineRule="auto"/>
        <w:jc w:val="both"/>
        <w:rPr>
          <w:rFonts w:ascii="Arial" w:hAnsi="Arial" w:cs="Arial"/>
        </w:rPr>
      </w:pPr>
    </w:p>
    <w:p w:rsidR="00EC336C" w:rsidRDefault="00EC336C">
      <w:pPr>
        <w:spacing w:line="276" w:lineRule="auto"/>
        <w:jc w:val="both"/>
        <w:rPr>
          <w:rFonts w:ascii="Arial" w:hAnsi="Arial" w:cs="Arial"/>
        </w:rPr>
      </w:pPr>
    </w:p>
    <w:p w:rsidR="00EC336C" w:rsidRDefault="00BD3C19">
      <w:pPr>
        <w:spacing w:line="276" w:lineRule="auto"/>
        <w:jc w:val="both"/>
        <w:rPr>
          <w:rFonts w:ascii="Arial" w:hAnsi="Arial" w:cs="Arial"/>
        </w:rPr>
      </w:pPr>
      <w:r>
        <w:rPr>
          <w:rFonts w:ascii="Arial" w:hAnsi="Arial" w:cs="Arial"/>
        </w:rPr>
        <w:lastRenderedPageBreak/>
        <w:t>El Comité de Transparencia en Pleno determinó procedente confirmar la clasificación de Información confidencial respecto a:</w:t>
      </w:r>
      <w:r>
        <w:rPr>
          <w:rFonts w:ascii="Arial" w:hAnsi="Arial" w:cs="Arial"/>
          <w:b/>
          <w:szCs w:val="16"/>
        </w:rPr>
        <w:t xml:space="preserve"> </w:t>
      </w:r>
      <w:r w:rsidRPr="00B136FA">
        <w:rPr>
          <w:rFonts w:ascii="Arial" w:hAnsi="Arial" w:cs="Arial"/>
          <w:b/>
          <w:sz w:val="25"/>
          <w:szCs w:val="25"/>
        </w:rPr>
        <w:t>03 contratos de servicios profesionales por honorarios con</w:t>
      </w:r>
      <w:r>
        <w:rPr>
          <w:rFonts w:ascii="Arial" w:hAnsi="Arial" w:cs="Arial"/>
          <w:b/>
          <w:sz w:val="25"/>
          <w:szCs w:val="25"/>
        </w:rPr>
        <w:t xml:space="preserve"> </w:t>
      </w:r>
      <w:r w:rsidRPr="00495A54">
        <w:rPr>
          <w:rFonts w:ascii="Arial" w:hAnsi="Arial" w:cs="Arial"/>
          <w:b/>
          <w:sz w:val="25"/>
          <w:szCs w:val="25"/>
        </w:rPr>
        <w:t xml:space="preserve">vigencia del </w:t>
      </w:r>
      <w:r>
        <w:rPr>
          <w:rFonts w:ascii="Arial" w:hAnsi="Arial" w:cs="Arial"/>
          <w:b/>
          <w:sz w:val="25"/>
          <w:szCs w:val="25"/>
        </w:rPr>
        <w:t>15</w:t>
      </w:r>
      <w:r w:rsidRPr="00495A54">
        <w:rPr>
          <w:rFonts w:ascii="Arial" w:hAnsi="Arial" w:cs="Arial"/>
          <w:b/>
          <w:sz w:val="25"/>
          <w:szCs w:val="25"/>
        </w:rPr>
        <w:t xml:space="preserve"> de oct</w:t>
      </w:r>
      <w:r>
        <w:rPr>
          <w:rFonts w:ascii="Arial" w:hAnsi="Arial" w:cs="Arial"/>
          <w:b/>
          <w:sz w:val="25"/>
          <w:szCs w:val="25"/>
        </w:rPr>
        <w:t xml:space="preserve">ubre al 31 de diciembre de 2023; </w:t>
      </w:r>
      <w:r w:rsidRPr="00B136FA">
        <w:rPr>
          <w:rFonts w:ascii="Arial" w:hAnsi="Arial" w:cs="Arial"/>
          <w:b/>
          <w:sz w:val="25"/>
          <w:szCs w:val="25"/>
        </w:rPr>
        <w:t xml:space="preserve">1 contrato de servicios profesionales por honorarios con vigencia del 25 de octubre </w:t>
      </w:r>
      <w:r>
        <w:rPr>
          <w:rFonts w:ascii="Arial" w:hAnsi="Arial" w:cs="Arial"/>
          <w:b/>
          <w:sz w:val="25"/>
          <w:szCs w:val="25"/>
        </w:rPr>
        <w:t xml:space="preserve">al 31 de diciembre 2023 y 01 contrato de servicios profesionales por honorarios con vigencia del </w:t>
      </w:r>
      <w:r w:rsidRPr="00B136FA">
        <w:rPr>
          <w:rFonts w:ascii="Arial" w:hAnsi="Arial" w:cs="Arial"/>
          <w:b/>
          <w:sz w:val="25"/>
          <w:szCs w:val="25"/>
        </w:rPr>
        <w:t>01 de no</w:t>
      </w:r>
      <w:r>
        <w:rPr>
          <w:rFonts w:ascii="Arial" w:hAnsi="Arial" w:cs="Arial"/>
          <w:b/>
          <w:sz w:val="25"/>
          <w:szCs w:val="25"/>
        </w:rPr>
        <w:t xml:space="preserve">viembre al 31 de diciembre 2023, </w:t>
      </w:r>
      <w:r>
        <w:rPr>
          <w:rFonts w:ascii="Arial" w:hAnsi="Arial" w:cs="Arial"/>
        </w:rPr>
        <w:t xml:space="preserve">realizada por el Director General de Administración de la Fiscalía General del Estado mediante oficio </w:t>
      </w:r>
      <w:r>
        <w:rPr>
          <w:rFonts w:ascii="Arial" w:hAnsi="Arial" w:cs="Arial"/>
          <w:b/>
        </w:rPr>
        <w:t xml:space="preserve">DGA/DRH/5315/2023, </w:t>
      </w:r>
      <w:r>
        <w:rPr>
          <w:rFonts w:ascii="Arial" w:eastAsia="Times New Roman" w:hAnsi="Arial" w:cs="Arial"/>
          <w:b/>
        </w:rPr>
        <w:t>fechado y recibido el 01 de diciembre 2023</w:t>
      </w:r>
      <w:r>
        <w:rPr>
          <w:rFonts w:ascii="Arial" w:hAnsi="Arial" w:cs="Arial"/>
        </w:rPr>
        <w:t>, únicamente respecto a los siguientes conceptos:</w:t>
      </w:r>
    </w:p>
    <w:p w:rsidR="00EC336C" w:rsidRDefault="00EC336C">
      <w:pPr>
        <w:spacing w:line="276" w:lineRule="auto"/>
        <w:jc w:val="both"/>
        <w:rPr>
          <w:rFonts w:ascii="Arial" w:hAnsi="Arial" w:cs="Arial"/>
        </w:rPr>
      </w:pPr>
    </w:p>
    <w:p w:rsidR="008B163A" w:rsidRDefault="008B163A">
      <w:pPr>
        <w:spacing w:line="276" w:lineRule="auto"/>
        <w:jc w:val="both"/>
        <w:rPr>
          <w:rFonts w:ascii="Arial" w:hAnsi="Arial" w:cs="Arial"/>
        </w:rPr>
      </w:pPr>
    </w:p>
    <w:p w:rsidR="00EC336C" w:rsidRDefault="00BD3C19">
      <w:pPr>
        <w:pStyle w:val="Prrafodelista"/>
        <w:numPr>
          <w:ilvl w:val="0"/>
          <w:numId w:val="2"/>
        </w:numPr>
        <w:spacing w:line="276" w:lineRule="auto"/>
        <w:jc w:val="both"/>
        <w:rPr>
          <w:rFonts w:ascii="Arial" w:hAnsi="Arial" w:cs="Arial"/>
          <w:b/>
          <w:color w:val="000000"/>
        </w:rPr>
      </w:pPr>
      <w:r>
        <w:rPr>
          <w:rFonts w:ascii="Arial" w:hAnsi="Arial" w:cs="Arial"/>
          <w:b/>
          <w:color w:val="000000"/>
        </w:rPr>
        <w:t xml:space="preserve">Registro Federal de Contribuyentes – RFC-. </w:t>
      </w:r>
    </w:p>
    <w:p w:rsidR="00EC336C" w:rsidRDefault="00BD3C19">
      <w:pPr>
        <w:pStyle w:val="Prrafodelista"/>
        <w:numPr>
          <w:ilvl w:val="0"/>
          <w:numId w:val="2"/>
        </w:numPr>
        <w:spacing w:line="276" w:lineRule="auto"/>
        <w:jc w:val="both"/>
        <w:rPr>
          <w:rFonts w:ascii="Arial" w:hAnsi="Arial" w:cs="Arial"/>
          <w:b/>
          <w:color w:val="000000"/>
        </w:rPr>
      </w:pPr>
      <w:r>
        <w:rPr>
          <w:rFonts w:ascii="Arial" w:hAnsi="Arial" w:cs="Arial"/>
          <w:b/>
          <w:color w:val="000000"/>
        </w:rPr>
        <w:t>Domicilio particular.</w:t>
      </w:r>
    </w:p>
    <w:p w:rsidR="00EC336C" w:rsidRDefault="00BD3C19">
      <w:pPr>
        <w:pStyle w:val="Prrafodelista"/>
        <w:numPr>
          <w:ilvl w:val="0"/>
          <w:numId w:val="2"/>
        </w:numPr>
        <w:spacing w:line="276" w:lineRule="auto"/>
        <w:jc w:val="both"/>
        <w:rPr>
          <w:rFonts w:ascii="Arial" w:hAnsi="Arial" w:cs="Arial"/>
          <w:b/>
          <w:color w:val="000000"/>
        </w:rPr>
      </w:pPr>
      <w:r>
        <w:rPr>
          <w:rFonts w:ascii="Arial" w:hAnsi="Arial" w:cs="Arial"/>
          <w:b/>
          <w:color w:val="000000"/>
        </w:rPr>
        <w:t>Área de adscripción.</w:t>
      </w:r>
    </w:p>
    <w:p w:rsidR="00EC336C" w:rsidRDefault="00EC336C">
      <w:pPr>
        <w:pStyle w:val="Prrafodelista"/>
        <w:spacing w:line="276" w:lineRule="auto"/>
        <w:jc w:val="both"/>
        <w:rPr>
          <w:rFonts w:ascii="Arial" w:hAnsi="Arial" w:cs="Arial"/>
          <w:b/>
          <w:color w:val="000000"/>
        </w:rPr>
      </w:pPr>
    </w:p>
    <w:p w:rsidR="008B163A" w:rsidRDefault="008B163A">
      <w:pPr>
        <w:pStyle w:val="Prrafodelista"/>
        <w:spacing w:line="276" w:lineRule="auto"/>
        <w:jc w:val="both"/>
        <w:rPr>
          <w:rFonts w:ascii="Arial" w:hAnsi="Arial" w:cs="Arial"/>
          <w:b/>
          <w:color w:val="000000"/>
        </w:rPr>
      </w:pPr>
    </w:p>
    <w:p w:rsidR="00EC336C" w:rsidRDefault="00BD3C19">
      <w:pPr>
        <w:spacing w:line="276" w:lineRule="auto"/>
        <w:jc w:val="both"/>
        <w:rPr>
          <w:rFonts w:ascii="Arial" w:hAnsi="Arial" w:cs="Arial"/>
        </w:rPr>
      </w:pPr>
      <w:r>
        <w:rPr>
          <w:rFonts w:ascii="Arial" w:hAnsi="Arial" w:cs="Arial"/>
        </w:rPr>
        <w:t xml:space="preserve">Al quedar comprobado que la información que se encuentra en posesión y bajo resguardo de la Dirección General de Administración, contiene datos personales concernientes a una persona identificada o identificable, sobre la cual no puede realizar ningún acto o hecho, sin la autorización debida de los titulares o sus representantes legales, así mismo cabe mencionar que la reglamentación refiere que la información confidencial no podrá difundirse en forma nominativa o individualizada o cualquier otra forma que permita la identificación inmediata de los involucrados, o conduzca, por su estructura, contenido o grado de desagregación a la identificación individual de los mismos, y la misma no es necesaria para el debido desempeño de su función, además de que aun y cuando las personas reciban recurso público la información clasificada como confidencial en nada incide a la rendición de cuentas. </w:t>
      </w:r>
    </w:p>
    <w:p w:rsidR="00EC336C" w:rsidRDefault="00EC336C">
      <w:pPr>
        <w:spacing w:line="276" w:lineRule="auto"/>
        <w:jc w:val="both"/>
        <w:rPr>
          <w:rFonts w:ascii="Arial" w:hAnsi="Arial" w:cs="Arial"/>
        </w:rPr>
      </w:pPr>
    </w:p>
    <w:p w:rsidR="008B163A" w:rsidRDefault="008B163A">
      <w:pPr>
        <w:spacing w:line="276" w:lineRule="auto"/>
        <w:jc w:val="both"/>
        <w:rPr>
          <w:rFonts w:ascii="Arial" w:hAnsi="Arial" w:cs="Arial"/>
        </w:rPr>
      </w:pPr>
    </w:p>
    <w:p w:rsidR="00EC336C" w:rsidRDefault="00BD3C19">
      <w:pPr>
        <w:spacing w:line="276" w:lineRule="auto"/>
        <w:jc w:val="both"/>
        <w:rPr>
          <w:rFonts w:ascii="Arial" w:hAnsi="Arial" w:cs="Arial"/>
          <w:b/>
        </w:rPr>
      </w:pPr>
      <w:r>
        <w:rPr>
          <w:rFonts w:ascii="Arial" w:hAnsi="Arial" w:cs="Arial"/>
        </w:rPr>
        <w:t xml:space="preserve">Como lo establece el artículo 138 de la Ley de Transparencia en el Estado, la clasificación de información confidencial que se realiza </w:t>
      </w:r>
      <w:r>
        <w:rPr>
          <w:rFonts w:ascii="Arial" w:hAnsi="Arial" w:cs="Arial"/>
          <w:b/>
        </w:rPr>
        <w:t>no está sujeta a temporalidad alguna.</w:t>
      </w:r>
    </w:p>
    <w:p w:rsidR="00EC336C" w:rsidRDefault="00EC336C">
      <w:pPr>
        <w:spacing w:line="276" w:lineRule="auto"/>
        <w:jc w:val="both"/>
        <w:rPr>
          <w:rFonts w:ascii="Arial" w:hAnsi="Arial" w:cs="Arial"/>
          <w:b/>
        </w:rPr>
      </w:pPr>
    </w:p>
    <w:p w:rsidR="00EC336C" w:rsidRDefault="00BD3C19">
      <w:pPr>
        <w:pStyle w:val="Sinespaciado"/>
        <w:spacing w:line="276" w:lineRule="auto"/>
        <w:jc w:val="both"/>
        <w:rPr>
          <w:rFonts w:ascii="Arial" w:eastAsia="Times New Roman" w:hAnsi="Arial" w:cs="Arial"/>
          <w:sz w:val="24"/>
          <w:szCs w:val="24"/>
          <w:lang w:val="es-ES" w:eastAsia="es-ES"/>
        </w:rPr>
      </w:pPr>
      <w:r>
        <w:rPr>
          <w:rFonts w:ascii="Arial" w:eastAsiaTheme="minorEastAsia" w:hAnsi="Arial" w:cs="Arial"/>
          <w:sz w:val="24"/>
          <w:szCs w:val="24"/>
          <w:lang w:eastAsia="es-ES"/>
        </w:rPr>
        <w:lastRenderedPageBreak/>
        <w:t xml:space="preserve">Respecto al llenado y la publicación del formato LTAIPSLP84XVI del mes de </w:t>
      </w:r>
      <w:r>
        <w:rPr>
          <w:rFonts w:ascii="Arial" w:eastAsiaTheme="minorEastAsia" w:hAnsi="Arial" w:cs="Arial"/>
          <w:b/>
          <w:sz w:val="24"/>
          <w:szCs w:val="24"/>
          <w:lang w:eastAsia="es-ES"/>
        </w:rPr>
        <w:t>noviembre 2023,</w:t>
      </w:r>
      <w:r>
        <w:rPr>
          <w:rFonts w:ascii="Arial" w:eastAsiaTheme="minorEastAsia" w:hAnsi="Arial" w:cs="Arial"/>
          <w:sz w:val="24"/>
          <w:szCs w:val="24"/>
          <w:lang w:eastAsia="es-ES"/>
        </w:rPr>
        <w:t xml:space="preserve"> queda bajo la responsabilidad de la Dirección General de Administración, quien deberá de considerar los rubros clasificados como confidenciales, y que resultan ser únicamente: </w:t>
      </w:r>
      <w:r>
        <w:rPr>
          <w:rFonts w:ascii="Arial" w:hAnsi="Arial" w:cs="Arial"/>
          <w:b/>
          <w:color w:val="000000"/>
          <w:sz w:val="24"/>
          <w:szCs w:val="24"/>
        </w:rPr>
        <w:t xml:space="preserve">Registro Federal de Contribuyentes –RFC-, Domicilio particular, y Área de adscripción </w:t>
      </w:r>
      <w:r>
        <w:rPr>
          <w:rFonts w:ascii="Arial" w:hAnsi="Arial" w:cs="Arial"/>
          <w:color w:val="000000"/>
          <w:sz w:val="24"/>
          <w:szCs w:val="24"/>
        </w:rPr>
        <w:t>a</w:t>
      </w:r>
      <w:r>
        <w:rPr>
          <w:rFonts w:ascii="Arial" w:eastAsia="Times New Roman" w:hAnsi="Arial" w:cs="Arial"/>
          <w:sz w:val="24"/>
          <w:szCs w:val="24"/>
          <w:lang w:val="es-ES" w:eastAsia="es-ES"/>
        </w:rPr>
        <w:t>tendiendo los Lineamientos Generales en Materia de Clasificación y Desclasificación de Información, así como para la Elaboración de Versiones Pública.</w:t>
      </w:r>
    </w:p>
    <w:p w:rsidR="00EC336C" w:rsidRDefault="00EC336C">
      <w:pPr>
        <w:spacing w:line="276" w:lineRule="auto"/>
        <w:jc w:val="both"/>
        <w:rPr>
          <w:rFonts w:ascii="Arial" w:hAnsi="Arial" w:cs="Arial"/>
          <w:b/>
          <w:lang w:val="es-ES"/>
        </w:rPr>
      </w:pPr>
    </w:p>
    <w:p w:rsidR="008B163A" w:rsidRDefault="008B163A">
      <w:pPr>
        <w:spacing w:line="276" w:lineRule="auto"/>
        <w:jc w:val="both"/>
        <w:rPr>
          <w:rFonts w:ascii="Arial" w:hAnsi="Arial" w:cs="Arial"/>
          <w:b/>
          <w:lang w:val="es-ES"/>
        </w:rPr>
      </w:pPr>
    </w:p>
    <w:p w:rsidR="00EC336C" w:rsidRDefault="00BD3C19">
      <w:pPr>
        <w:widowControl w:val="0"/>
        <w:spacing w:line="276" w:lineRule="auto"/>
        <w:jc w:val="both"/>
        <w:rPr>
          <w:rFonts w:ascii="Arial" w:hAnsi="Arial" w:cs="Arial"/>
          <w:b/>
          <w:lang w:val="es-ES"/>
        </w:rPr>
      </w:pPr>
      <w:r>
        <w:rPr>
          <w:rFonts w:ascii="Arial" w:hAnsi="Arial" w:cs="Arial"/>
          <w:lang w:val="es-ES"/>
        </w:rPr>
        <w:t xml:space="preserve">En cumplimiento a lo establecido por el lineamiento Quincuagésimo quinto de los Lineamientos Generales para la Clasificación y Desclasificación de la Información, así como para la Elaboración de Versiones Públicas, el Director General de Administración designa como </w:t>
      </w:r>
      <w:r>
        <w:rPr>
          <w:rFonts w:ascii="Arial" w:hAnsi="Arial" w:cs="Arial"/>
          <w:b/>
          <w:lang w:val="es-ES"/>
        </w:rPr>
        <w:t>responsable del testado</w:t>
      </w:r>
      <w:r>
        <w:rPr>
          <w:rFonts w:ascii="Arial" w:hAnsi="Arial" w:cs="Arial"/>
          <w:lang w:val="es-ES"/>
        </w:rPr>
        <w:t xml:space="preserve"> a la </w:t>
      </w:r>
      <w:r>
        <w:rPr>
          <w:rFonts w:ascii="Arial" w:hAnsi="Arial" w:cs="Arial"/>
          <w:b/>
          <w:lang w:val="es-ES"/>
        </w:rPr>
        <w:t xml:space="preserve">Directora de Recursos Humanos Licenciada María Elena Díaz de León Araiza.  </w:t>
      </w:r>
    </w:p>
    <w:p w:rsidR="00EC336C" w:rsidRDefault="00EC336C">
      <w:pPr>
        <w:widowControl w:val="0"/>
        <w:spacing w:line="276" w:lineRule="auto"/>
        <w:jc w:val="both"/>
        <w:rPr>
          <w:rFonts w:ascii="Arial" w:hAnsi="Arial" w:cs="Arial"/>
          <w:lang w:val="es-ES"/>
        </w:rPr>
      </w:pPr>
    </w:p>
    <w:p w:rsidR="008B163A" w:rsidRDefault="008B163A">
      <w:pPr>
        <w:widowControl w:val="0"/>
        <w:spacing w:line="276" w:lineRule="auto"/>
        <w:jc w:val="both"/>
        <w:rPr>
          <w:rFonts w:ascii="Arial" w:hAnsi="Arial" w:cs="Arial"/>
          <w:lang w:val="es-ES"/>
        </w:rPr>
      </w:pPr>
    </w:p>
    <w:p w:rsidR="00EC336C" w:rsidRDefault="00BD3C19">
      <w:pPr>
        <w:widowControl w:val="0"/>
        <w:spacing w:line="276" w:lineRule="auto"/>
        <w:jc w:val="both"/>
        <w:rPr>
          <w:rFonts w:ascii="Arial" w:hAnsi="Arial" w:cs="Arial"/>
        </w:rPr>
      </w:pPr>
      <w:r>
        <w:rPr>
          <w:rFonts w:ascii="Arial" w:hAnsi="Arial" w:cs="Arial"/>
        </w:rPr>
        <w:t>Se instruye a la Dirección General de Administración para que realice las anotaciones correspondientes en los documentos Clasificados como Confidenciales, de conformidad con el artículo 121 de la –LTAIPSLP-, concatenado con el lineamiento Quincuagésimo Primero de los Lineamientos Generales en Materia de Clasificación y Desclasificación de la información, así como para la Elaboración de Versiones Públicas, emitidos por el Sistema Nacional de Transparencia y Acceso a la Información Pública y Protección de Datos Personales, publicado en el Diario Oficial de la Federación el 15 de abril de 2016.</w:t>
      </w:r>
    </w:p>
    <w:p w:rsidR="00EC336C" w:rsidRDefault="00EC336C">
      <w:pPr>
        <w:spacing w:line="276" w:lineRule="auto"/>
        <w:jc w:val="both"/>
        <w:rPr>
          <w:rFonts w:ascii="Arial" w:hAnsi="Arial" w:cs="Arial"/>
          <w:b/>
        </w:rPr>
      </w:pPr>
    </w:p>
    <w:p w:rsidR="008B163A" w:rsidRDefault="008B163A">
      <w:pPr>
        <w:spacing w:line="276" w:lineRule="auto"/>
        <w:jc w:val="both"/>
        <w:rPr>
          <w:rFonts w:ascii="Arial" w:hAnsi="Arial" w:cs="Arial"/>
          <w:b/>
        </w:rPr>
      </w:pPr>
    </w:p>
    <w:p w:rsidR="00EC336C" w:rsidRDefault="00BD3C19">
      <w:pPr>
        <w:spacing w:line="276" w:lineRule="auto"/>
        <w:jc w:val="both"/>
        <w:rPr>
          <w:rFonts w:ascii="Arial" w:hAnsi="Arial" w:cs="Arial"/>
        </w:rPr>
      </w:pPr>
      <w:r>
        <w:rPr>
          <w:rFonts w:ascii="Arial" w:hAnsi="Arial" w:cs="Arial"/>
        </w:rPr>
        <w:t xml:space="preserve">Por lo anteriormente expuesto y con fundamento en el lineamiento Quincuagésimo primero de los </w:t>
      </w:r>
      <w:r>
        <w:rPr>
          <w:rFonts w:ascii="Arial" w:hAnsi="Arial" w:cs="Arial"/>
          <w:lang w:val="es-ES"/>
        </w:rPr>
        <w:t>Lineamientos Generales para la Clasificación y Desclasificación de la Información, así como para la Elaboración de Versiones Públicas</w:t>
      </w:r>
      <w:r>
        <w:rPr>
          <w:rFonts w:ascii="Arial" w:hAnsi="Arial" w:cs="Arial"/>
        </w:rPr>
        <w:t xml:space="preserve"> por los artículos 51, 52, fracción II y demás relativos aplicables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 se:</w:t>
      </w:r>
    </w:p>
    <w:p w:rsidR="00EC336C" w:rsidRDefault="00EC336C">
      <w:pPr>
        <w:spacing w:line="276" w:lineRule="auto"/>
        <w:jc w:val="center"/>
        <w:rPr>
          <w:rFonts w:ascii="Arial" w:hAnsi="Arial" w:cs="Arial"/>
          <w:b/>
        </w:rPr>
      </w:pPr>
    </w:p>
    <w:p w:rsidR="00EC336C" w:rsidRDefault="00EC336C">
      <w:pPr>
        <w:spacing w:line="276" w:lineRule="auto"/>
        <w:jc w:val="center"/>
        <w:rPr>
          <w:rFonts w:ascii="Arial" w:hAnsi="Arial" w:cs="Arial"/>
          <w:b/>
        </w:rPr>
      </w:pPr>
    </w:p>
    <w:p w:rsidR="00EC336C" w:rsidRDefault="00BD3C19">
      <w:pPr>
        <w:spacing w:line="276" w:lineRule="auto"/>
        <w:jc w:val="center"/>
        <w:rPr>
          <w:rFonts w:ascii="Arial" w:hAnsi="Arial" w:cs="Arial"/>
          <w:b/>
        </w:rPr>
      </w:pPr>
      <w:r>
        <w:rPr>
          <w:rFonts w:ascii="Arial" w:hAnsi="Arial" w:cs="Arial"/>
          <w:b/>
        </w:rPr>
        <w:t>RESUELVE POR UNANIMIDAD:</w:t>
      </w:r>
    </w:p>
    <w:p w:rsidR="00EC336C" w:rsidRDefault="00EC336C">
      <w:pPr>
        <w:spacing w:line="276" w:lineRule="auto"/>
        <w:jc w:val="both"/>
        <w:rPr>
          <w:rFonts w:ascii="Arial" w:hAnsi="Arial" w:cs="Arial"/>
        </w:rPr>
      </w:pPr>
    </w:p>
    <w:p w:rsidR="00EC336C" w:rsidRDefault="00BD3C19">
      <w:pPr>
        <w:spacing w:line="276" w:lineRule="auto"/>
        <w:jc w:val="both"/>
        <w:rPr>
          <w:rFonts w:ascii="Arial" w:eastAsia="Times New Roman" w:hAnsi="Arial" w:cs="Arial"/>
          <w:b/>
        </w:rPr>
      </w:pPr>
      <w:r>
        <w:rPr>
          <w:rFonts w:ascii="Arial" w:hAnsi="Arial" w:cs="Arial"/>
          <w:b/>
        </w:rPr>
        <w:t xml:space="preserve">PRIMERO. Confirmar </w:t>
      </w:r>
      <w:r>
        <w:rPr>
          <w:rFonts w:ascii="Arial" w:hAnsi="Arial" w:cs="Arial"/>
        </w:rPr>
        <w:t xml:space="preserve">la clasificación de información </w:t>
      </w:r>
      <w:r>
        <w:rPr>
          <w:rFonts w:ascii="Arial" w:hAnsi="Arial" w:cs="Arial"/>
          <w:b/>
        </w:rPr>
        <w:t>confidencial</w:t>
      </w:r>
      <w:r>
        <w:rPr>
          <w:rFonts w:ascii="Arial" w:hAnsi="Arial" w:cs="Arial"/>
        </w:rPr>
        <w:t xml:space="preserve"> realizada por el Director General de Administración mediante oficio </w:t>
      </w:r>
      <w:r>
        <w:rPr>
          <w:rFonts w:ascii="Arial" w:hAnsi="Arial" w:cs="Arial"/>
          <w:b/>
        </w:rPr>
        <w:t xml:space="preserve">DGA/DRH/5315/202, </w:t>
      </w:r>
      <w:r>
        <w:rPr>
          <w:rFonts w:ascii="Arial" w:hAnsi="Arial" w:cs="Arial"/>
        </w:rPr>
        <w:t xml:space="preserve">recibido por el Comité de Transparencia el día </w:t>
      </w:r>
      <w:r>
        <w:rPr>
          <w:rFonts w:ascii="Arial" w:eastAsia="Times New Roman" w:hAnsi="Arial" w:cs="Arial"/>
          <w:b/>
        </w:rPr>
        <w:t>el 01 de diciembre 2023.</w:t>
      </w:r>
    </w:p>
    <w:p w:rsidR="0018761C" w:rsidRDefault="0018761C">
      <w:pPr>
        <w:spacing w:line="276" w:lineRule="auto"/>
        <w:jc w:val="both"/>
        <w:rPr>
          <w:rFonts w:ascii="Arial" w:hAnsi="Arial" w:cs="Arial"/>
          <w:b/>
        </w:rPr>
      </w:pPr>
    </w:p>
    <w:p w:rsidR="00EC336C" w:rsidRDefault="00BD3C19">
      <w:pPr>
        <w:tabs>
          <w:tab w:val="left" w:pos="8789"/>
        </w:tabs>
        <w:spacing w:line="276" w:lineRule="auto"/>
        <w:ind w:right="49"/>
        <w:jc w:val="both"/>
        <w:rPr>
          <w:rFonts w:ascii="Arial" w:hAnsi="Arial" w:cs="Arial"/>
          <w:b/>
        </w:rPr>
      </w:pPr>
      <w:r>
        <w:rPr>
          <w:rFonts w:ascii="Arial" w:hAnsi="Arial" w:cs="Arial"/>
          <w:b/>
        </w:rPr>
        <w:t>SEGUNDO.</w:t>
      </w:r>
      <w:r>
        <w:rPr>
          <w:rFonts w:ascii="Arial" w:hAnsi="Arial" w:cs="Arial"/>
        </w:rPr>
        <w:t xml:space="preserve"> La confirmación de la clasificación de información confidencial, realizada por el Director General de Administración mediante oficio </w:t>
      </w:r>
      <w:r>
        <w:rPr>
          <w:rFonts w:ascii="Arial" w:hAnsi="Arial" w:cs="Arial"/>
          <w:b/>
        </w:rPr>
        <w:t xml:space="preserve">DGA/DRH/5315/202, </w:t>
      </w:r>
      <w:r>
        <w:rPr>
          <w:rFonts w:ascii="Arial" w:hAnsi="Arial" w:cs="Arial"/>
        </w:rPr>
        <w:t xml:space="preserve">recibido por el Comité de Transparencia el día </w:t>
      </w:r>
      <w:r w:rsidR="0018761C">
        <w:rPr>
          <w:rFonts w:ascii="Arial" w:eastAsia="Times New Roman" w:hAnsi="Arial" w:cs="Arial"/>
          <w:b/>
        </w:rPr>
        <w:t>el 01 de diciembre 2023</w:t>
      </w:r>
      <w:r>
        <w:rPr>
          <w:rFonts w:ascii="Arial" w:eastAsia="Times New Roman" w:hAnsi="Arial" w:cs="Arial"/>
        </w:rPr>
        <w:t>,</w:t>
      </w:r>
      <w:r>
        <w:rPr>
          <w:rFonts w:ascii="Arial" w:hAnsi="Arial" w:cs="Arial"/>
          <w:b/>
        </w:rPr>
        <w:t xml:space="preserve"> </w:t>
      </w:r>
      <w:r w:rsidRPr="0018761C">
        <w:rPr>
          <w:rFonts w:ascii="Arial" w:hAnsi="Arial" w:cs="Arial"/>
          <w:b/>
        </w:rPr>
        <w:t>no</w:t>
      </w:r>
      <w:r>
        <w:rPr>
          <w:rFonts w:ascii="Arial" w:hAnsi="Arial" w:cs="Arial"/>
          <w:b/>
        </w:rPr>
        <w:t xml:space="preserve"> está sujeta a temporalidad alguna.</w:t>
      </w:r>
    </w:p>
    <w:p w:rsidR="00EC336C" w:rsidRDefault="00EC336C">
      <w:pPr>
        <w:tabs>
          <w:tab w:val="left" w:pos="8789"/>
        </w:tabs>
        <w:spacing w:line="276" w:lineRule="auto"/>
        <w:ind w:right="49"/>
        <w:jc w:val="both"/>
        <w:rPr>
          <w:rFonts w:ascii="Arial" w:hAnsi="Arial" w:cs="Arial"/>
          <w:b/>
        </w:rPr>
      </w:pPr>
    </w:p>
    <w:p w:rsidR="008B163A" w:rsidRDefault="008B163A">
      <w:pPr>
        <w:tabs>
          <w:tab w:val="left" w:pos="8789"/>
        </w:tabs>
        <w:spacing w:line="276" w:lineRule="auto"/>
        <w:ind w:right="49"/>
        <w:jc w:val="both"/>
        <w:rPr>
          <w:rFonts w:ascii="Arial" w:hAnsi="Arial" w:cs="Arial"/>
          <w:b/>
        </w:rPr>
      </w:pPr>
    </w:p>
    <w:p w:rsidR="00EC336C" w:rsidRDefault="00BD3C19">
      <w:pPr>
        <w:widowControl w:val="0"/>
        <w:spacing w:line="276" w:lineRule="auto"/>
        <w:jc w:val="both"/>
        <w:rPr>
          <w:rFonts w:ascii="Arial" w:hAnsi="Arial" w:cs="Arial"/>
          <w:b/>
          <w:color w:val="000000"/>
        </w:rPr>
      </w:pPr>
      <w:r>
        <w:rPr>
          <w:rFonts w:ascii="Arial" w:hAnsi="Arial" w:cs="Arial"/>
          <w:b/>
          <w:color w:val="000000"/>
        </w:rPr>
        <w:t xml:space="preserve">TERCERO. </w:t>
      </w:r>
      <w:r>
        <w:rPr>
          <w:rFonts w:ascii="Arial" w:hAnsi="Arial" w:cs="Arial"/>
        </w:rPr>
        <w:t xml:space="preserve">Se </w:t>
      </w:r>
      <w:r>
        <w:rPr>
          <w:rFonts w:ascii="Arial" w:hAnsi="Arial" w:cs="Arial"/>
          <w:b/>
        </w:rPr>
        <w:t>aprueba</w:t>
      </w:r>
      <w:r>
        <w:rPr>
          <w:rFonts w:ascii="Arial" w:hAnsi="Arial" w:cs="Arial"/>
        </w:rPr>
        <w:t xml:space="preserve"> la realización de las </w:t>
      </w:r>
      <w:r>
        <w:rPr>
          <w:rFonts w:ascii="Arial" w:hAnsi="Arial" w:cs="Arial"/>
          <w:b/>
        </w:rPr>
        <w:t>versiones públicas</w:t>
      </w:r>
      <w:r>
        <w:rPr>
          <w:rFonts w:ascii="Arial" w:hAnsi="Arial" w:cs="Arial"/>
        </w:rPr>
        <w:t xml:space="preserve"> de los </w:t>
      </w:r>
      <w:r>
        <w:rPr>
          <w:rFonts w:ascii="Arial" w:hAnsi="Arial" w:cs="Arial"/>
          <w:i/>
        </w:rPr>
        <w:t>documentos electrónicos</w:t>
      </w:r>
      <w:r>
        <w:rPr>
          <w:rFonts w:ascii="Arial" w:hAnsi="Arial" w:cs="Arial"/>
        </w:rPr>
        <w:t xml:space="preserve"> consistentes en; </w:t>
      </w:r>
      <w:r w:rsidRPr="00B136FA">
        <w:rPr>
          <w:rFonts w:ascii="Arial" w:hAnsi="Arial" w:cs="Arial"/>
          <w:b/>
          <w:sz w:val="25"/>
          <w:szCs w:val="25"/>
        </w:rPr>
        <w:t>03 contratos de servicios profesionales por honorarios con</w:t>
      </w:r>
      <w:r>
        <w:rPr>
          <w:rFonts w:ascii="Arial" w:hAnsi="Arial" w:cs="Arial"/>
          <w:b/>
          <w:sz w:val="25"/>
          <w:szCs w:val="25"/>
        </w:rPr>
        <w:t xml:space="preserve"> </w:t>
      </w:r>
      <w:r w:rsidRPr="00495A54">
        <w:rPr>
          <w:rFonts w:ascii="Arial" w:hAnsi="Arial" w:cs="Arial"/>
          <w:b/>
          <w:sz w:val="25"/>
          <w:szCs w:val="25"/>
        </w:rPr>
        <w:t xml:space="preserve">vigencia del </w:t>
      </w:r>
      <w:r>
        <w:rPr>
          <w:rFonts w:ascii="Arial" w:hAnsi="Arial" w:cs="Arial"/>
          <w:b/>
          <w:sz w:val="25"/>
          <w:szCs w:val="25"/>
        </w:rPr>
        <w:t>15</w:t>
      </w:r>
      <w:r w:rsidRPr="00495A54">
        <w:rPr>
          <w:rFonts w:ascii="Arial" w:hAnsi="Arial" w:cs="Arial"/>
          <w:b/>
          <w:sz w:val="25"/>
          <w:szCs w:val="25"/>
        </w:rPr>
        <w:t xml:space="preserve"> de oct</w:t>
      </w:r>
      <w:r>
        <w:rPr>
          <w:rFonts w:ascii="Arial" w:hAnsi="Arial" w:cs="Arial"/>
          <w:b/>
          <w:sz w:val="25"/>
          <w:szCs w:val="25"/>
        </w:rPr>
        <w:t xml:space="preserve">ubre al 31 de diciembre de 2023; </w:t>
      </w:r>
      <w:r w:rsidRPr="00B136FA">
        <w:rPr>
          <w:rFonts w:ascii="Arial" w:hAnsi="Arial" w:cs="Arial"/>
          <w:b/>
          <w:sz w:val="25"/>
          <w:szCs w:val="25"/>
        </w:rPr>
        <w:t xml:space="preserve">1 contrato de servicios profesionales por honorarios con vigencia del 25 de octubre </w:t>
      </w:r>
      <w:r>
        <w:rPr>
          <w:rFonts w:ascii="Arial" w:hAnsi="Arial" w:cs="Arial"/>
          <w:b/>
          <w:sz w:val="25"/>
          <w:szCs w:val="25"/>
        </w:rPr>
        <w:t xml:space="preserve">al 31 de diciembre 2023 y 01 contrato de servicios profesionales por honorarios con vigencia del </w:t>
      </w:r>
      <w:r w:rsidRPr="00B136FA">
        <w:rPr>
          <w:rFonts w:ascii="Arial" w:hAnsi="Arial" w:cs="Arial"/>
          <w:b/>
          <w:sz w:val="25"/>
          <w:szCs w:val="25"/>
        </w:rPr>
        <w:t>01 de no</w:t>
      </w:r>
      <w:r>
        <w:rPr>
          <w:rFonts w:ascii="Arial" w:hAnsi="Arial" w:cs="Arial"/>
          <w:b/>
          <w:sz w:val="25"/>
          <w:szCs w:val="25"/>
        </w:rPr>
        <w:t xml:space="preserve">viembre al 31 de diciembre 2023, </w:t>
      </w:r>
      <w:r>
        <w:rPr>
          <w:rFonts w:ascii="Arial" w:hAnsi="Arial" w:cs="Arial"/>
        </w:rPr>
        <w:t xml:space="preserve">realizada por el Director General de Administración de la Fiscalía General del Estado mediante oficio </w:t>
      </w:r>
      <w:r>
        <w:rPr>
          <w:rFonts w:ascii="Arial" w:hAnsi="Arial" w:cs="Arial"/>
          <w:b/>
        </w:rPr>
        <w:t xml:space="preserve">DGA/DRH/5315/2023, </w:t>
      </w:r>
      <w:r w:rsidRPr="009026F0">
        <w:rPr>
          <w:rFonts w:ascii="Arial" w:eastAsia="Times New Roman" w:hAnsi="Arial" w:cs="Arial"/>
        </w:rPr>
        <w:t>fechado  y recibido el 01 de diciembre 2023</w:t>
      </w:r>
      <w:r w:rsidRPr="009026F0">
        <w:rPr>
          <w:rFonts w:ascii="Arial" w:hAnsi="Arial" w:cs="Arial"/>
        </w:rPr>
        <w:t>,</w:t>
      </w:r>
      <w:r>
        <w:rPr>
          <w:rFonts w:ascii="Arial" w:hAnsi="Arial" w:cs="Arial"/>
        </w:rPr>
        <w:t xml:space="preserve">, </w:t>
      </w:r>
      <w:r>
        <w:rPr>
          <w:rFonts w:ascii="Arial" w:hAnsi="Arial" w:cs="Arial"/>
          <w:color w:val="000000"/>
        </w:rPr>
        <w:t>únicamente</w:t>
      </w:r>
      <w:r>
        <w:rPr>
          <w:rFonts w:ascii="Arial" w:hAnsi="Arial" w:cs="Arial"/>
        </w:rPr>
        <w:t xml:space="preserve"> por lo que respecta a; </w:t>
      </w:r>
      <w:r>
        <w:rPr>
          <w:rFonts w:ascii="Arial" w:hAnsi="Arial" w:cs="Arial"/>
          <w:b/>
          <w:color w:val="000000"/>
        </w:rPr>
        <w:t xml:space="preserve">registro federal de contribuyentes –RFC-, domicilio particular, y área de adscripción. </w:t>
      </w:r>
    </w:p>
    <w:p w:rsidR="00EC336C" w:rsidRDefault="00EC336C">
      <w:pPr>
        <w:tabs>
          <w:tab w:val="left" w:pos="8789"/>
        </w:tabs>
        <w:spacing w:line="276" w:lineRule="auto"/>
        <w:ind w:right="49" w:firstLine="567"/>
        <w:jc w:val="both"/>
        <w:rPr>
          <w:rFonts w:ascii="Arial" w:eastAsia="Times New Roman" w:hAnsi="Arial" w:cs="Arial"/>
          <w:b/>
          <w:lang w:val="es-ES"/>
        </w:rPr>
      </w:pPr>
    </w:p>
    <w:p w:rsidR="008B163A" w:rsidRDefault="008B163A">
      <w:pPr>
        <w:tabs>
          <w:tab w:val="left" w:pos="8789"/>
        </w:tabs>
        <w:spacing w:line="276" w:lineRule="auto"/>
        <w:ind w:right="49" w:firstLine="567"/>
        <w:jc w:val="both"/>
        <w:rPr>
          <w:rFonts w:ascii="Arial" w:eastAsia="Times New Roman" w:hAnsi="Arial" w:cs="Arial"/>
          <w:b/>
          <w:lang w:val="es-ES"/>
        </w:rPr>
      </w:pPr>
    </w:p>
    <w:p w:rsidR="00EC336C" w:rsidRDefault="00BD3C19">
      <w:pPr>
        <w:tabs>
          <w:tab w:val="left" w:pos="8789"/>
        </w:tabs>
        <w:spacing w:line="276" w:lineRule="auto"/>
        <w:ind w:right="49"/>
        <w:jc w:val="both"/>
        <w:rPr>
          <w:rFonts w:ascii="Arial" w:hAnsi="Arial" w:cs="Arial"/>
          <w:b/>
        </w:rPr>
      </w:pPr>
      <w:r>
        <w:rPr>
          <w:rFonts w:ascii="Arial" w:hAnsi="Arial" w:cs="Arial"/>
          <w:b/>
        </w:rPr>
        <w:t xml:space="preserve">CUARTO. </w:t>
      </w:r>
      <w:r>
        <w:rPr>
          <w:rFonts w:ascii="Arial" w:hAnsi="Arial" w:cs="Arial"/>
        </w:rPr>
        <w:t xml:space="preserve">Se </w:t>
      </w:r>
      <w:r>
        <w:rPr>
          <w:rFonts w:ascii="Arial" w:hAnsi="Arial" w:cs="Arial"/>
          <w:lang w:val="es-ES"/>
        </w:rPr>
        <w:t xml:space="preserve">designa como </w:t>
      </w:r>
      <w:r>
        <w:rPr>
          <w:rFonts w:ascii="Arial" w:hAnsi="Arial" w:cs="Arial"/>
          <w:b/>
          <w:lang w:val="es-ES"/>
        </w:rPr>
        <w:t>responsable del testado</w:t>
      </w:r>
      <w:r>
        <w:rPr>
          <w:rFonts w:ascii="Arial" w:hAnsi="Arial" w:cs="Arial"/>
          <w:lang w:val="es-ES"/>
        </w:rPr>
        <w:t xml:space="preserve"> a la Directora de Recursos Humanos.</w:t>
      </w:r>
    </w:p>
    <w:p w:rsidR="00EC336C" w:rsidRDefault="00EC336C">
      <w:pPr>
        <w:tabs>
          <w:tab w:val="left" w:pos="8789"/>
        </w:tabs>
        <w:spacing w:line="276" w:lineRule="auto"/>
        <w:ind w:right="49"/>
        <w:jc w:val="both"/>
        <w:rPr>
          <w:rFonts w:ascii="Arial" w:hAnsi="Arial" w:cs="Arial"/>
          <w:b/>
        </w:rPr>
      </w:pPr>
    </w:p>
    <w:p w:rsidR="008B163A" w:rsidRDefault="008B163A">
      <w:pPr>
        <w:tabs>
          <w:tab w:val="left" w:pos="8789"/>
        </w:tabs>
        <w:spacing w:line="276" w:lineRule="auto"/>
        <w:ind w:right="49"/>
        <w:jc w:val="both"/>
        <w:rPr>
          <w:rFonts w:ascii="Arial" w:hAnsi="Arial" w:cs="Arial"/>
          <w:b/>
        </w:rPr>
      </w:pPr>
    </w:p>
    <w:p w:rsidR="00EC336C" w:rsidRDefault="00BD3C19">
      <w:pPr>
        <w:tabs>
          <w:tab w:val="left" w:pos="8789"/>
        </w:tabs>
        <w:spacing w:line="276" w:lineRule="auto"/>
        <w:ind w:right="49"/>
        <w:jc w:val="both"/>
        <w:rPr>
          <w:rFonts w:ascii="Arial" w:hAnsi="Arial" w:cs="Arial"/>
        </w:rPr>
      </w:pPr>
      <w:r>
        <w:rPr>
          <w:rFonts w:ascii="Arial" w:hAnsi="Arial" w:cs="Arial"/>
          <w:b/>
        </w:rPr>
        <w:t xml:space="preserve">QUINTO. </w:t>
      </w:r>
      <w:r>
        <w:rPr>
          <w:rFonts w:ascii="Arial" w:hAnsi="Arial" w:cs="Arial"/>
        </w:rPr>
        <w:t xml:space="preserve">En consecuencia, se instruye al Director General de Administración para que realice las notificaciones necesarias a las áreas que deban tener conocimiento de este acto, para fines legales y administrativos a que haya lugar. </w:t>
      </w:r>
    </w:p>
    <w:p w:rsidR="00EC336C" w:rsidRDefault="00EC336C">
      <w:pPr>
        <w:spacing w:line="276" w:lineRule="auto"/>
        <w:jc w:val="both"/>
        <w:rPr>
          <w:rFonts w:ascii="Arial" w:hAnsi="Arial" w:cs="Arial"/>
        </w:rPr>
      </w:pPr>
    </w:p>
    <w:p w:rsidR="008B163A" w:rsidRDefault="008B163A">
      <w:pPr>
        <w:spacing w:line="276" w:lineRule="auto"/>
        <w:jc w:val="both"/>
        <w:rPr>
          <w:rFonts w:ascii="Arial" w:hAnsi="Arial" w:cs="Arial"/>
        </w:rPr>
      </w:pPr>
    </w:p>
    <w:p w:rsidR="00EC336C" w:rsidRDefault="00BD3C19">
      <w:pPr>
        <w:spacing w:line="276" w:lineRule="auto"/>
        <w:jc w:val="both"/>
        <w:rPr>
          <w:rFonts w:ascii="Arial" w:hAnsi="Arial" w:cs="Arial"/>
        </w:rPr>
      </w:pPr>
      <w:r>
        <w:rPr>
          <w:rFonts w:ascii="Arial" w:hAnsi="Arial" w:cs="Arial"/>
          <w:b/>
        </w:rPr>
        <w:lastRenderedPageBreak/>
        <w:t xml:space="preserve">SEXTO. </w:t>
      </w:r>
      <w:r>
        <w:rPr>
          <w:rFonts w:ascii="Arial" w:hAnsi="Arial" w:cs="Arial"/>
        </w:rPr>
        <w:t>La Dirección General de Administración notifique al área responsable de su resguardo en términos de los artículos 132 y 138 de la –LTAIPSLP-.</w:t>
      </w:r>
    </w:p>
    <w:p w:rsidR="00EC336C" w:rsidRDefault="00EC336C">
      <w:pPr>
        <w:spacing w:line="276" w:lineRule="auto"/>
        <w:jc w:val="both"/>
        <w:rPr>
          <w:rFonts w:ascii="Arial" w:hAnsi="Arial" w:cs="Arial"/>
        </w:rPr>
      </w:pPr>
    </w:p>
    <w:p w:rsidR="008B163A" w:rsidRDefault="008B163A">
      <w:pPr>
        <w:spacing w:line="276" w:lineRule="auto"/>
        <w:jc w:val="both"/>
        <w:rPr>
          <w:rFonts w:ascii="Arial" w:hAnsi="Arial" w:cs="Arial"/>
        </w:rPr>
      </w:pPr>
    </w:p>
    <w:p w:rsidR="00EC336C" w:rsidRDefault="00BD3C19">
      <w:pPr>
        <w:widowControl w:val="0"/>
        <w:spacing w:line="276" w:lineRule="auto"/>
        <w:jc w:val="both"/>
        <w:rPr>
          <w:rFonts w:ascii="Arial" w:hAnsi="Arial" w:cs="Arial"/>
        </w:rPr>
      </w:pPr>
      <w:r>
        <w:rPr>
          <w:rFonts w:ascii="Arial" w:hAnsi="Arial" w:cs="Arial"/>
          <w:b/>
        </w:rPr>
        <w:t>SÉPTIMO.</w:t>
      </w:r>
      <w:r>
        <w:rPr>
          <w:rFonts w:ascii="Arial" w:hAnsi="Arial" w:cs="Arial"/>
        </w:rPr>
        <w:t xml:space="preserve"> La Dirección General de Administración deberá de realizar las anotaciones correspondientes de conformidad con el artículo 121 de la -LTAIPSLP-, lineamiento Quincuagésimo cuarto de los Lineamientos Generales en Materia de Clasificación y Desclasificación de la información, así como para la Elaboración de Versiones Públicas, emitidos por el Sistema Nacional de Transparencia y Acceso a la Información Pública y Protección de Datos Personales. </w:t>
      </w:r>
    </w:p>
    <w:p w:rsidR="00EC336C" w:rsidRDefault="00EC336C">
      <w:pPr>
        <w:widowControl w:val="0"/>
        <w:spacing w:line="276" w:lineRule="auto"/>
        <w:jc w:val="both"/>
        <w:rPr>
          <w:rFonts w:ascii="Arial" w:hAnsi="Arial" w:cs="Arial"/>
        </w:rPr>
      </w:pPr>
    </w:p>
    <w:p w:rsidR="008B163A" w:rsidRDefault="008B163A">
      <w:pPr>
        <w:widowControl w:val="0"/>
        <w:spacing w:line="276" w:lineRule="auto"/>
        <w:jc w:val="both"/>
        <w:rPr>
          <w:rFonts w:ascii="Arial" w:hAnsi="Arial" w:cs="Arial"/>
        </w:rPr>
      </w:pPr>
    </w:p>
    <w:p w:rsidR="00EC336C" w:rsidRDefault="00BD3C19">
      <w:pPr>
        <w:tabs>
          <w:tab w:val="left" w:pos="8998"/>
          <w:tab w:val="left" w:pos="9932"/>
        </w:tabs>
        <w:spacing w:before="20" w:line="276" w:lineRule="auto"/>
        <w:jc w:val="both"/>
        <w:rPr>
          <w:rFonts w:ascii="Arial" w:eastAsia="Times New Roman" w:hAnsi="Arial" w:cs="Arial"/>
          <w:lang w:val="es-ES"/>
        </w:rPr>
      </w:pPr>
      <w:r>
        <w:rPr>
          <w:rFonts w:ascii="Arial" w:hAnsi="Arial" w:cs="Arial"/>
          <w:b/>
        </w:rPr>
        <w:t xml:space="preserve">OCTAVO. </w:t>
      </w:r>
      <w:r>
        <w:rPr>
          <w:rFonts w:ascii="Arial" w:hAnsi="Arial" w:cs="Arial"/>
        </w:rPr>
        <w:t xml:space="preserve">Respecto al llenado y la publicación del formato LTAIPSLP84XVI del mes de </w:t>
      </w:r>
      <w:r>
        <w:rPr>
          <w:rFonts w:ascii="Arial" w:hAnsi="Arial" w:cs="Arial"/>
          <w:b/>
        </w:rPr>
        <w:t>noviembre 2023,</w:t>
      </w:r>
      <w:r>
        <w:rPr>
          <w:rFonts w:ascii="Arial" w:hAnsi="Arial" w:cs="Arial"/>
        </w:rPr>
        <w:t xml:space="preserve"> el Director General de Administración, deberá de realizarlo cumpliendo con los términos de la presente resolución, a </w:t>
      </w:r>
      <w:r>
        <w:rPr>
          <w:rFonts w:ascii="Arial" w:eastAsia="Times New Roman" w:hAnsi="Arial" w:cs="Arial"/>
        </w:rPr>
        <w:t xml:space="preserve">los Lineamientos técnicos generales para la publicación, homologación y estandarización de la información de las obligaciones establecidas en el título 9 quinto y en la fracción IV del artículo 31 de la Ley General de Transparencia y Acceso a la Información Pública, que deben de difundir los sujetos obligados en los portales de Internet y en la Plataforma Nacional de Transparencia, </w:t>
      </w:r>
      <w:r>
        <w:rPr>
          <w:rFonts w:ascii="Arial" w:eastAsia="Times New Roman" w:hAnsi="Arial" w:cs="Arial"/>
          <w:lang w:val="es-ES"/>
        </w:rPr>
        <w:t xml:space="preserve">los Lineamientos Generales en Materia de Clasificación y Desclasificación de Información, así como para la Elaboración de Versiones Pública, y los </w:t>
      </w:r>
      <w:r>
        <w:rPr>
          <w:rFonts w:ascii="Arial" w:eastAsia="Times New Roman" w:hAnsi="Arial" w:cs="Arial"/>
        </w:rPr>
        <w:t>Lineamientos Estatales para la Difusión de las Obligaciones de Transparencia Comunes y Específicas</w:t>
      </w:r>
      <w:r>
        <w:rPr>
          <w:rFonts w:ascii="Arial" w:eastAsia="Times New Roman" w:hAnsi="Arial" w:cs="Arial"/>
          <w:lang w:val="es-ES"/>
        </w:rPr>
        <w:t>.</w:t>
      </w:r>
    </w:p>
    <w:p w:rsidR="00EC336C" w:rsidRDefault="00EC336C">
      <w:pPr>
        <w:spacing w:line="276" w:lineRule="auto"/>
        <w:jc w:val="both"/>
        <w:rPr>
          <w:rFonts w:ascii="Arial" w:hAnsi="Arial" w:cs="Arial"/>
          <w:lang w:val="es-ES"/>
        </w:rPr>
      </w:pPr>
    </w:p>
    <w:p w:rsidR="008B163A" w:rsidRDefault="008B163A">
      <w:pPr>
        <w:spacing w:line="276" w:lineRule="auto"/>
        <w:jc w:val="both"/>
        <w:rPr>
          <w:rFonts w:ascii="Arial" w:hAnsi="Arial" w:cs="Arial"/>
          <w:lang w:val="es-ES"/>
        </w:rPr>
      </w:pPr>
    </w:p>
    <w:p w:rsidR="00EF535C" w:rsidRDefault="00EF535C" w:rsidP="00EF535C">
      <w:pPr>
        <w:spacing w:line="276" w:lineRule="auto"/>
        <w:jc w:val="both"/>
        <w:rPr>
          <w:rFonts w:ascii="Arial" w:hAnsi="Arial" w:cs="Arial"/>
        </w:rPr>
      </w:pPr>
      <w:r>
        <w:rPr>
          <w:rFonts w:ascii="Arial" w:hAnsi="Arial" w:cs="Arial"/>
        </w:rPr>
        <w:t xml:space="preserve">Es preciso dejar asentado que con el fin de que el Comité de Transparencia lleve un control interno de todas y cada una de las resoluciones que emite, se le asigna el consecutivo </w:t>
      </w:r>
      <w:r>
        <w:rPr>
          <w:rFonts w:ascii="Arial" w:hAnsi="Arial" w:cs="Arial"/>
          <w:b/>
        </w:rPr>
        <w:t>FGE-CT-CIC-37 -2023</w:t>
      </w:r>
      <w:r>
        <w:rPr>
          <w:rFonts w:ascii="Arial" w:hAnsi="Arial" w:cs="Arial"/>
        </w:rPr>
        <w:t xml:space="preserve">, y en cuanto a la versión pública queda registrada bajo el consecutivo </w:t>
      </w:r>
      <w:r>
        <w:rPr>
          <w:rFonts w:ascii="Arial" w:hAnsi="Arial" w:cs="Arial"/>
          <w:b/>
        </w:rPr>
        <w:t xml:space="preserve">FGE-CT-AVP-61-2023. </w:t>
      </w:r>
    </w:p>
    <w:p w:rsidR="00EC336C" w:rsidRDefault="00EC336C">
      <w:pPr>
        <w:spacing w:line="276" w:lineRule="auto"/>
        <w:jc w:val="both"/>
        <w:rPr>
          <w:rFonts w:ascii="Arial" w:hAnsi="Arial" w:cs="Arial"/>
          <w:b/>
        </w:rPr>
      </w:pPr>
    </w:p>
    <w:p w:rsidR="008B163A" w:rsidRDefault="008B163A">
      <w:pPr>
        <w:spacing w:line="276" w:lineRule="auto"/>
        <w:jc w:val="both"/>
        <w:rPr>
          <w:rFonts w:ascii="Arial" w:hAnsi="Arial" w:cs="Arial"/>
          <w:b/>
        </w:rPr>
      </w:pPr>
    </w:p>
    <w:p w:rsidR="00EC336C" w:rsidRDefault="00BD3C19">
      <w:pPr>
        <w:spacing w:line="276" w:lineRule="auto"/>
        <w:jc w:val="both"/>
        <w:rPr>
          <w:rFonts w:ascii="Arial" w:hAnsi="Arial" w:cs="Arial"/>
        </w:rPr>
      </w:pPr>
      <w:r>
        <w:rPr>
          <w:rFonts w:ascii="Arial" w:hAnsi="Arial" w:cs="Arial"/>
        </w:rPr>
        <w:lastRenderedPageBreak/>
        <w:t>En cumplimiento a lo establecido por el artículo 128 fracción IX, de la –LTAIPSLP-, se procede a rubricar la presente resolución,</w:t>
      </w:r>
      <w:r>
        <w:t xml:space="preserve"> </w:t>
      </w:r>
      <w:r>
        <w:rPr>
          <w:rFonts w:ascii="Arial" w:hAnsi="Arial" w:cs="Arial"/>
        </w:rPr>
        <w:t>lineamiento Quincuagésimo primero fracción V de los –LGPCDIEVP-, se procede a rubricar la presente resolución.</w:t>
      </w:r>
    </w:p>
    <w:p w:rsidR="00EC336C" w:rsidRDefault="00EC336C">
      <w:pPr>
        <w:rPr>
          <w:rFonts w:ascii="Arial" w:hAnsi="Arial" w:cs="Arial"/>
        </w:rPr>
      </w:pPr>
    </w:p>
    <w:p w:rsidR="00EC336C" w:rsidRDefault="00EC336C">
      <w:pPr>
        <w:rPr>
          <w:rFonts w:ascii="Arial" w:hAnsi="Arial" w:cs="Arial"/>
        </w:rPr>
      </w:pPr>
    </w:p>
    <w:p w:rsidR="00EC336C" w:rsidRDefault="00EC336C">
      <w:pPr>
        <w:spacing w:line="276" w:lineRule="auto"/>
        <w:rPr>
          <w:rFonts w:ascii="Arial" w:hAnsi="Arial" w:cs="Arial"/>
        </w:rPr>
      </w:pPr>
    </w:p>
    <w:p w:rsidR="00EC336C" w:rsidRDefault="00EC336C">
      <w:pPr>
        <w:spacing w:line="276" w:lineRule="auto"/>
        <w:rPr>
          <w:rFonts w:ascii="Arial" w:hAnsi="Arial" w:cs="Arial"/>
        </w:rPr>
      </w:pPr>
    </w:p>
    <w:p w:rsidR="008B163A" w:rsidRDefault="008B163A">
      <w:pPr>
        <w:spacing w:line="276" w:lineRule="auto"/>
        <w:rPr>
          <w:rFonts w:ascii="Arial" w:hAnsi="Arial" w:cs="Arial"/>
        </w:rPr>
      </w:pPr>
    </w:p>
    <w:p w:rsidR="00EC336C" w:rsidRDefault="00BD3C19">
      <w:pPr>
        <w:spacing w:line="276" w:lineRule="auto"/>
        <w:rPr>
          <w:rFonts w:ascii="Arial" w:hAnsi="Arial" w:cs="Arial"/>
        </w:rPr>
      </w:pPr>
      <w:r>
        <w:rPr>
          <w:rFonts w:ascii="Arial" w:hAnsi="Arial" w:cs="Arial"/>
        </w:rPr>
        <w:t>______________________________</w:t>
      </w:r>
    </w:p>
    <w:p w:rsidR="00EC336C" w:rsidRDefault="00BD3C19">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rsidR="00EC336C" w:rsidRDefault="00BD3C19">
      <w:pPr>
        <w:tabs>
          <w:tab w:val="left" w:pos="8998"/>
          <w:tab w:val="left" w:pos="9932"/>
        </w:tabs>
        <w:spacing w:before="20" w:line="276" w:lineRule="auto"/>
        <w:rPr>
          <w:rFonts w:ascii="Arial" w:eastAsia="Arial" w:hAnsi="Arial" w:cs="Arial"/>
          <w:b/>
        </w:rPr>
      </w:pPr>
      <w:r>
        <w:rPr>
          <w:rFonts w:ascii="Arial" w:eastAsia="Arial" w:hAnsi="Arial" w:cs="Arial"/>
          <w:b/>
        </w:rPr>
        <w:t>VIEFISCAL JURIDICA Y PRESIDENTA DEL</w:t>
      </w:r>
    </w:p>
    <w:p w:rsidR="00EC336C" w:rsidRDefault="00BD3C19">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rsidR="00EC336C" w:rsidRDefault="00BD3C19">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rsidR="00EC336C" w:rsidRDefault="00EC336C">
      <w:pPr>
        <w:tabs>
          <w:tab w:val="left" w:pos="8998"/>
          <w:tab w:val="left" w:pos="9932"/>
        </w:tabs>
        <w:spacing w:before="20" w:line="276" w:lineRule="auto"/>
        <w:rPr>
          <w:rFonts w:ascii="Arial" w:eastAsia="Arial" w:hAnsi="Arial" w:cs="Arial"/>
          <w:b/>
        </w:rPr>
      </w:pPr>
    </w:p>
    <w:p w:rsidR="00EC336C" w:rsidRDefault="00EC336C">
      <w:pPr>
        <w:tabs>
          <w:tab w:val="left" w:pos="8998"/>
          <w:tab w:val="left" w:pos="9932"/>
        </w:tabs>
        <w:spacing w:before="20" w:line="276" w:lineRule="auto"/>
        <w:rPr>
          <w:rFonts w:ascii="Arial" w:eastAsia="Arial" w:hAnsi="Arial" w:cs="Arial"/>
          <w:b/>
        </w:rPr>
      </w:pPr>
    </w:p>
    <w:p w:rsidR="008B163A" w:rsidRDefault="008B163A">
      <w:pPr>
        <w:tabs>
          <w:tab w:val="left" w:pos="8998"/>
          <w:tab w:val="left" w:pos="9932"/>
        </w:tabs>
        <w:spacing w:before="20" w:line="276" w:lineRule="auto"/>
        <w:rPr>
          <w:rFonts w:ascii="Arial" w:eastAsia="Arial" w:hAnsi="Arial" w:cs="Arial"/>
          <w:b/>
        </w:rPr>
      </w:pPr>
    </w:p>
    <w:p w:rsidR="00EC336C" w:rsidRDefault="00EC336C">
      <w:pPr>
        <w:tabs>
          <w:tab w:val="left" w:pos="8998"/>
          <w:tab w:val="left" w:pos="9932"/>
        </w:tabs>
        <w:spacing w:before="20" w:line="276" w:lineRule="auto"/>
        <w:rPr>
          <w:rFonts w:ascii="Arial" w:eastAsia="Arial" w:hAnsi="Arial" w:cs="Arial"/>
          <w:b/>
        </w:rPr>
      </w:pPr>
    </w:p>
    <w:p w:rsidR="00EC336C" w:rsidRDefault="00EC336C">
      <w:pPr>
        <w:tabs>
          <w:tab w:val="left" w:pos="8998"/>
          <w:tab w:val="left" w:pos="9932"/>
        </w:tabs>
        <w:spacing w:before="20" w:line="276" w:lineRule="auto"/>
        <w:rPr>
          <w:rFonts w:ascii="Arial" w:eastAsia="Arial" w:hAnsi="Arial" w:cs="Arial"/>
          <w:b/>
        </w:rPr>
      </w:pPr>
    </w:p>
    <w:p w:rsidR="00EC336C" w:rsidRDefault="00BD3C19">
      <w:pPr>
        <w:spacing w:line="276" w:lineRule="auto"/>
        <w:jc w:val="both"/>
        <w:rPr>
          <w:rFonts w:ascii="Arial" w:hAnsi="Arial" w:cs="Arial"/>
        </w:rPr>
      </w:pPr>
      <w:r>
        <w:rPr>
          <w:rFonts w:ascii="Arial" w:hAnsi="Arial" w:cs="Arial"/>
        </w:rPr>
        <w:t>_____________________________________</w:t>
      </w:r>
    </w:p>
    <w:p w:rsidR="00EC336C" w:rsidRDefault="00BD3C19">
      <w:pPr>
        <w:spacing w:line="276" w:lineRule="auto"/>
        <w:rPr>
          <w:rFonts w:ascii="Arial" w:hAnsi="Arial" w:cs="Arial"/>
          <w:b/>
        </w:rPr>
      </w:pPr>
      <w:r>
        <w:rPr>
          <w:rFonts w:ascii="Arial" w:hAnsi="Arial" w:cs="Arial"/>
          <w:b/>
        </w:rPr>
        <w:t>LICENCIADO DOROTEO PAREDES GRANADO</w:t>
      </w:r>
    </w:p>
    <w:p w:rsidR="00EC336C" w:rsidRDefault="00BD3C19">
      <w:pPr>
        <w:spacing w:line="276" w:lineRule="auto"/>
        <w:rPr>
          <w:rFonts w:ascii="Arial" w:hAnsi="Arial" w:cs="Arial"/>
          <w:b/>
        </w:rPr>
      </w:pPr>
      <w:r>
        <w:rPr>
          <w:rFonts w:ascii="Arial" w:hAnsi="Arial" w:cs="Arial"/>
          <w:b/>
        </w:rPr>
        <w:t>VICEFISCAL E INTEGRANTE DEL COMITÉ DE TRANSPARENCIA.</w:t>
      </w:r>
    </w:p>
    <w:p w:rsidR="00EC336C" w:rsidRDefault="00EC336C">
      <w:pPr>
        <w:spacing w:line="276" w:lineRule="auto"/>
        <w:jc w:val="both"/>
        <w:rPr>
          <w:rFonts w:ascii="Arial" w:hAnsi="Arial" w:cs="Arial"/>
          <w:b/>
        </w:rPr>
      </w:pPr>
    </w:p>
    <w:p w:rsidR="00EC336C" w:rsidRDefault="00EC336C">
      <w:pPr>
        <w:spacing w:line="276" w:lineRule="auto"/>
        <w:jc w:val="both"/>
        <w:rPr>
          <w:rFonts w:ascii="Arial" w:hAnsi="Arial" w:cs="Arial"/>
          <w:b/>
        </w:rPr>
      </w:pPr>
    </w:p>
    <w:p w:rsidR="00EC336C" w:rsidRDefault="00EC336C">
      <w:pPr>
        <w:spacing w:line="276" w:lineRule="auto"/>
        <w:jc w:val="both"/>
        <w:rPr>
          <w:rFonts w:ascii="Arial" w:hAnsi="Arial" w:cs="Arial"/>
          <w:b/>
        </w:rPr>
      </w:pPr>
    </w:p>
    <w:p w:rsidR="008B163A" w:rsidRDefault="008B163A">
      <w:pPr>
        <w:spacing w:line="276" w:lineRule="auto"/>
        <w:jc w:val="both"/>
        <w:rPr>
          <w:rFonts w:ascii="Arial" w:hAnsi="Arial" w:cs="Arial"/>
          <w:b/>
        </w:rPr>
      </w:pPr>
    </w:p>
    <w:p w:rsidR="00EC336C" w:rsidRDefault="00EC336C">
      <w:pPr>
        <w:spacing w:line="276" w:lineRule="auto"/>
        <w:jc w:val="both"/>
        <w:rPr>
          <w:rFonts w:ascii="Arial" w:hAnsi="Arial" w:cs="Arial"/>
          <w:b/>
        </w:rPr>
      </w:pPr>
    </w:p>
    <w:p w:rsidR="00EC336C" w:rsidRDefault="00BD3C19">
      <w:pPr>
        <w:spacing w:line="276" w:lineRule="auto"/>
        <w:jc w:val="both"/>
        <w:rPr>
          <w:rFonts w:ascii="Arial" w:hAnsi="Arial" w:cs="Arial"/>
        </w:rPr>
      </w:pPr>
      <w:r>
        <w:rPr>
          <w:rFonts w:ascii="Arial" w:hAnsi="Arial" w:cs="Arial"/>
        </w:rPr>
        <w:t>______________________________</w:t>
      </w:r>
    </w:p>
    <w:p w:rsidR="00EC336C" w:rsidRDefault="00BD3C19">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rsidR="00EC336C" w:rsidRDefault="00BD3C19">
      <w:pPr>
        <w:spacing w:line="276" w:lineRule="auto"/>
        <w:rPr>
          <w:rFonts w:ascii="Arial" w:eastAsia="Arial" w:hAnsi="Arial" w:cs="Arial"/>
          <w:b/>
        </w:rPr>
      </w:pPr>
      <w:r>
        <w:rPr>
          <w:rFonts w:ascii="Arial" w:hAnsi="Arial" w:cs="Arial"/>
          <w:b/>
        </w:rPr>
        <w:t>TITULAR DEL ÓRGANO DE CONTROL INTERNO DE LA FISCALÍA GENERAL DEL ESTADO E INTEGRANTE DEL COMITÉ DE TRANSPARENCIA.</w:t>
      </w:r>
    </w:p>
    <w:sectPr w:rsidR="00EC336C">
      <w:headerReference w:type="even" r:id="rId10"/>
      <w:headerReference w:type="default" r:id="rId11"/>
      <w:footerReference w:type="even" r:id="rId12"/>
      <w:footerReference w:type="default" r:id="rId13"/>
      <w:headerReference w:type="first" r:id="rId14"/>
      <w:footerReference w:type="first" r:id="rId15"/>
      <w:pgSz w:w="12240" w:h="15840"/>
      <w:pgMar w:top="3261" w:right="1134" w:bottom="1418" w:left="1134" w:header="709"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2C08" w:rsidRDefault="00B12C08">
      <w:r>
        <w:separator/>
      </w:r>
    </w:p>
  </w:endnote>
  <w:endnote w:type="continuationSeparator" w:id="0">
    <w:p w:rsidR="00B12C08" w:rsidRDefault="00B12C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DengXian">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Calibri Light">
    <w:altName w:val="Arial"/>
    <w:charset w:val="00"/>
    <w:family w:val="swiss"/>
    <w:pitch w:val="variable"/>
    <w:sig w:usb0="00000000" w:usb1="C000247B" w:usb2="00000009"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3CDC" w:rsidRDefault="00353CD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535C" w:rsidRDefault="00EF535C">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57216" behindDoc="1" locked="0" layoutInCell="1" allowOverlap="1">
          <wp:simplePos x="0" y="0"/>
          <wp:positionH relativeFrom="column">
            <wp:posOffset>-760095</wp:posOffset>
          </wp:positionH>
          <wp:positionV relativeFrom="paragraph">
            <wp:posOffset>72390</wp:posOffset>
          </wp:positionV>
          <wp:extent cx="7991475" cy="802640"/>
          <wp:effectExtent l="0" t="0" r="952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EF535C" w:rsidRDefault="00EF535C">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EF535C" w:rsidRDefault="00EF535C">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EF535C" w:rsidRDefault="00EF535C">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EF535C" w:rsidRDefault="00EF535C">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EF535C" w:rsidRDefault="00EF535C">
    <w:pPr>
      <w:pStyle w:val="Piedepgina"/>
      <w:jc w:val="right"/>
      <w:rPr>
        <w:rFonts w:ascii="Arial" w:hAnsi="Arial" w:cs="Arial"/>
        <w:b/>
        <w:sz w:val="16"/>
        <w:szCs w:val="16"/>
        <w:u w:val="singl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3CDC" w:rsidRDefault="00353CD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2C08" w:rsidRDefault="00B12C08">
      <w:r>
        <w:separator/>
      </w:r>
    </w:p>
  </w:footnote>
  <w:footnote w:type="continuationSeparator" w:id="0">
    <w:p w:rsidR="00B12C08" w:rsidRDefault="00B12C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3CDC" w:rsidRDefault="00353CDC">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7621263" o:spid="_x0000_s2050"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535C" w:rsidRDefault="00353CDC">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7621264" o:spid="_x0000_s2051"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ÓN ELECTRÓNICA"/>
        </v:shape>
      </w:pict>
    </w:r>
    <w:sdt>
      <w:sdtPr>
        <w:rPr>
          <w:lang w:eastAsia="es-MX"/>
        </w:rPr>
        <w:id w:val="526838137"/>
        <w:docPartObj>
          <w:docPartGallery w:val="AutoText"/>
        </w:docPartObj>
      </w:sdtPr>
      <w:sdtEndPr/>
      <w:sdtContent>
        <w:r w:rsidR="00EF535C">
          <w:rPr>
            <w:noProof/>
            <w:lang w:eastAsia="es-MX"/>
          </w:rPr>
          <mc:AlternateContent>
            <mc:Choice Requires="wps">
              <w:drawing>
                <wp:anchor distT="0" distB="0" distL="114300" distR="114300" simplePos="0" relativeHeight="251658240"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EF535C" w:rsidRDefault="00EF535C">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353CDC" w:rsidRPr="00353CDC">
                                <w:rPr>
                                  <w:rFonts w:asciiTheme="majorHAnsi" w:eastAsiaTheme="majorEastAsia" w:hAnsiTheme="majorHAnsi" w:cstheme="majorBidi"/>
                                  <w:noProof/>
                                  <w:sz w:val="44"/>
                                  <w:szCs w:val="44"/>
                                  <w:lang w:val="es-ES"/>
                                </w:rPr>
                                <w:t>10</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8240;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EF535C" w:rsidRDefault="00EF535C">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353CDC" w:rsidRPr="00353CDC">
                          <w:rPr>
                            <w:rFonts w:asciiTheme="majorHAnsi" w:eastAsiaTheme="majorEastAsia" w:hAnsiTheme="majorHAnsi" w:cstheme="majorBidi"/>
                            <w:noProof/>
                            <w:sz w:val="44"/>
                            <w:szCs w:val="44"/>
                            <w:lang w:val="es-ES"/>
                          </w:rPr>
                          <w:t>10</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EF535C">
      <w:rPr>
        <w:noProof/>
        <w:lang w:eastAsia="es-MX"/>
      </w:rPr>
      <w:drawing>
        <wp:anchor distT="0" distB="0" distL="114300" distR="114300" simplePos="0" relativeHeight="251656192" behindDoc="1" locked="0" layoutInCell="1" allowOverlap="1">
          <wp:simplePos x="0" y="0"/>
          <wp:positionH relativeFrom="column">
            <wp:posOffset>-710565</wp:posOffset>
          </wp:positionH>
          <wp:positionV relativeFrom="paragraph">
            <wp:posOffset>-488315</wp:posOffset>
          </wp:positionV>
          <wp:extent cx="7896225" cy="1431290"/>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896225" cy="1431513"/>
                  </a:xfrm>
                  <a:prstGeom prst="rect">
                    <a:avLst/>
                  </a:prstGeom>
                  <a:noFill/>
                  <a:ln>
                    <a:noFill/>
                  </a:ln>
                </pic:spPr>
              </pic:pic>
            </a:graphicData>
          </a:graphic>
        </wp:anchor>
      </w:drawing>
    </w:r>
    <w:r w:rsidR="00EF535C">
      <w:rPr>
        <w:lang w:eastAsia="es-MX"/>
      </w:rPr>
      <w:t xml:space="preserve"> </w:t>
    </w:r>
    <w:r w:rsidR="00EF535C">
      <w:tab/>
    </w:r>
    <w:r w:rsidR="00EF535C">
      <w:tab/>
    </w:r>
  </w:p>
  <w:p w:rsidR="00EF535C" w:rsidRDefault="00EF535C">
    <w:pPr>
      <w:pStyle w:val="Encabezado"/>
      <w:tabs>
        <w:tab w:val="clear" w:pos="4419"/>
        <w:tab w:val="clear" w:pos="8838"/>
        <w:tab w:val="left" w:pos="812"/>
      </w:tabs>
    </w:pPr>
  </w:p>
  <w:p w:rsidR="00EF535C" w:rsidRDefault="00EF535C">
    <w:pPr>
      <w:pStyle w:val="Encabezado"/>
      <w:tabs>
        <w:tab w:val="clear" w:pos="4419"/>
        <w:tab w:val="clear" w:pos="8838"/>
        <w:tab w:val="left" w:pos="812"/>
      </w:tabs>
    </w:pPr>
  </w:p>
  <w:p w:rsidR="00EF535C" w:rsidRDefault="00EF535C">
    <w:pPr>
      <w:pStyle w:val="Encabezado"/>
      <w:tabs>
        <w:tab w:val="clear" w:pos="4419"/>
        <w:tab w:val="clear" w:pos="8838"/>
        <w:tab w:val="left" w:pos="812"/>
      </w:tabs>
    </w:pPr>
  </w:p>
  <w:p w:rsidR="00EF535C" w:rsidRDefault="00EF535C">
    <w:pPr>
      <w:pStyle w:val="Encabezado"/>
      <w:tabs>
        <w:tab w:val="clear" w:pos="4419"/>
        <w:tab w:val="clear" w:pos="8838"/>
        <w:tab w:val="left" w:pos="812"/>
      </w:tabs>
    </w:pPr>
  </w:p>
  <w:p w:rsidR="00EF535C" w:rsidRDefault="00EF535C">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59264" behindDoc="0" locked="0" layoutInCell="1" allowOverlap="1">
              <wp:simplePos x="0" y="0"/>
              <wp:positionH relativeFrom="column">
                <wp:posOffset>-193040</wp:posOffset>
              </wp:positionH>
              <wp:positionV relativeFrom="paragraph">
                <wp:posOffset>16510</wp:posOffset>
              </wp:positionV>
              <wp:extent cx="6871335" cy="438785"/>
              <wp:effectExtent l="19050" t="19050" r="24765" b="18415"/>
              <wp:wrapNone/>
              <wp:docPr id="2" name="2 Cuadro de texto"/>
              <wp:cNvGraphicFramePr/>
              <a:graphic xmlns:a="http://schemas.openxmlformats.org/drawingml/2006/main">
                <a:graphicData uri="http://schemas.microsoft.com/office/word/2010/wordprocessingShape">
                  <wps:wsp>
                    <wps:cNvSpPr txBox="1"/>
                    <wps:spPr>
                      <a:xfrm>
                        <a:off x="0" y="0"/>
                        <a:ext cx="6871462" cy="438912"/>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EF535C" w:rsidRDefault="00EF535C">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06 de diciembre 2023 décima segunda sesión ordinaria del Comité de Transparencia. Clasificación</w:t>
                          </w:r>
                          <w:r>
                            <w:rPr>
                              <w:rFonts w:ascii="Arial" w:hAnsi="Arial" w:cs="Arial"/>
                              <w:b/>
                              <w:color w:val="FFFFFF" w:themeColor="background1"/>
                              <w:sz w:val="18"/>
                              <w:szCs w:val="18"/>
                              <w:lang w:val="es-ES"/>
                            </w:rPr>
                            <w:t xml:space="preserve"> de información confidencial que realiza el Director General de Administración mediante consecutivo DGA/DRH/</w:t>
                          </w:r>
                          <w:r>
                            <w:rPr>
                              <w:rFonts w:ascii="Arial" w:hAnsi="Arial" w:cs="Arial"/>
                              <w:b/>
                              <w:color w:val="FFFFFF" w:themeColor="background1"/>
                              <w:sz w:val="18"/>
                              <w:szCs w:val="18"/>
                            </w:rPr>
                            <w:t>5315</w:t>
                          </w:r>
                          <w:r>
                            <w:rPr>
                              <w:rFonts w:ascii="Arial" w:hAnsi="Arial" w:cs="Arial"/>
                              <w:b/>
                              <w:color w:val="FFFFFF" w:themeColor="background1"/>
                              <w:sz w:val="18"/>
                              <w:szCs w:val="18"/>
                              <w:lang w:val="es-ES"/>
                            </w:rPr>
                            <w:t>/2023.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2 Cuadro de texto" o:spid="_x0000_s1027" type="#_x0000_t202" style="position:absolute;margin-left:-15.2pt;margin-top:1.3pt;width:541.05pt;height:34.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" fillcolor="#aeaaaa [2414]" strokecolor="#0070c0" strokeweight="2.25pt">
              <v:textbox>
                <w:txbxContent>
                  <w:p w:rsidR="00EF535C" w:rsidRDefault="00EF535C">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06 de diciembre 2023 décima segunda sesión ordinaria del Comité de Transparencia. Clasificación</w:t>
                    </w:r>
                    <w:r>
                      <w:rPr>
                        <w:rFonts w:ascii="Arial" w:hAnsi="Arial" w:cs="Arial"/>
                        <w:b/>
                        <w:color w:val="FFFFFF" w:themeColor="background1"/>
                        <w:sz w:val="18"/>
                        <w:szCs w:val="18"/>
                        <w:lang w:val="es-ES"/>
                      </w:rPr>
                      <w:t xml:space="preserve"> de información confidencial que realiza el Director General de Administración mediante consecutivo DGA/DRH/</w:t>
                    </w:r>
                    <w:r>
                      <w:rPr>
                        <w:rFonts w:ascii="Arial" w:hAnsi="Arial" w:cs="Arial"/>
                        <w:b/>
                        <w:color w:val="FFFFFF" w:themeColor="background1"/>
                        <w:sz w:val="18"/>
                        <w:szCs w:val="18"/>
                      </w:rPr>
                      <w:t>5315</w:t>
                    </w:r>
                    <w:r>
                      <w:rPr>
                        <w:rFonts w:ascii="Arial" w:hAnsi="Arial" w:cs="Arial"/>
                        <w:b/>
                        <w:color w:val="FFFFFF" w:themeColor="background1"/>
                        <w:sz w:val="18"/>
                        <w:szCs w:val="18"/>
                        <w:lang w:val="es-ES"/>
                      </w:rPr>
                      <w:t>/2023.</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3CDC" w:rsidRDefault="00353CDC">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7621262" o:spid="_x0000_s2049" type="#_x0000_t136" style="position:absolute;margin-left:0;margin-top:0;width:602.5pt;height:100.4pt;rotation:315;z-index:-251655168;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292492"/>
    <w:multiLevelType w:val="multilevel"/>
    <w:tmpl w:val="1829249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46F13C14"/>
    <w:multiLevelType w:val="hybridMultilevel"/>
    <w:tmpl w:val="1444D436"/>
    <w:lvl w:ilvl="0" w:tplc="AE127F50">
      <w:start w:val="1"/>
      <w:numFmt w:val="upperRoman"/>
      <w:lvlText w:val="%1-"/>
      <w:lvlJc w:val="left"/>
      <w:pPr>
        <w:ind w:left="2484" w:hanging="360"/>
      </w:pPr>
      <w:rPr>
        <w:rFonts w:ascii="Arial" w:eastAsiaTheme="minorEastAsia" w:hAnsi="Arial" w:cs="Arial"/>
      </w:rPr>
    </w:lvl>
    <w:lvl w:ilvl="1" w:tplc="080A0003" w:tentative="1">
      <w:start w:val="1"/>
      <w:numFmt w:val="bullet"/>
      <w:lvlText w:val="o"/>
      <w:lvlJc w:val="left"/>
      <w:pPr>
        <w:ind w:left="3204" w:hanging="360"/>
      </w:pPr>
      <w:rPr>
        <w:rFonts w:ascii="Courier New" w:hAnsi="Courier New" w:cs="Courier New" w:hint="default"/>
      </w:rPr>
    </w:lvl>
    <w:lvl w:ilvl="2" w:tplc="080A0005" w:tentative="1">
      <w:start w:val="1"/>
      <w:numFmt w:val="bullet"/>
      <w:lvlText w:val=""/>
      <w:lvlJc w:val="left"/>
      <w:pPr>
        <w:ind w:left="3924" w:hanging="360"/>
      </w:pPr>
      <w:rPr>
        <w:rFonts w:ascii="Wingdings" w:hAnsi="Wingdings" w:hint="default"/>
      </w:rPr>
    </w:lvl>
    <w:lvl w:ilvl="3" w:tplc="080A0001" w:tentative="1">
      <w:start w:val="1"/>
      <w:numFmt w:val="bullet"/>
      <w:lvlText w:val=""/>
      <w:lvlJc w:val="left"/>
      <w:pPr>
        <w:ind w:left="4644" w:hanging="360"/>
      </w:pPr>
      <w:rPr>
        <w:rFonts w:ascii="Symbol" w:hAnsi="Symbol" w:hint="default"/>
      </w:rPr>
    </w:lvl>
    <w:lvl w:ilvl="4" w:tplc="080A0003" w:tentative="1">
      <w:start w:val="1"/>
      <w:numFmt w:val="bullet"/>
      <w:lvlText w:val="o"/>
      <w:lvlJc w:val="left"/>
      <w:pPr>
        <w:ind w:left="5364" w:hanging="360"/>
      </w:pPr>
      <w:rPr>
        <w:rFonts w:ascii="Courier New" w:hAnsi="Courier New" w:cs="Courier New" w:hint="default"/>
      </w:rPr>
    </w:lvl>
    <w:lvl w:ilvl="5" w:tplc="080A0005" w:tentative="1">
      <w:start w:val="1"/>
      <w:numFmt w:val="bullet"/>
      <w:lvlText w:val=""/>
      <w:lvlJc w:val="left"/>
      <w:pPr>
        <w:ind w:left="6084" w:hanging="360"/>
      </w:pPr>
      <w:rPr>
        <w:rFonts w:ascii="Wingdings" w:hAnsi="Wingdings" w:hint="default"/>
      </w:rPr>
    </w:lvl>
    <w:lvl w:ilvl="6" w:tplc="080A0001" w:tentative="1">
      <w:start w:val="1"/>
      <w:numFmt w:val="bullet"/>
      <w:lvlText w:val=""/>
      <w:lvlJc w:val="left"/>
      <w:pPr>
        <w:ind w:left="6804" w:hanging="360"/>
      </w:pPr>
      <w:rPr>
        <w:rFonts w:ascii="Symbol" w:hAnsi="Symbol" w:hint="default"/>
      </w:rPr>
    </w:lvl>
    <w:lvl w:ilvl="7" w:tplc="080A0003" w:tentative="1">
      <w:start w:val="1"/>
      <w:numFmt w:val="bullet"/>
      <w:lvlText w:val="o"/>
      <w:lvlJc w:val="left"/>
      <w:pPr>
        <w:ind w:left="7524" w:hanging="360"/>
      </w:pPr>
      <w:rPr>
        <w:rFonts w:ascii="Courier New" w:hAnsi="Courier New" w:cs="Courier New" w:hint="default"/>
      </w:rPr>
    </w:lvl>
    <w:lvl w:ilvl="8" w:tplc="080A0005" w:tentative="1">
      <w:start w:val="1"/>
      <w:numFmt w:val="bullet"/>
      <w:lvlText w:val=""/>
      <w:lvlJc w:val="left"/>
      <w:pPr>
        <w:ind w:left="8244" w:hanging="360"/>
      </w:pPr>
      <w:rPr>
        <w:rFonts w:ascii="Wingdings" w:hAnsi="Wingdings" w:hint="default"/>
      </w:rPr>
    </w:lvl>
  </w:abstractNum>
  <w:abstractNum w:abstractNumId="2">
    <w:nsid w:val="76C35879"/>
    <w:multiLevelType w:val="hybridMultilevel"/>
    <w:tmpl w:val="BD3E6A54"/>
    <w:lvl w:ilvl="0" w:tplc="5590D706">
      <w:numFmt w:val="bullet"/>
      <w:lvlText w:val="-"/>
      <w:lvlJc w:val="left"/>
      <w:pPr>
        <w:ind w:left="2484" w:hanging="360"/>
      </w:pPr>
      <w:rPr>
        <w:rFonts w:ascii="Arial" w:eastAsiaTheme="minorEastAsia" w:hAnsi="Arial" w:cs="Arial" w:hint="default"/>
      </w:rPr>
    </w:lvl>
    <w:lvl w:ilvl="1" w:tplc="080A0003">
      <w:start w:val="1"/>
      <w:numFmt w:val="bullet"/>
      <w:lvlText w:val="o"/>
      <w:lvlJc w:val="left"/>
      <w:pPr>
        <w:ind w:left="3204" w:hanging="360"/>
      </w:pPr>
      <w:rPr>
        <w:rFonts w:ascii="Courier New" w:hAnsi="Courier New" w:cs="Courier New" w:hint="default"/>
      </w:rPr>
    </w:lvl>
    <w:lvl w:ilvl="2" w:tplc="080A0005" w:tentative="1">
      <w:start w:val="1"/>
      <w:numFmt w:val="bullet"/>
      <w:lvlText w:val=""/>
      <w:lvlJc w:val="left"/>
      <w:pPr>
        <w:ind w:left="3924" w:hanging="360"/>
      </w:pPr>
      <w:rPr>
        <w:rFonts w:ascii="Wingdings" w:hAnsi="Wingdings" w:hint="default"/>
      </w:rPr>
    </w:lvl>
    <w:lvl w:ilvl="3" w:tplc="080A0001" w:tentative="1">
      <w:start w:val="1"/>
      <w:numFmt w:val="bullet"/>
      <w:lvlText w:val=""/>
      <w:lvlJc w:val="left"/>
      <w:pPr>
        <w:ind w:left="4644" w:hanging="360"/>
      </w:pPr>
      <w:rPr>
        <w:rFonts w:ascii="Symbol" w:hAnsi="Symbol" w:hint="default"/>
      </w:rPr>
    </w:lvl>
    <w:lvl w:ilvl="4" w:tplc="080A0003" w:tentative="1">
      <w:start w:val="1"/>
      <w:numFmt w:val="bullet"/>
      <w:lvlText w:val="o"/>
      <w:lvlJc w:val="left"/>
      <w:pPr>
        <w:ind w:left="5364" w:hanging="360"/>
      </w:pPr>
      <w:rPr>
        <w:rFonts w:ascii="Courier New" w:hAnsi="Courier New" w:cs="Courier New" w:hint="default"/>
      </w:rPr>
    </w:lvl>
    <w:lvl w:ilvl="5" w:tplc="080A0005" w:tentative="1">
      <w:start w:val="1"/>
      <w:numFmt w:val="bullet"/>
      <w:lvlText w:val=""/>
      <w:lvlJc w:val="left"/>
      <w:pPr>
        <w:ind w:left="6084" w:hanging="360"/>
      </w:pPr>
      <w:rPr>
        <w:rFonts w:ascii="Wingdings" w:hAnsi="Wingdings" w:hint="default"/>
      </w:rPr>
    </w:lvl>
    <w:lvl w:ilvl="6" w:tplc="080A0001" w:tentative="1">
      <w:start w:val="1"/>
      <w:numFmt w:val="bullet"/>
      <w:lvlText w:val=""/>
      <w:lvlJc w:val="left"/>
      <w:pPr>
        <w:ind w:left="6804" w:hanging="360"/>
      </w:pPr>
      <w:rPr>
        <w:rFonts w:ascii="Symbol" w:hAnsi="Symbol" w:hint="default"/>
      </w:rPr>
    </w:lvl>
    <w:lvl w:ilvl="7" w:tplc="080A0003" w:tentative="1">
      <w:start w:val="1"/>
      <w:numFmt w:val="bullet"/>
      <w:lvlText w:val="o"/>
      <w:lvlJc w:val="left"/>
      <w:pPr>
        <w:ind w:left="7524" w:hanging="360"/>
      </w:pPr>
      <w:rPr>
        <w:rFonts w:ascii="Courier New" w:hAnsi="Courier New" w:cs="Courier New" w:hint="default"/>
      </w:rPr>
    </w:lvl>
    <w:lvl w:ilvl="8" w:tplc="080A0005" w:tentative="1">
      <w:start w:val="1"/>
      <w:numFmt w:val="bullet"/>
      <w:lvlText w:val=""/>
      <w:lvlJc w:val="left"/>
      <w:pPr>
        <w:ind w:left="8244" w:hanging="360"/>
      </w:pPr>
      <w:rPr>
        <w:rFonts w:ascii="Wingdings" w:hAnsi="Wingdings" w:hint="default"/>
      </w:rPr>
    </w:lvl>
  </w:abstractNum>
  <w:abstractNum w:abstractNumId="3">
    <w:nsid w:val="791A281E"/>
    <w:multiLevelType w:val="multilevel"/>
    <w:tmpl w:val="791A281E"/>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1023"/>
    <w:rsid w:val="00001804"/>
    <w:rsid w:val="0000456D"/>
    <w:rsid w:val="00012344"/>
    <w:rsid w:val="00043EA6"/>
    <w:rsid w:val="00045A56"/>
    <w:rsid w:val="00046592"/>
    <w:rsid w:val="0004691F"/>
    <w:rsid w:val="00047BEE"/>
    <w:rsid w:val="000516AB"/>
    <w:rsid w:val="00060363"/>
    <w:rsid w:val="0006789D"/>
    <w:rsid w:val="0007103A"/>
    <w:rsid w:val="00074CBB"/>
    <w:rsid w:val="0009152F"/>
    <w:rsid w:val="00092311"/>
    <w:rsid w:val="00097461"/>
    <w:rsid w:val="000B49D1"/>
    <w:rsid w:val="000B4E59"/>
    <w:rsid w:val="000B4E6F"/>
    <w:rsid w:val="000E0FAE"/>
    <w:rsid w:val="000E151A"/>
    <w:rsid w:val="000E33F8"/>
    <w:rsid w:val="000E6D81"/>
    <w:rsid w:val="000E77F8"/>
    <w:rsid w:val="000F34F2"/>
    <w:rsid w:val="00104B37"/>
    <w:rsid w:val="00117688"/>
    <w:rsid w:val="0013153A"/>
    <w:rsid w:val="00133136"/>
    <w:rsid w:val="00133220"/>
    <w:rsid w:val="00134A88"/>
    <w:rsid w:val="0013784F"/>
    <w:rsid w:val="00137B6F"/>
    <w:rsid w:val="00140DD7"/>
    <w:rsid w:val="00145927"/>
    <w:rsid w:val="0014727B"/>
    <w:rsid w:val="00153844"/>
    <w:rsid w:val="001558AB"/>
    <w:rsid w:val="00155DB1"/>
    <w:rsid w:val="001569ED"/>
    <w:rsid w:val="00160079"/>
    <w:rsid w:val="0016273D"/>
    <w:rsid w:val="001645C1"/>
    <w:rsid w:val="00166A50"/>
    <w:rsid w:val="00166BDA"/>
    <w:rsid w:val="0017307C"/>
    <w:rsid w:val="00174F96"/>
    <w:rsid w:val="00175555"/>
    <w:rsid w:val="00175ED2"/>
    <w:rsid w:val="00175F0E"/>
    <w:rsid w:val="00176FDC"/>
    <w:rsid w:val="00177B02"/>
    <w:rsid w:val="001816A1"/>
    <w:rsid w:val="0018761C"/>
    <w:rsid w:val="001942AF"/>
    <w:rsid w:val="00196E5A"/>
    <w:rsid w:val="001A0FF2"/>
    <w:rsid w:val="001A1BA9"/>
    <w:rsid w:val="001A32B1"/>
    <w:rsid w:val="001A68CB"/>
    <w:rsid w:val="001B0330"/>
    <w:rsid w:val="001B6839"/>
    <w:rsid w:val="001B7394"/>
    <w:rsid w:val="001C1FF5"/>
    <w:rsid w:val="001C3880"/>
    <w:rsid w:val="001C5BA9"/>
    <w:rsid w:val="001C5BFD"/>
    <w:rsid w:val="001C73C0"/>
    <w:rsid w:val="001C791A"/>
    <w:rsid w:val="001E6C44"/>
    <w:rsid w:val="001F2AFB"/>
    <w:rsid w:val="001F341F"/>
    <w:rsid w:val="001F71C9"/>
    <w:rsid w:val="002054C1"/>
    <w:rsid w:val="002075EA"/>
    <w:rsid w:val="00207633"/>
    <w:rsid w:val="00236319"/>
    <w:rsid w:val="0024023C"/>
    <w:rsid w:val="00241C03"/>
    <w:rsid w:val="00244CB1"/>
    <w:rsid w:val="00244EE4"/>
    <w:rsid w:val="0024689C"/>
    <w:rsid w:val="0025149A"/>
    <w:rsid w:val="00256AE8"/>
    <w:rsid w:val="00262F6F"/>
    <w:rsid w:val="002648E0"/>
    <w:rsid w:val="002652A7"/>
    <w:rsid w:val="00273340"/>
    <w:rsid w:val="00275CAB"/>
    <w:rsid w:val="002915DB"/>
    <w:rsid w:val="00291A4A"/>
    <w:rsid w:val="002935FF"/>
    <w:rsid w:val="00293805"/>
    <w:rsid w:val="00297569"/>
    <w:rsid w:val="002975F0"/>
    <w:rsid w:val="002B62D5"/>
    <w:rsid w:val="002C182D"/>
    <w:rsid w:val="002D0260"/>
    <w:rsid w:val="002D58E0"/>
    <w:rsid w:val="002E1FC5"/>
    <w:rsid w:val="002E6666"/>
    <w:rsid w:val="002E6F2E"/>
    <w:rsid w:val="002E7CE8"/>
    <w:rsid w:val="002F5CAB"/>
    <w:rsid w:val="002F7281"/>
    <w:rsid w:val="003003C1"/>
    <w:rsid w:val="00303ECE"/>
    <w:rsid w:val="00311032"/>
    <w:rsid w:val="0032003C"/>
    <w:rsid w:val="00322663"/>
    <w:rsid w:val="00326DD7"/>
    <w:rsid w:val="00330F5F"/>
    <w:rsid w:val="003311E5"/>
    <w:rsid w:val="003335C3"/>
    <w:rsid w:val="00337E40"/>
    <w:rsid w:val="00340F4C"/>
    <w:rsid w:val="00350C59"/>
    <w:rsid w:val="00353CDC"/>
    <w:rsid w:val="0036603A"/>
    <w:rsid w:val="0036785A"/>
    <w:rsid w:val="0037773A"/>
    <w:rsid w:val="003834BC"/>
    <w:rsid w:val="00392452"/>
    <w:rsid w:val="003924E6"/>
    <w:rsid w:val="003930E6"/>
    <w:rsid w:val="00396DCE"/>
    <w:rsid w:val="003A2C50"/>
    <w:rsid w:val="003A411D"/>
    <w:rsid w:val="003A76E0"/>
    <w:rsid w:val="003A7D05"/>
    <w:rsid w:val="003C1381"/>
    <w:rsid w:val="003C2D3B"/>
    <w:rsid w:val="003D3322"/>
    <w:rsid w:val="003D379C"/>
    <w:rsid w:val="003D6E37"/>
    <w:rsid w:val="003E74F2"/>
    <w:rsid w:val="003F4311"/>
    <w:rsid w:val="00402A19"/>
    <w:rsid w:val="00405289"/>
    <w:rsid w:val="00410772"/>
    <w:rsid w:val="0041519C"/>
    <w:rsid w:val="004231C1"/>
    <w:rsid w:val="00427AED"/>
    <w:rsid w:val="00433942"/>
    <w:rsid w:val="00437D50"/>
    <w:rsid w:val="00440E63"/>
    <w:rsid w:val="00442112"/>
    <w:rsid w:val="004547AC"/>
    <w:rsid w:val="004612B6"/>
    <w:rsid w:val="00463508"/>
    <w:rsid w:val="004647AD"/>
    <w:rsid w:val="00473BF0"/>
    <w:rsid w:val="00473FA8"/>
    <w:rsid w:val="004812ED"/>
    <w:rsid w:val="00481806"/>
    <w:rsid w:val="0048250D"/>
    <w:rsid w:val="004832E2"/>
    <w:rsid w:val="00485D65"/>
    <w:rsid w:val="00493C1E"/>
    <w:rsid w:val="00496189"/>
    <w:rsid w:val="00497E2D"/>
    <w:rsid w:val="004A184C"/>
    <w:rsid w:val="004B1662"/>
    <w:rsid w:val="004B2C7C"/>
    <w:rsid w:val="004B6BFE"/>
    <w:rsid w:val="004C1B6F"/>
    <w:rsid w:val="004D49ED"/>
    <w:rsid w:val="004D7C2D"/>
    <w:rsid w:val="004F365C"/>
    <w:rsid w:val="004F640E"/>
    <w:rsid w:val="004F7019"/>
    <w:rsid w:val="00502579"/>
    <w:rsid w:val="005078F4"/>
    <w:rsid w:val="0052013D"/>
    <w:rsid w:val="00521A16"/>
    <w:rsid w:val="00533E32"/>
    <w:rsid w:val="00535E8D"/>
    <w:rsid w:val="00536224"/>
    <w:rsid w:val="00540338"/>
    <w:rsid w:val="0054303C"/>
    <w:rsid w:val="00544069"/>
    <w:rsid w:val="005454A4"/>
    <w:rsid w:val="005502C0"/>
    <w:rsid w:val="00551DF0"/>
    <w:rsid w:val="00554106"/>
    <w:rsid w:val="00554315"/>
    <w:rsid w:val="005614D5"/>
    <w:rsid w:val="00562A91"/>
    <w:rsid w:val="00570815"/>
    <w:rsid w:val="005753B3"/>
    <w:rsid w:val="00584602"/>
    <w:rsid w:val="0059102A"/>
    <w:rsid w:val="005A2227"/>
    <w:rsid w:val="005B010B"/>
    <w:rsid w:val="005C069E"/>
    <w:rsid w:val="005C319C"/>
    <w:rsid w:val="005C4C3F"/>
    <w:rsid w:val="005C750C"/>
    <w:rsid w:val="005D099B"/>
    <w:rsid w:val="005D2F74"/>
    <w:rsid w:val="005E558A"/>
    <w:rsid w:val="005E58AA"/>
    <w:rsid w:val="005F457C"/>
    <w:rsid w:val="005F550E"/>
    <w:rsid w:val="005F74E1"/>
    <w:rsid w:val="005F7763"/>
    <w:rsid w:val="00610BB8"/>
    <w:rsid w:val="006161FB"/>
    <w:rsid w:val="00620AA5"/>
    <w:rsid w:val="006214A7"/>
    <w:rsid w:val="00622506"/>
    <w:rsid w:val="006235C6"/>
    <w:rsid w:val="00624454"/>
    <w:rsid w:val="006267CB"/>
    <w:rsid w:val="006272C3"/>
    <w:rsid w:val="0062770E"/>
    <w:rsid w:val="00627959"/>
    <w:rsid w:val="00630AE0"/>
    <w:rsid w:val="00633FD2"/>
    <w:rsid w:val="006356BE"/>
    <w:rsid w:val="00652BE6"/>
    <w:rsid w:val="006639DB"/>
    <w:rsid w:val="0067614A"/>
    <w:rsid w:val="00677AEE"/>
    <w:rsid w:val="00687D08"/>
    <w:rsid w:val="0069210D"/>
    <w:rsid w:val="006B0801"/>
    <w:rsid w:val="006B331C"/>
    <w:rsid w:val="006B4084"/>
    <w:rsid w:val="006B6A29"/>
    <w:rsid w:val="006C25A9"/>
    <w:rsid w:val="006C5FA7"/>
    <w:rsid w:val="006E21D7"/>
    <w:rsid w:val="006E25D8"/>
    <w:rsid w:val="006E6D1D"/>
    <w:rsid w:val="006F086E"/>
    <w:rsid w:val="007022EB"/>
    <w:rsid w:val="0070291D"/>
    <w:rsid w:val="0070596D"/>
    <w:rsid w:val="00710C84"/>
    <w:rsid w:val="00714036"/>
    <w:rsid w:val="00716DED"/>
    <w:rsid w:val="00717045"/>
    <w:rsid w:val="007170CA"/>
    <w:rsid w:val="00717CF8"/>
    <w:rsid w:val="00723AF7"/>
    <w:rsid w:val="007248BE"/>
    <w:rsid w:val="007351D3"/>
    <w:rsid w:val="00740C5F"/>
    <w:rsid w:val="00740F43"/>
    <w:rsid w:val="007460DC"/>
    <w:rsid w:val="007473CB"/>
    <w:rsid w:val="0076137E"/>
    <w:rsid w:val="00771908"/>
    <w:rsid w:val="00774724"/>
    <w:rsid w:val="00774F4B"/>
    <w:rsid w:val="007768CC"/>
    <w:rsid w:val="00781D2F"/>
    <w:rsid w:val="007A18C2"/>
    <w:rsid w:val="007A28F6"/>
    <w:rsid w:val="007A292F"/>
    <w:rsid w:val="007A4E33"/>
    <w:rsid w:val="007B27EF"/>
    <w:rsid w:val="007B43AD"/>
    <w:rsid w:val="007B675E"/>
    <w:rsid w:val="007C531F"/>
    <w:rsid w:val="007D1376"/>
    <w:rsid w:val="007D6423"/>
    <w:rsid w:val="007D6D72"/>
    <w:rsid w:val="007D772B"/>
    <w:rsid w:val="007E1E16"/>
    <w:rsid w:val="007E63DB"/>
    <w:rsid w:val="007F0237"/>
    <w:rsid w:val="007F0778"/>
    <w:rsid w:val="007F2DA8"/>
    <w:rsid w:val="007F4E72"/>
    <w:rsid w:val="007F7EA0"/>
    <w:rsid w:val="00805092"/>
    <w:rsid w:val="00812BF7"/>
    <w:rsid w:val="00814012"/>
    <w:rsid w:val="0082374C"/>
    <w:rsid w:val="00823D57"/>
    <w:rsid w:val="0082794C"/>
    <w:rsid w:val="00831099"/>
    <w:rsid w:val="00845198"/>
    <w:rsid w:val="00850661"/>
    <w:rsid w:val="00854CCF"/>
    <w:rsid w:val="0086255E"/>
    <w:rsid w:val="008669B5"/>
    <w:rsid w:val="00871464"/>
    <w:rsid w:val="008760A4"/>
    <w:rsid w:val="008777CC"/>
    <w:rsid w:val="008828C3"/>
    <w:rsid w:val="00885156"/>
    <w:rsid w:val="00891DA8"/>
    <w:rsid w:val="008929DA"/>
    <w:rsid w:val="0089504B"/>
    <w:rsid w:val="00897EF0"/>
    <w:rsid w:val="008B163A"/>
    <w:rsid w:val="008B2F16"/>
    <w:rsid w:val="008C1FCF"/>
    <w:rsid w:val="008C70D2"/>
    <w:rsid w:val="008D1E6A"/>
    <w:rsid w:val="008D3B76"/>
    <w:rsid w:val="008D4173"/>
    <w:rsid w:val="008F4DEC"/>
    <w:rsid w:val="008F508A"/>
    <w:rsid w:val="009007AA"/>
    <w:rsid w:val="009026F0"/>
    <w:rsid w:val="00920E6D"/>
    <w:rsid w:val="00926017"/>
    <w:rsid w:val="00927902"/>
    <w:rsid w:val="00930BCE"/>
    <w:rsid w:val="00930C23"/>
    <w:rsid w:val="00931B62"/>
    <w:rsid w:val="00936591"/>
    <w:rsid w:val="00940176"/>
    <w:rsid w:val="00943A60"/>
    <w:rsid w:val="00943D13"/>
    <w:rsid w:val="009445F1"/>
    <w:rsid w:val="00952023"/>
    <w:rsid w:val="009527D5"/>
    <w:rsid w:val="00953594"/>
    <w:rsid w:val="00953952"/>
    <w:rsid w:val="00961F3B"/>
    <w:rsid w:val="00967709"/>
    <w:rsid w:val="00977A64"/>
    <w:rsid w:val="00981293"/>
    <w:rsid w:val="00991CC1"/>
    <w:rsid w:val="00992721"/>
    <w:rsid w:val="009A1E76"/>
    <w:rsid w:val="009A3B9A"/>
    <w:rsid w:val="009A4F60"/>
    <w:rsid w:val="009C36F2"/>
    <w:rsid w:val="009C37FF"/>
    <w:rsid w:val="009C71D2"/>
    <w:rsid w:val="009D1416"/>
    <w:rsid w:val="009D3B37"/>
    <w:rsid w:val="009D3B91"/>
    <w:rsid w:val="009D5B45"/>
    <w:rsid w:val="009D7615"/>
    <w:rsid w:val="009E07BA"/>
    <w:rsid w:val="009E1324"/>
    <w:rsid w:val="009E4CCF"/>
    <w:rsid w:val="009E4ED7"/>
    <w:rsid w:val="009F1F56"/>
    <w:rsid w:val="009F25F5"/>
    <w:rsid w:val="009F6B7D"/>
    <w:rsid w:val="009F7723"/>
    <w:rsid w:val="00A00378"/>
    <w:rsid w:val="00A027E0"/>
    <w:rsid w:val="00A052B4"/>
    <w:rsid w:val="00A07B35"/>
    <w:rsid w:val="00A10E2E"/>
    <w:rsid w:val="00A20C0F"/>
    <w:rsid w:val="00A21527"/>
    <w:rsid w:val="00A23464"/>
    <w:rsid w:val="00A30513"/>
    <w:rsid w:val="00A3119E"/>
    <w:rsid w:val="00A34431"/>
    <w:rsid w:val="00A42F99"/>
    <w:rsid w:val="00A430C0"/>
    <w:rsid w:val="00A44A53"/>
    <w:rsid w:val="00A45C43"/>
    <w:rsid w:val="00A47B3E"/>
    <w:rsid w:val="00A61FE0"/>
    <w:rsid w:val="00A67F68"/>
    <w:rsid w:val="00A720FD"/>
    <w:rsid w:val="00A80CA3"/>
    <w:rsid w:val="00A85761"/>
    <w:rsid w:val="00A86E00"/>
    <w:rsid w:val="00A90E40"/>
    <w:rsid w:val="00A94E88"/>
    <w:rsid w:val="00A97941"/>
    <w:rsid w:val="00AA120F"/>
    <w:rsid w:val="00AA5A00"/>
    <w:rsid w:val="00AB0017"/>
    <w:rsid w:val="00AB161E"/>
    <w:rsid w:val="00AB3C08"/>
    <w:rsid w:val="00AB5233"/>
    <w:rsid w:val="00AC091B"/>
    <w:rsid w:val="00AC1176"/>
    <w:rsid w:val="00AC14B9"/>
    <w:rsid w:val="00AC174F"/>
    <w:rsid w:val="00AC29C8"/>
    <w:rsid w:val="00AD0EF7"/>
    <w:rsid w:val="00AD5AEE"/>
    <w:rsid w:val="00AE4C4A"/>
    <w:rsid w:val="00AE70C4"/>
    <w:rsid w:val="00AF7A5D"/>
    <w:rsid w:val="00B00015"/>
    <w:rsid w:val="00B0559D"/>
    <w:rsid w:val="00B06822"/>
    <w:rsid w:val="00B12C08"/>
    <w:rsid w:val="00B20CF0"/>
    <w:rsid w:val="00B219F9"/>
    <w:rsid w:val="00B23B49"/>
    <w:rsid w:val="00B3003C"/>
    <w:rsid w:val="00B32A1F"/>
    <w:rsid w:val="00B36A5D"/>
    <w:rsid w:val="00B457A8"/>
    <w:rsid w:val="00B45B80"/>
    <w:rsid w:val="00B47C27"/>
    <w:rsid w:val="00B47FC8"/>
    <w:rsid w:val="00B502A7"/>
    <w:rsid w:val="00B52651"/>
    <w:rsid w:val="00B54D6F"/>
    <w:rsid w:val="00B55F32"/>
    <w:rsid w:val="00B579E5"/>
    <w:rsid w:val="00B60DD6"/>
    <w:rsid w:val="00B72D93"/>
    <w:rsid w:val="00B74065"/>
    <w:rsid w:val="00B74D8D"/>
    <w:rsid w:val="00B77E69"/>
    <w:rsid w:val="00B82063"/>
    <w:rsid w:val="00B831FF"/>
    <w:rsid w:val="00B8766D"/>
    <w:rsid w:val="00B90860"/>
    <w:rsid w:val="00B9390A"/>
    <w:rsid w:val="00BA132C"/>
    <w:rsid w:val="00BB6845"/>
    <w:rsid w:val="00BC37ED"/>
    <w:rsid w:val="00BC68B4"/>
    <w:rsid w:val="00BD2550"/>
    <w:rsid w:val="00BD375F"/>
    <w:rsid w:val="00BD3C19"/>
    <w:rsid w:val="00BD4E6A"/>
    <w:rsid w:val="00BE045B"/>
    <w:rsid w:val="00BE13D7"/>
    <w:rsid w:val="00BE530D"/>
    <w:rsid w:val="00BE5C2C"/>
    <w:rsid w:val="00BE6BCF"/>
    <w:rsid w:val="00BF5146"/>
    <w:rsid w:val="00C01500"/>
    <w:rsid w:val="00C14C3D"/>
    <w:rsid w:val="00C40442"/>
    <w:rsid w:val="00C42AC3"/>
    <w:rsid w:val="00C44251"/>
    <w:rsid w:val="00C45988"/>
    <w:rsid w:val="00C5041B"/>
    <w:rsid w:val="00C60803"/>
    <w:rsid w:val="00C62917"/>
    <w:rsid w:val="00C63027"/>
    <w:rsid w:val="00C71829"/>
    <w:rsid w:val="00C760CF"/>
    <w:rsid w:val="00C76C0B"/>
    <w:rsid w:val="00C96F2F"/>
    <w:rsid w:val="00CA32D1"/>
    <w:rsid w:val="00CA36FE"/>
    <w:rsid w:val="00CB2DB5"/>
    <w:rsid w:val="00CB78A0"/>
    <w:rsid w:val="00CD106D"/>
    <w:rsid w:val="00CD3676"/>
    <w:rsid w:val="00CD7A3B"/>
    <w:rsid w:val="00CD7BBA"/>
    <w:rsid w:val="00CF5326"/>
    <w:rsid w:val="00D01046"/>
    <w:rsid w:val="00D024F4"/>
    <w:rsid w:val="00D0353D"/>
    <w:rsid w:val="00D06E6C"/>
    <w:rsid w:val="00D123AA"/>
    <w:rsid w:val="00D156E9"/>
    <w:rsid w:val="00D37E78"/>
    <w:rsid w:val="00D44519"/>
    <w:rsid w:val="00D44B8D"/>
    <w:rsid w:val="00D47683"/>
    <w:rsid w:val="00D511D2"/>
    <w:rsid w:val="00D550D0"/>
    <w:rsid w:val="00D63D75"/>
    <w:rsid w:val="00D812EA"/>
    <w:rsid w:val="00D842A9"/>
    <w:rsid w:val="00D843EF"/>
    <w:rsid w:val="00D855D5"/>
    <w:rsid w:val="00D93F6F"/>
    <w:rsid w:val="00D960A3"/>
    <w:rsid w:val="00D96174"/>
    <w:rsid w:val="00DA1E52"/>
    <w:rsid w:val="00DA2785"/>
    <w:rsid w:val="00DA3298"/>
    <w:rsid w:val="00DC2367"/>
    <w:rsid w:val="00DC37CD"/>
    <w:rsid w:val="00DC5586"/>
    <w:rsid w:val="00DD1D46"/>
    <w:rsid w:val="00DD6DC7"/>
    <w:rsid w:val="00E01F09"/>
    <w:rsid w:val="00E11EFC"/>
    <w:rsid w:val="00E1239C"/>
    <w:rsid w:val="00E1624C"/>
    <w:rsid w:val="00E21D0D"/>
    <w:rsid w:val="00E2731D"/>
    <w:rsid w:val="00E27D91"/>
    <w:rsid w:val="00E334C7"/>
    <w:rsid w:val="00E36D27"/>
    <w:rsid w:val="00E40A44"/>
    <w:rsid w:val="00E470C7"/>
    <w:rsid w:val="00E541EC"/>
    <w:rsid w:val="00E716B5"/>
    <w:rsid w:val="00E7366C"/>
    <w:rsid w:val="00E74D9F"/>
    <w:rsid w:val="00E75443"/>
    <w:rsid w:val="00E76116"/>
    <w:rsid w:val="00E82FD0"/>
    <w:rsid w:val="00E852E0"/>
    <w:rsid w:val="00E864EA"/>
    <w:rsid w:val="00E8769E"/>
    <w:rsid w:val="00E928B5"/>
    <w:rsid w:val="00E95EBE"/>
    <w:rsid w:val="00E974C6"/>
    <w:rsid w:val="00EA4BE5"/>
    <w:rsid w:val="00EA6122"/>
    <w:rsid w:val="00EB66E5"/>
    <w:rsid w:val="00EC1AE7"/>
    <w:rsid w:val="00EC29D1"/>
    <w:rsid w:val="00EC336C"/>
    <w:rsid w:val="00EC6DC8"/>
    <w:rsid w:val="00ED1602"/>
    <w:rsid w:val="00EF535C"/>
    <w:rsid w:val="00EF6001"/>
    <w:rsid w:val="00F0180B"/>
    <w:rsid w:val="00F052CF"/>
    <w:rsid w:val="00F06897"/>
    <w:rsid w:val="00F0748B"/>
    <w:rsid w:val="00F104DC"/>
    <w:rsid w:val="00F113DD"/>
    <w:rsid w:val="00F1577E"/>
    <w:rsid w:val="00F17AC9"/>
    <w:rsid w:val="00F251D7"/>
    <w:rsid w:val="00F25244"/>
    <w:rsid w:val="00F261C9"/>
    <w:rsid w:val="00F31137"/>
    <w:rsid w:val="00F37AAA"/>
    <w:rsid w:val="00F40511"/>
    <w:rsid w:val="00F46007"/>
    <w:rsid w:val="00F47D67"/>
    <w:rsid w:val="00F57D2A"/>
    <w:rsid w:val="00F61539"/>
    <w:rsid w:val="00F66C46"/>
    <w:rsid w:val="00F678C6"/>
    <w:rsid w:val="00F76C58"/>
    <w:rsid w:val="00F80D60"/>
    <w:rsid w:val="00F83B5A"/>
    <w:rsid w:val="00F9186B"/>
    <w:rsid w:val="00F9513D"/>
    <w:rsid w:val="00FA5344"/>
    <w:rsid w:val="00FA5484"/>
    <w:rsid w:val="00FB1319"/>
    <w:rsid w:val="00FC1A90"/>
    <w:rsid w:val="00FD3263"/>
    <w:rsid w:val="00FD7550"/>
    <w:rsid w:val="00FD7A01"/>
    <w:rsid w:val="00FE1464"/>
    <w:rsid w:val="00FF0343"/>
    <w:rsid w:val="00FF5573"/>
    <w:rsid w:val="00FF7F6D"/>
    <w:rsid w:val="6C3A7574"/>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semiHidden="0"/>
    <w:lsdException w:name="footer" w:semiHidden="0"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uiPriority="39"/>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qFormat/>
    <w:rPr>
      <w:vertAlign w:val="superscript"/>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character" w:customStyle="1" w:styleId="ng-star-inserted">
    <w:name w:val="ng-star-inserted"/>
    <w:basedOn w:val="Fuentedeprrafopredeter"/>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semiHidden="0"/>
    <w:lsdException w:name="footer" w:semiHidden="0"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uiPriority="39"/>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qFormat/>
    <w:rPr>
      <w:vertAlign w:val="superscript"/>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character" w:customStyle="1" w:styleId="ng-star-inserted">
    <w:name w:val="ng-star-inserted"/>
    <w:basedOn w:val="Fuentedeprrafopredeter"/>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7C463E2-17DD-4CF5-99BB-750F8AD954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10</Pages>
  <Words>2717</Words>
  <Characters>14944</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FGSLP</cp:lastModifiedBy>
  <cp:revision>65</cp:revision>
  <cp:lastPrinted>2023-03-10T15:26:00Z</cp:lastPrinted>
  <dcterms:created xsi:type="dcterms:W3CDTF">2022-07-07T19:53:00Z</dcterms:created>
  <dcterms:modified xsi:type="dcterms:W3CDTF">2023-12-20T20:57:00Z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2058-12.2.0.13306</vt:lpwstr>
  </property>
  <property fmtid="{D5CDD505-2E9C-101B-9397-08002B2CF9AE}" pid="3" name="ICV">
    <vt:lpwstr>1D69A98369564BE78EBB70C274A34530_12</vt:lpwstr>
  </property>
</Properties>
</file>