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E9FB28C" w14:textId="28E718D7" w:rsidR="00523243" w:rsidRDefault="00276746" w:rsidP="00276746">
      <w:pPr>
        <w:spacing w:after="0"/>
        <w:jc w:val="both"/>
        <w:rPr>
          <w:rFonts w:ascii="Tahoma" w:hAnsi="Tahoma" w:cs="Tahoma"/>
          <w:sz w:val="24"/>
          <w:szCs w:val="24"/>
          <w:lang w:val="es-ES"/>
        </w:rPr>
      </w:pPr>
      <w:r w:rsidRPr="00276746">
        <w:rPr>
          <w:rFonts w:ascii="Tahoma" w:hAnsi="Tahoma" w:cs="Tahoma"/>
          <w:sz w:val="24"/>
          <w:szCs w:val="24"/>
          <w:lang w:val="es-ES"/>
        </w:rPr>
        <w:t>Éste sujeto obligado sí</w:t>
      </w:r>
      <w:r w:rsidR="00523243" w:rsidRPr="00276746">
        <w:rPr>
          <w:rFonts w:ascii="Tahoma" w:hAnsi="Tahoma" w:cs="Tahoma"/>
          <w:sz w:val="24"/>
          <w:szCs w:val="24"/>
          <w:lang w:val="es-ES"/>
        </w:rPr>
        <w:t xml:space="preserve"> est</w:t>
      </w:r>
      <w:r w:rsidRPr="00276746">
        <w:rPr>
          <w:rFonts w:ascii="Tahoma" w:hAnsi="Tahoma" w:cs="Tahoma"/>
          <w:sz w:val="24"/>
          <w:szCs w:val="24"/>
          <w:lang w:val="es-ES"/>
        </w:rPr>
        <w:t>á</w:t>
      </w:r>
      <w:r w:rsidR="00523243" w:rsidRPr="00276746">
        <w:rPr>
          <w:rFonts w:ascii="Tahoma" w:hAnsi="Tahoma" w:cs="Tahoma"/>
          <w:sz w:val="24"/>
          <w:szCs w:val="24"/>
          <w:lang w:val="es-ES"/>
        </w:rPr>
        <w:t xml:space="preserve"> facultado para generar</w:t>
      </w:r>
      <w:r w:rsidR="005E6C05">
        <w:rPr>
          <w:rFonts w:ascii="Tahoma" w:hAnsi="Tahoma" w:cs="Tahoma"/>
          <w:sz w:val="24"/>
          <w:szCs w:val="24"/>
          <w:lang w:val="es-ES"/>
        </w:rPr>
        <w:t xml:space="preserve"> la información</w:t>
      </w:r>
      <w:r w:rsidR="00D25D76">
        <w:rPr>
          <w:rFonts w:ascii="Tahoma" w:hAnsi="Tahoma" w:cs="Tahoma"/>
          <w:sz w:val="24"/>
          <w:szCs w:val="24"/>
          <w:lang w:val="es-ES"/>
        </w:rPr>
        <w:t xml:space="preserve">. </w:t>
      </w:r>
      <w:bookmarkStart w:id="0" w:name="_GoBack"/>
      <w:bookmarkEnd w:id="0"/>
    </w:p>
    <w:p w14:paraId="2F91933B" w14:textId="77777777" w:rsidR="00276746" w:rsidRPr="00276746" w:rsidRDefault="00276746" w:rsidP="00276746">
      <w:pPr>
        <w:spacing w:after="0"/>
        <w:jc w:val="both"/>
        <w:rPr>
          <w:rFonts w:ascii="Tahoma" w:hAnsi="Tahoma" w:cs="Tahoma"/>
          <w:sz w:val="24"/>
          <w:szCs w:val="24"/>
          <w:lang w:val="es-ES"/>
        </w:rPr>
      </w:pPr>
    </w:p>
    <w:p w14:paraId="7ECA0743" w14:textId="77777777" w:rsidR="00523243" w:rsidRPr="00276746" w:rsidRDefault="00276746" w:rsidP="00276746">
      <w:pPr>
        <w:pStyle w:val="Default"/>
        <w:jc w:val="both"/>
        <w:rPr>
          <w:rFonts w:ascii="Tahoma" w:hAnsi="Tahoma" w:cs="Tahoma"/>
        </w:rPr>
      </w:pPr>
      <w:r w:rsidRPr="00276746">
        <w:rPr>
          <w:rFonts w:ascii="Tahoma" w:hAnsi="Tahoma" w:cs="Tahoma"/>
          <w:b/>
          <w:bCs/>
        </w:rPr>
        <w:t>NO SE GENERÓ</w:t>
      </w:r>
      <w:r w:rsidR="00523243" w:rsidRPr="00276746">
        <w:rPr>
          <w:rFonts w:ascii="Tahoma" w:hAnsi="Tahoma" w:cs="Tahoma"/>
          <w:b/>
          <w:bCs/>
        </w:rPr>
        <w:t xml:space="preserve"> INFORMACIÓN. </w:t>
      </w:r>
    </w:p>
    <w:p w14:paraId="27858476" w14:textId="77777777" w:rsidR="00523243" w:rsidRPr="00276746" w:rsidRDefault="00523243" w:rsidP="00276746">
      <w:pPr>
        <w:pStyle w:val="Default"/>
        <w:jc w:val="both"/>
        <w:rPr>
          <w:rFonts w:ascii="Tahoma" w:hAnsi="Tahoma" w:cs="Tahoma"/>
          <w:b/>
          <w:bCs/>
        </w:rPr>
      </w:pPr>
      <w:r w:rsidRPr="00276746">
        <w:rPr>
          <w:rFonts w:ascii="Tahoma" w:hAnsi="Tahoma" w:cs="Tahoma"/>
          <w:b/>
          <w:bCs/>
        </w:rPr>
        <w:t>LEY DE AUDITORIA SUPERI</w:t>
      </w:r>
      <w:r w:rsidR="00276746" w:rsidRPr="00276746">
        <w:rPr>
          <w:rFonts w:ascii="Tahoma" w:hAnsi="Tahoma" w:cs="Tahoma"/>
          <w:b/>
          <w:bCs/>
        </w:rPr>
        <w:t>OR DEL ESTADO DE SAN LUIS POTOSÍ.</w:t>
      </w:r>
      <w:r w:rsidRPr="00276746">
        <w:rPr>
          <w:rFonts w:ascii="Tahoma" w:hAnsi="Tahoma" w:cs="Tahoma"/>
          <w:b/>
          <w:bCs/>
        </w:rPr>
        <w:t xml:space="preserve">  </w:t>
      </w:r>
    </w:p>
    <w:p w14:paraId="483764BB" w14:textId="77777777" w:rsidR="00523243" w:rsidRPr="00276746" w:rsidRDefault="00523243" w:rsidP="00276746">
      <w:pPr>
        <w:pStyle w:val="Default"/>
        <w:jc w:val="both"/>
        <w:rPr>
          <w:rFonts w:ascii="Tahoma" w:hAnsi="Tahoma" w:cs="Tahoma"/>
        </w:rPr>
      </w:pPr>
    </w:p>
    <w:p w14:paraId="102026D0" w14:textId="77777777" w:rsidR="00276746" w:rsidRPr="00276746" w:rsidRDefault="00523243" w:rsidP="00276746">
      <w:pPr>
        <w:pStyle w:val="Default"/>
        <w:jc w:val="both"/>
        <w:rPr>
          <w:rFonts w:ascii="Tahoma" w:hAnsi="Tahoma" w:cs="Tahoma"/>
        </w:rPr>
      </w:pPr>
      <w:r w:rsidRPr="00276746">
        <w:rPr>
          <w:rFonts w:ascii="Tahoma" w:hAnsi="Tahoma" w:cs="Tahoma"/>
        </w:rPr>
        <w:t>ARTICULO 51. La Auditoría Superior del Estado, en ejercicio de sus facultades de fiscalización, podrá realizar revisiones, visitas y auditorías durante el ejercicio fiscal en curso, en términos de lo previsto en la presente Ley, respecto de las acciones, obras y programas reportados como concluidos; en caso contrario, sólo podrá realizar visitas y auditorías a partir de que la comisión le haga entrega de la cuenta pública, así como en los casos de revisión de situaciones excepcionales que dispone esta Ley. (REFORMADO P.O. 12 DE NOVIEMBRE DE 2009)</w:t>
      </w:r>
      <w:r w:rsidR="00276746" w:rsidRPr="00276746">
        <w:rPr>
          <w:rFonts w:ascii="Tahoma" w:hAnsi="Tahoma" w:cs="Tahoma"/>
        </w:rPr>
        <w:t>.</w:t>
      </w:r>
    </w:p>
    <w:p w14:paraId="3C7DBAFA" w14:textId="77777777" w:rsidR="00523243" w:rsidRPr="00276746" w:rsidRDefault="00523243" w:rsidP="00276746">
      <w:pPr>
        <w:pStyle w:val="Default"/>
        <w:jc w:val="both"/>
        <w:rPr>
          <w:rFonts w:ascii="Tahoma" w:hAnsi="Tahoma" w:cs="Tahoma"/>
        </w:rPr>
      </w:pPr>
      <w:r w:rsidRPr="00276746">
        <w:rPr>
          <w:rFonts w:ascii="Tahoma" w:hAnsi="Tahoma" w:cs="Tahoma"/>
        </w:rPr>
        <w:t xml:space="preserve"> </w:t>
      </w:r>
    </w:p>
    <w:p w14:paraId="3E7AD240" w14:textId="77777777" w:rsidR="00523243" w:rsidRPr="00276746" w:rsidRDefault="00523243" w:rsidP="00276746">
      <w:pPr>
        <w:pStyle w:val="Default"/>
        <w:jc w:val="both"/>
        <w:rPr>
          <w:rFonts w:ascii="Tahoma" w:hAnsi="Tahoma" w:cs="Tahoma"/>
        </w:rPr>
      </w:pPr>
      <w:r w:rsidRPr="00276746">
        <w:rPr>
          <w:rFonts w:ascii="Tahoma" w:hAnsi="Tahoma" w:cs="Tahoma"/>
        </w:rPr>
        <w:t xml:space="preserve">ARTICULO 52. Las visitas, auditorías, inspecciones, revisiones, y ejecuciones que se efectúen en los términos de esta Ley, se practicarán por el personal expresamente comisionado para el efecto por el Auditor Superior del Estado, o mediante la contratación de prestadores de servicios profesionales, habilitados por él mismo, para efectuar visitas, auditorías, inspecciones, revisiones y ejecuciones, siempre y cuando no exista conflicto de intereses. Las personas a que se refiere el párrafo anterior tendrán el carácter de representantes de la Auditoría Superior del Estado, en lo concerniente a la comisión conferida. Para tal efecto, deberán presentar previamente el oficio de comisión respectivo y, en su caso, orden de visita, e </w:t>
      </w:r>
      <w:proofErr w:type="gramStart"/>
      <w:r w:rsidRPr="00276746">
        <w:rPr>
          <w:rFonts w:ascii="Tahoma" w:hAnsi="Tahoma" w:cs="Tahoma"/>
        </w:rPr>
        <w:t>identificarse</w:t>
      </w:r>
      <w:proofErr w:type="gramEnd"/>
      <w:r w:rsidRPr="00276746">
        <w:rPr>
          <w:rFonts w:ascii="Tahoma" w:hAnsi="Tahoma" w:cs="Tahoma"/>
        </w:rPr>
        <w:t xml:space="preserve"> plenamente como personal actuante de la Auditoría Superior del Estado. </w:t>
      </w:r>
    </w:p>
    <w:p w14:paraId="08E0BB64" w14:textId="77777777" w:rsidR="00523243" w:rsidRPr="00276746" w:rsidRDefault="00523243" w:rsidP="00276746">
      <w:pPr>
        <w:pStyle w:val="Default"/>
        <w:jc w:val="both"/>
        <w:rPr>
          <w:rFonts w:ascii="Tahoma" w:hAnsi="Tahoma" w:cs="Tahoma"/>
        </w:rPr>
      </w:pPr>
    </w:p>
    <w:p w14:paraId="3081B283" w14:textId="62CBC935" w:rsidR="00523243" w:rsidRPr="00276746" w:rsidRDefault="00276746" w:rsidP="00DB3EA5">
      <w:pPr>
        <w:spacing w:after="0"/>
        <w:jc w:val="both"/>
        <w:rPr>
          <w:rFonts w:ascii="Tahoma" w:hAnsi="Tahoma" w:cs="Tahoma"/>
          <w:sz w:val="24"/>
          <w:szCs w:val="24"/>
          <w:lang w:val="es-ES"/>
        </w:rPr>
      </w:pPr>
      <w:r w:rsidRPr="00276746">
        <w:rPr>
          <w:rFonts w:ascii="Tahoma" w:hAnsi="Tahoma" w:cs="Tahoma"/>
          <w:b/>
          <w:bCs/>
          <w:sz w:val="24"/>
          <w:szCs w:val="24"/>
        </w:rPr>
        <w:t>LA ADMINISTRACIÓN PÚ</w:t>
      </w:r>
      <w:r w:rsidR="00A603CA" w:rsidRPr="00276746">
        <w:rPr>
          <w:rFonts w:ascii="Tahoma" w:hAnsi="Tahoma" w:cs="Tahoma"/>
          <w:b/>
          <w:bCs/>
          <w:sz w:val="24"/>
          <w:szCs w:val="24"/>
        </w:rPr>
        <w:t xml:space="preserve">BLICA DEL 2021-2024 NO </w:t>
      </w:r>
      <w:r w:rsidRPr="00276746">
        <w:rPr>
          <w:rFonts w:ascii="Tahoma" w:hAnsi="Tahoma" w:cs="Tahoma"/>
          <w:b/>
          <w:bCs/>
          <w:sz w:val="24"/>
          <w:szCs w:val="24"/>
        </w:rPr>
        <w:t>EJECUTÓ AUDITORÍ</w:t>
      </w:r>
      <w:r w:rsidR="008741CC">
        <w:rPr>
          <w:rFonts w:ascii="Tahoma" w:hAnsi="Tahoma" w:cs="Tahoma"/>
          <w:b/>
          <w:bCs/>
          <w:sz w:val="24"/>
          <w:szCs w:val="24"/>
        </w:rPr>
        <w:t xml:space="preserve">AS EN EL MES DE </w:t>
      </w:r>
      <w:r w:rsidR="00D25D76">
        <w:rPr>
          <w:rFonts w:ascii="Tahoma" w:hAnsi="Tahoma" w:cs="Tahoma"/>
          <w:b/>
          <w:bCs/>
          <w:sz w:val="24"/>
          <w:szCs w:val="24"/>
        </w:rPr>
        <w:t>DICIEMBRE</w:t>
      </w:r>
      <w:r w:rsidR="00C1722D">
        <w:rPr>
          <w:rFonts w:ascii="Tahoma" w:hAnsi="Tahoma" w:cs="Tahoma"/>
          <w:b/>
          <w:bCs/>
          <w:sz w:val="24"/>
          <w:szCs w:val="24"/>
        </w:rPr>
        <w:t xml:space="preserve"> DE 202</w:t>
      </w:r>
      <w:r w:rsidR="00D25D76">
        <w:rPr>
          <w:rFonts w:ascii="Tahoma" w:hAnsi="Tahoma" w:cs="Tahoma"/>
          <w:b/>
          <w:bCs/>
          <w:sz w:val="24"/>
          <w:szCs w:val="24"/>
        </w:rPr>
        <w:t>3</w:t>
      </w:r>
      <w:r w:rsidR="00A603CA" w:rsidRPr="00276746">
        <w:rPr>
          <w:rFonts w:ascii="Tahoma" w:hAnsi="Tahoma" w:cs="Tahoma"/>
          <w:b/>
          <w:bCs/>
          <w:sz w:val="24"/>
          <w:szCs w:val="24"/>
        </w:rPr>
        <w:t>, CONFORME LO ESTABLECE EL ARTICULO ANTERIORMENTE CITADO</w:t>
      </w:r>
      <w:r w:rsidRPr="00276746">
        <w:rPr>
          <w:rFonts w:ascii="Tahoma" w:hAnsi="Tahoma" w:cs="Tahoma"/>
          <w:b/>
          <w:bCs/>
          <w:sz w:val="24"/>
          <w:szCs w:val="24"/>
        </w:rPr>
        <w:t>.</w:t>
      </w:r>
    </w:p>
    <w:p w14:paraId="7AAA147E" w14:textId="77777777" w:rsidR="00523243" w:rsidRPr="006724B2" w:rsidRDefault="00523243" w:rsidP="00523243">
      <w:pPr>
        <w:ind w:left="1416"/>
        <w:jc w:val="both"/>
        <w:rPr>
          <w:lang w:val="es-ES"/>
        </w:rPr>
      </w:pPr>
    </w:p>
    <w:p w14:paraId="69E11BDC" w14:textId="77777777" w:rsidR="008A5F9D" w:rsidRDefault="008A5F9D" w:rsidP="00315B80">
      <w:pPr>
        <w:ind w:left="1416"/>
        <w:rPr>
          <w:lang w:val="es-ES"/>
        </w:rPr>
      </w:pPr>
    </w:p>
    <w:p w14:paraId="333B40DD" w14:textId="77777777" w:rsidR="000650A9" w:rsidRPr="000650A9" w:rsidRDefault="000650A9" w:rsidP="00D25D76">
      <w:pPr>
        <w:rPr>
          <w:lang w:val="es-ES"/>
        </w:rPr>
      </w:pPr>
    </w:p>
    <w:sectPr w:rsidR="000650A9" w:rsidRPr="000650A9" w:rsidSect="00AF3720">
      <w:headerReference w:type="default" r:id="rId9"/>
      <w:footerReference w:type="default" r:id="rId10"/>
      <w:pgSz w:w="12240" w:h="15840"/>
      <w:pgMar w:top="2552" w:right="1608" w:bottom="1560"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F5C10C2" w14:textId="77777777" w:rsidR="005A74C3" w:rsidRDefault="005A74C3" w:rsidP="004A39A2">
      <w:pPr>
        <w:spacing w:after="0" w:line="240" w:lineRule="auto"/>
      </w:pPr>
      <w:r>
        <w:separator/>
      </w:r>
    </w:p>
  </w:endnote>
  <w:endnote w:type="continuationSeparator" w:id="0">
    <w:p w14:paraId="0F4AFDED" w14:textId="77777777" w:rsidR="005A74C3" w:rsidRDefault="005A74C3" w:rsidP="004A39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822F10" w14:textId="77777777" w:rsidR="004A39A2" w:rsidRPr="00AF3720" w:rsidRDefault="005A74C3" w:rsidP="004A39A2">
    <w:pPr>
      <w:autoSpaceDE w:val="0"/>
      <w:autoSpaceDN w:val="0"/>
      <w:adjustRightInd w:val="0"/>
      <w:spacing w:after="0" w:line="240" w:lineRule="auto"/>
      <w:jc w:val="center"/>
      <w:rPr>
        <w:rFonts w:ascii="Arial" w:hAnsi="Arial" w:cs="Arial"/>
        <w:b/>
        <w:bCs/>
        <w:color w:val="373334"/>
        <w:sz w:val="18"/>
        <w:szCs w:val="18"/>
      </w:rPr>
    </w:pPr>
    <w:r>
      <w:rPr>
        <w:rFonts w:ascii="Arial" w:hAnsi="Arial" w:cs="Arial"/>
        <w:b/>
        <w:bCs/>
        <w:noProof/>
        <w:color w:val="373334"/>
        <w:sz w:val="18"/>
        <w:szCs w:val="18"/>
        <w:lang w:eastAsia="es-MX"/>
      </w:rPr>
      <w:pict w14:anchorId="49C150D5">
        <v:shapetype id="_x0000_t32" coordsize="21600,21600" o:spt="32" o:oned="t" path="m,l21600,21600e" filled="f">
          <v:path arrowok="t" fillok="f" o:connecttype="none"/>
          <o:lock v:ext="edit" shapetype="t"/>
        </v:shapetype>
        <v:shape id="AutoShape 1" o:spid="_x0000_s2049" type="#_x0000_t32" style="position:absolute;left:0;text-align:left;margin-left:-28.1pt;margin-top:-10.45pt;width:502.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" strokecolor="#05522a" strokeweight="1.5pt"/>
      </w:pict>
    </w:r>
    <w:r w:rsidR="004A39A2" w:rsidRPr="00AF3720">
      <w:rPr>
        <w:rFonts w:ascii="Arial" w:hAnsi="Arial" w:cs="Arial"/>
        <w:b/>
        <w:bCs/>
        <w:color w:val="373334"/>
        <w:sz w:val="18"/>
        <w:szCs w:val="18"/>
      </w:rPr>
      <w:t>R.F.C. MCS850101FD4 VICTORIA No. 8, CEDRAL, S.L.P. CODIGO POSTAL 78520</w:t>
    </w:r>
  </w:p>
  <w:p w14:paraId="15544F48" w14:textId="77777777" w:rsidR="004A39A2" w:rsidRPr="00AF3720" w:rsidRDefault="004A39A2" w:rsidP="004A39A2">
    <w:pPr>
      <w:pStyle w:val="Piedepgina"/>
      <w:jc w:val="center"/>
      <w:rPr>
        <w:rFonts w:ascii="Arial" w:hAnsi="Arial" w:cs="Arial"/>
        <w:sz w:val="18"/>
        <w:szCs w:val="18"/>
      </w:rPr>
    </w:pPr>
    <w:r w:rsidRPr="00AF3720">
      <w:rPr>
        <w:rFonts w:ascii="Arial" w:hAnsi="Arial" w:cs="Arial"/>
        <w:b/>
        <w:bCs/>
        <w:color w:val="373334"/>
        <w:sz w:val="18"/>
        <w:szCs w:val="18"/>
      </w:rPr>
      <w:t>TELEFONO: 488 88 7 02 22 FAX: 488 88 7 02 20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7F4F52B" w14:textId="77777777" w:rsidR="005A74C3" w:rsidRDefault="005A74C3" w:rsidP="004A39A2">
      <w:pPr>
        <w:spacing w:after="0" w:line="240" w:lineRule="auto"/>
      </w:pPr>
      <w:r>
        <w:separator/>
      </w:r>
    </w:p>
  </w:footnote>
  <w:footnote w:type="continuationSeparator" w:id="0">
    <w:p w14:paraId="6013AC93" w14:textId="77777777" w:rsidR="005A74C3" w:rsidRDefault="005A74C3" w:rsidP="004A39A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12C08E" w14:textId="77777777" w:rsidR="004A39A2" w:rsidRDefault="00AF3720">
    <w:pPr>
      <w:pStyle w:val="Encabezado"/>
    </w:pPr>
    <w:r>
      <w:rPr>
        <w:noProof/>
        <w:lang w:eastAsia="es-MX"/>
      </w:rPr>
      <w:drawing>
        <wp:anchor distT="0" distB="0" distL="114300" distR="114300" simplePos="0" relativeHeight="251657216" behindDoc="0" locked="0" layoutInCell="1" allowOverlap="1" wp14:anchorId="00A037BE" wp14:editId="1D871E6F">
          <wp:simplePos x="0" y="0"/>
          <wp:positionH relativeFrom="column">
            <wp:posOffset>-588645</wp:posOffset>
          </wp:positionH>
          <wp:positionV relativeFrom="paragraph">
            <wp:posOffset>32385</wp:posOffset>
          </wp:positionV>
          <wp:extent cx="1066800" cy="1187450"/>
          <wp:effectExtent l="0" t="0" r="0" b="0"/>
          <wp:wrapNone/>
          <wp:docPr id="120" name="Imagen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cstate="print">
                    <a:extLst>
                      <a:ext uri="{28A0092B-C50C-407E-A947-70E740481C1C}">
                        <a14:useLocalDpi xmlns:a14="http://schemas.microsoft.com/office/drawing/2010/main" val="0"/>
                      </a:ext>
                    </a:extLst>
                  </a:blip>
                  <a:srcRect l="8373" t="28779" r="72618" b="33588"/>
                  <a:stretch/>
                </pic:blipFill>
                <pic:spPr bwMode="auto">
                  <a:xfrm>
                    <a:off x="0" y="0"/>
                    <a:ext cx="1066800" cy="1187450"/>
                  </a:xfrm>
                  <a:prstGeom prst="rect">
                    <a:avLst/>
                  </a:prstGeom>
                  <a:ln>
                    <a:noFill/>
                  </a:ln>
                  <a:extLst>
                    <a:ext uri="{53640926-AAD7-44D8-BBD7-CCE9431645EC}">
                      <a14:shadowObscured xmlns:a14="http://schemas.microsoft.com/office/drawing/2010/main"/>
                    </a:ext>
                  </a:extLst>
                </pic:spPr>
              </pic:pic>
            </a:graphicData>
          </a:graphic>
        </wp:anchor>
      </w:drawing>
    </w:r>
    <w:r>
      <w:rPr>
        <w:noProof/>
        <w:lang w:eastAsia="es-MX"/>
      </w:rPr>
      <w:drawing>
        <wp:anchor distT="0" distB="0" distL="114300" distR="114300" simplePos="0" relativeHeight="251663360" behindDoc="1" locked="0" layoutInCell="1" allowOverlap="1" wp14:anchorId="63A75AD2" wp14:editId="26540F1B">
          <wp:simplePos x="0" y="0"/>
          <wp:positionH relativeFrom="column">
            <wp:posOffset>866273</wp:posOffset>
          </wp:positionH>
          <wp:positionV relativeFrom="paragraph">
            <wp:posOffset>2333491</wp:posOffset>
          </wp:positionV>
          <wp:extent cx="3905250" cy="4457700"/>
          <wp:effectExtent l="0" t="0" r="0" b="0"/>
          <wp:wrapNone/>
          <wp:docPr id="121" name="Imagen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lum bright="70000" contrast="-70000"/>
                    <a:extLst>
                      <a:ext uri="{28A0092B-C50C-407E-A947-70E740481C1C}">
                        <a14:useLocalDpi xmlns:a14="http://schemas.microsoft.com/office/drawing/2010/main" val="0"/>
                      </a:ext>
                    </a:extLst>
                  </a:blip>
                  <a:srcRect/>
                  <a:stretch>
                    <a:fillRect/>
                  </a:stretch>
                </pic:blipFill>
                <pic:spPr bwMode="auto">
                  <a:xfrm>
                    <a:off x="0" y="0"/>
                    <a:ext cx="3905250" cy="4457700"/>
                  </a:xfrm>
                  <a:prstGeom prst="rect">
                    <a:avLst/>
                  </a:prstGeom>
                  <a:noFill/>
                  <a:ln>
                    <a:noFill/>
                  </a:ln>
                </pic:spPr>
              </pic:pic>
            </a:graphicData>
          </a:graphic>
        </wp:anchor>
      </w:drawing>
    </w:r>
    <w:r w:rsidR="005A74C3">
      <w:rPr>
        <w:noProof/>
        <w:lang w:eastAsia="es-MX"/>
      </w:rPr>
      <w:pict w14:anchorId="01D454AE">
        <v:shapetype id="_x0000_t32" coordsize="21600,21600" o:spt="32" o:oned="t" path="m,l21600,21600e" filled="f">
          <v:path arrowok="t" fillok="f" o:connecttype="none"/>
          <o:lock v:ext="edit" shapetype="t"/>
        </v:shapetype>
        <v:shape id="AutoShape 4" o:spid="_x0000_s2050" type="#_x0000_t32" style="position:absolute;margin-left:-33.25pt;margin-top:25.35pt;width:510.25pt;height:0;z-index:2516572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" strokecolor="#05522a" strokeweight="1.5pt"/>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4C6BB3"/>
    <w:multiLevelType w:val="hybridMultilevel"/>
    <w:tmpl w:val="0658D2D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7DF91FE7"/>
    <w:multiLevelType w:val="hybridMultilevel"/>
    <w:tmpl w:val="67000B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activeWritingStyle w:appName="MSWord" w:lang="es-MX" w:vendorID="64" w:dllVersion="6" w:nlCheck="1" w:checkStyle="0"/>
  <w:activeWritingStyle w:appName="MSWord" w:lang="es-ES" w:vendorID="64" w:dllVersion="6" w:nlCheck="1" w:checkStyle="0"/>
  <w:activeWritingStyle w:appName="MSWord" w:lang="es-ES" w:vendorID="64" w:dllVersion="4096" w:nlCheck="1" w:checkStyle="0"/>
  <w:activeWritingStyle w:appName="MSWord" w:lang="es-MX" w:vendorID="64" w:dllVersion="4096" w:nlCheck="1" w:checkStyle="0"/>
  <w:activeWritingStyle w:appName="MSWord" w:lang="es-ES" w:vendorID="64" w:dllVersion="131078" w:nlCheck="1" w:checkStyle="1"/>
  <w:activeWritingStyle w:appName="MSWord" w:lang="es-MX" w:vendorID="64" w:dllVersion="131078" w:nlCheck="1" w:checkStyle="1"/>
  <w:proofState w:spelling="clean" w:grammar="clean"/>
  <w:defaultTabStop w:val="708"/>
  <w:hyphenationZone w:val="425"/>
  <w:characterSpacingControl w:val="doNotCompress"/>
  <w:hdrShapeDefaults>
    <o:shapedefaults v:ext="edit" spidmax="2051">
      <o:colormru v:ext="edit" colors="#05522a"/>
    </o:shapedefaults>
    <o:shapelayout v:ext="edit">
      <o:idmap v:ext="edit" data="2"/>
      <o:rules v:ext="edit">
        <o:r id="V:Rule1" type="connector" idref="#AutoShape 4"/>
        <o:r id="V:Rule2" type="connector" idref="#AutoShape 1"/>
      </o:rules>
    </o:shapelayout>
  </w:hdrShapeDefaults>
  <w:footnotePr>
    <w:footnote w:id="-1"/>
    <w:footnote w:id="0"/>
  </w:footnotePr>
  <w:endnotePr>
    <w:endnote w:id="-1"/>
    <w:endnote w:id="0"/>
  </w:endnotePr>
  <w:compat>
    <w:compatSetting w:name="compatibilityMode" w:uri="http://schemas.microsoft.com/office/word" w:val="12"/>
  </w:compat>
  <w:rsids>
    <w:rsidRoot w:val="004A39A2"/>
    <w:rsid w:val="00020CF8"/>
    <w:rsid w:val="000276DA"/>
    <w:rsid w:val="000650A9"/>
    <w:rsid w:val="00067C86"/>
    <w:rsid w:val="000716C0"/>
    <w:rsid w:val="000840BB"/>
    <w:rsid w:val="00090DEC"/>
    <w:rsid w:val="000A1C19"/>
    <w:rsid w:val="000E5B20"/>
    <w:rsid w:val="00106D95"/>
    <w:rsid w:val="0013231C"/>
    <w:rsid w:val="00186BF1"/>
    <w:rsid w:val="001C29AC"/>
    <w:rsid w:val="001F07B5"/>
    <w:rsid w:val="0021025B"/>
    <w:rsid w:val="00276746"/>
    <w:rsid w:val="002A1C2F"/>
    <w:rsid w:val="002A594E"/>
    <w:rsid w:val="00315B80"/>
    <w:rsid w:val="00442763"/>
    <w:rsid w:val="004427FB"/>
    <w:rsid w:val="004620F7"/>
    <w:rsid w:val="00486956"/>
    <w:rsid w:val="004A39A2"/>
    <w:rsid w:val="004B46EC"/>
    <w:rsid w:val="004C6540"/>
    <w:rsid w:val="00523243"/>
    <w:rsid w:val="00527E06"/>
    <w:rsid w:val="00583C99"/>
    <w:rsid w:val="005A0B66"/>
    <w:rsid w:val="005A1E9C"/>
    <w:rsid w:val="005A74C3"/>
    <w:rsid w:val="005B45CC"/>
    <w:rsid w:val="005B56B4"/>
    <w:rsid w:val="005D0086"/>
    <w:rsid w:val="005E53ED"/>
    <w:rsid w:val="005E6C05"/>
    <w:rsid w:val="005F33E6"/>
    <w:rsid w:val="006069E2"/>
    <w:rsid w:val="00626708"/>
    <w:rsid w:val="00634A88"/>
    <w:rsid w:val="00651A98"/>
    <w:rsid w:val="006629CD"/>
    <w:rsid w:val="00664F7C"/>
    <w:rsid w:val="00667DEF"/>
    <w:rsid w:val="006D5516"/>
    <w:rsid w:val="006F470D"/>
    <w:rsid w:val="00703941"/>
    <w:rsid w:val="00745443"/>
    <w:rsid w:val="007641AC"/>
    <w:rsid w:val="007A2203"/>
    <w:rsid w:val="007F1A00"/>
    <w:rsid w:val="00864207"/>
    <w:rsid w:val="008741CC"/>
    <w:rsid w:val="00891CED"/>
    <w:rsid w:val="008A5F9D"/>
    <w:rsid w:val="008B3635"/>
    <w:rsid w:val="008C7988"/>
    <w:rsid w:val="008E103A"/>
    <w:rsid w:val="00935B7D"/>
    <w:rsid w:val="00943BE9"/>
    <w:rsid w:val="00962C4B"/>
    <w:rsid w:val="009C007A"/>
    <w:rsid w:val="009D0C5D"/>
    <w:rsid w:val="009F3D30"/>
    <w:rsid w:val="00A325F6"/>
    <w:rsid w:val="00A603CA"/>
    <w:rsid w:val="00A77A14"/>
    <w:rsid w:val="00A82389"/>
    <w:rsid w:val="00A91B18"/>
    <w:rsid w:val="00A975F6"/>
    <w:rsid w:val="00AB63D3"/>
    <w:rsid w:val="00AF3720"/>
    <w:rsid w:val="00AF7BA4"/>
    <w:rsid w:val="00B201B3"/>
    <w:rsid w:val="00B8686E"/>
    <w:rsid w:val="00B9322A"/>
    <w:rsid w:val="00BC4E70"/>
    <w:rsid w:val="00C1722D"/>
    <w:rsid w:val="00C23A23"/>
    <w:rsid w:val="00CC715A"/>
    <w:rsid w:val="00CD4C78"/>
    <w:rsid w:val="00D25D76"/>
    <w:rsid w:val="00D350CD"/>
    <w:rsid w:val="00D765E2"/>
    <w:rsid w:val="00D83C94"/>
    <w:rsid w:val="00DB3EA5"/>
    <w:rsid w:val="00DC054E"/>
    <w:rsid w:val="00E00F55"/>
    <w:rsid w:val="00E43467"/>
    <w:rsid w:val="00E516A6"/>
    <w:rsid w:val="00E71E84"/>
    <w:rsid w:val="00E95A6D"/>
    <w:rsid w:val="00E97C2B"/>
    <w:rsid w:val="00F05F45"/>
    <w:rsid w:val="00F55DD4"/>
    <w:rsid w:val="00F74D05"/>
    <w:rsid w:val="00FB6621"/>
    <w:rsid w:val="00FD3A4B"/>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1">
      <o:colormru v:ext="edit" colors="#05522a"/>
    </o:shapedefaults>
    <o:shapelayout v:ext="edit">
      <o:idmap v:ext="edit" data="1"/>
    </o:shapelayout>
  </w:shapeDefaults>
  <w:decimalSymbol w:val="."/>
  <w:listSeparator w:val=","/>
  <w14:docId w14:val="6E9A23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63D3"/>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39A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39A2"/>
  </w:style>
  <w:style w:type="paragraph" w:styleId="Piedepgina">
    <w:name w:val="footer"/>
    <w:basedOn w:val="Normal"/>
    <w:link w:val="PiedepginaCar"/>
    <w:uiPriority w:val="99"/>
    <w:unhideWhenUsed/>
    <w:rsid w:val="004A39A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39A2"/>
  </w:style>
  <w:style w:type="paragraph" w:styleId="Prrafodelista">
    <w:name w:val="List Paragraph"/>
    <w:basedOn w:val="Normal"/>
    <w:uiPriority w:val="34"/>
    <w:qFormat/>
    <w:rsid w:val="00106D95"/>
    <w:pPr>
      <w:spacing w:after="160" w:line="259" w:lineRule="auto"/>
      <w:ind w:left="720"/>
      <w:contextualSpacing/>
    </w:pPr>
  </w:style>
  <w:style w:type="paragraph" w:styleId="Textodeglobo">
    <w:name w:val="Balloon Text"/>
    <w:basedOn w:val="Normal"/>
    <w:link w:val="TextodegloboCar"/>
    <w:uiPriority w:val="99"/>
    <w:semiHidden/>
    <w:unhideWhenUsed/>
    <w:rsid w:val="0086420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64207"/>
    <w:rPr>
      <w:rFonts w:ascii="Segoe UI" w:hAnsi="Segoe UI" w:cs="Segoe UI"/>
      <w:sz w:val="18"/>
      <w:szCs w:val="18"/>
    </w:rPr>
  </w:style>
  <w:style w:type="paragraph" w:customStyle="1" w:styleId="Default">
    <w:name w:val="Default"/>
    <w:rsid w:val="00523243"/>
    <w:pPr>
      <w:autoSpaceDE w:val="0"/>
      <w:autoSpaceDN w:val="0"/>
      <w:adjustRightInd w:val="0"/>
      <w:spacing w:after="0" w:line="240" w:lineRule="auto"/>
    </w:pPr>
    <w:rPr>
      <w:rFonts w:ascii="Calibri" w:hAnsi="Calibri" w:cs="Calibri"/>
      <w:color w:val="000000"/>
      <w:sz w:val="24"/>
      <w:szCs w:val="24"/>
      <w:lang w:val="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39CFAE-32AF-41B4-816C-9D5A62C4DF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1</Pages>
  <Words>259</Words>
  <Characters>1429</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1685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CONTAS</dc:creator>
  <cp:lastModifiedBy>Transparencia-Cedral</cp:lastModifiedBy>
  <cp:revision>48</cp:revision>
  <cp:lastPrinted>2021-11-09T19:23:00Z</cp:lastPrinted>
  <dcterms:created xsi:type="dcterms:W3CDTF">2021-10-18T18:23:00Z</dcterms:created>
  <dcterms:modified xsi:type="dcterms:W3CDTF">2024-03-21T18:48:00Z</dcterms:modified>
</cp:coreProperties>
</file>