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drawings/drawing1.xml" ContentType="application/vnd.openxmlformats-officedocument.drawingml.chartshap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474B" w:rsidRDefault="001E751F" w:rsidP="0057235A">
      <w:pPr>
        <w:jc w:val="both"/>
        <w:rPr>
          <w:sz w:val="28"/>
        </w:rPr>
      </w:pPr>
      <w:r>
        <w:rPr>
          <w:sz w:val="28"/>
        </w:rPr>
        <w:t>Inf</w:t>
      </w:r>
      <w:r w:rsidR="00E42F57">
        <w:rPr>
          <w:sz w:val="28"/>
        </w:rPr>
        <w:t>or</w:t>
      </w:r>
      <w:r w:rsidR="00D95155">
        <w:rPr>
          <w:sz w:val="28"/>
        </w:rPr>
        <w:t>me estadístico del mes de agosto</w:t>
      </w:r>
      <w:r w:rsidR="004332B0">
        <w:rPr>
          <w:sz w:val="28"/>
        </w:rPr>
        <w:t xml:space="preserve"> 2023</w:t>
      </w:r>
    </w:p>
    <w:p w:rsidR="00A9474B" w:rsidRPr="0057235A" w:rsidRDefault="00A9474B" w:rsidP="00A9474B">
      <w:r>
        <w:rPr>
          <w:noProof/>
          <w:lang w:val="es-MX" w:eastAsia="es-MX"/>
        </w:rPr>
        <w:drawing>
          <wp:inline distT="0" distB="0" distL="0" distR="0">
            <wp:extent cx="5400040" cy="5952930"/>
            <wp:effectExtent l="0" t="0" r="10160" b="10160"/>
            <wp:docPr id="1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  <w:bookmarkStart w:id="0" w:name="_GoBack"/>
      <w:bookmarkEnd w:id="0"/>
    </w:p>
    <w:sectPr w:rsidR="00A9474B" w:rsidRPr="0057235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14CC"/>
    <w:rsid w:val="000B3C05"/>
    <w:rsid w:val="001E751F"/>
    <w:rsid w:val="0038701D"/>
    <w:rsid w:val="003A6466"/>
    <w:rsid w:val="003E2F23"/>
    <w:rsid w:val="004332B0"/>
    <w:rsid w:val="004A4B69"/>
    <w:rsid w:val="004C75DB"/>
    <w:rsid w:val="0057235A"/>
    <w:rsid w:val="006B0770"/>
    <w:rsid w:val="006C138E"/>
    <w:rsid w:val="00797F4D"/>
    <w:rsid w:val="00825DAC"/>
    <w:rsid w:val="00845007"/>
    <w:rsid w:val="008E3427"/>
    <w:rsid w:val="009114CC"/>
    <w:rsid w:val="009B15FF"/>
    <w:rsid w:val="00A9474B"/>
    <w:rsid w:val="00B64AC6"/>
    <w:rsid w:val="00BB5221"/>
    <w:rsid w:val="00C46F6C"/>
    <w:rsid w:val="00CE21B7"/>
    <w:rsid w:val="00CE24AF"/>
    <w:rsid w:val="00D77D8C"/>
    <w:rsid w:val="00D95155"/>
    <w:rsid w:val="00D97073"/>
    <w:rsid w:val="00DF6465"/>
    <w:rsid w:val="00E42F57"/>
    <w:rsid w:val="00EF04CD"/>
    <w:rsid w:val="00EF3BF6"/>
    <w:rsid w:val="00FD25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F098979-AF4B-49ED-BB61-42ABCB934B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Hoja_de_c_lculo_de_Microsoft_Excel1.xlsx"/><Relationship Id="rId2" Type="http://schemas.microsoft.com/office/2011/relationships/chartColorStyle" Target="colors1.xml"/><Relationship Id="rId1" Type="http://schemas.microsoft.com/office/2011/relationships/chartStyle" Target="style1.xml"/><Relationship Id="rId4" Type="http://schemas.openxmlformats.org/officeDocument/2006/relationships/chartUserShapes" Target="../drawings/drawing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800" b="1" i="0" u="none" strike="noStrike" kern="1200" cap="all" spc="150" baseline="0">
                <a:solidFill>
                  <a:schemeClr val="tx1">
                    <a:lumMod val="50000"/>
                    <a:lumOff val="50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ago- 23</a:t>
            </a:r>
          </a:p>
        </c:rich>
      </c:tx>
      <c:layout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800" b="1" i="0" u="none" strike="noStrike" kern="1200" cap="all" spc="150" baseline="0">
              <a:solidFill>
                <a:schemeClr val="tx1">
                  <a:lumMod val="50000"/>
                  <a:lumOff val="50000"/>
                </a:schemeClr>
              </a:solidFill>
              <a:latin typeface="+mn-lt"/>
              <a:ea typeface="+mn-ea"/>
              <a:cs typeface="+mn-cs"/>
            </a:defRPr>
          </a:pPr>
          <a:endParaRPr lang="es-MX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Hoja1!$B$1</c:f>
              <c:strCache>
                <c:ptCount val="1"/>
                <c:pt idx="0">
                  <c:v>may-22</c:v>
                </c:pt>
              </c:strCache>
            </c:strRef>
          </c:tx>
          <c:dPt>
            <c:idx val="0"/>
            <c:bubble3D val="0"/>
            <c:spPr>
              <a:pattFill prst="ltUpDiag">
                <a:fgClr>
                  <a:schemeClr val="accent2"/>
                </a:fgClr>
                <a:bgClr>
                  <a:schemeClr val="accent2">
                    <a:lumMod val="20000"/>
                    <a:lumOff val="80000"/>
                  </a:schemeClr>
                </a:bgClr>
              </a:pattFill>
              <a:ln w="19050">
                <a:solidFill>
                  <a:schemeClr val="lt1"/>
                </a:solidFill>
              </a:ln>
              <a:effectLst>
                <a:innerShdw blurRad="114300">
                  <a:schemeClr val="accent2"/>
                </a:innerShdw>
              </a:effectLst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1-39CC-4180-ADA9-DC71CC1E8AD7}"/>
              </c:ext>
            </c:extLst>
          </c:dPt>
          <c:dPt>
            <c:idx val="1"/>
            <c:bubble3D val="0"/>
            <c:spPr>
              <a:pattFill prst="ltUpDiag">
                <a:fgClr>
                  <a:schemeClr val="accent4"/>
                </a:fgClr>
                <a:bgClr>
                  <a:schemeClr val="accent4">
                    <a:lumMod val="20000"/>
                    <a:lumOff val="80000"/>
                  </a:schemeClr>
                </a:bgClr>
              </a:pattFill>
              <a:ln w="19050">
                <a:solidFill>
                  <a:schemeClr val="lt1"/>
                </a:solidFill>
              </a:ln>
              <a:effectLst>
                <a:innerShdw blurRad="114300">
                  <a:schemeClr val="accent4"/>
                </a:innerShdw>
              </a:effectLst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3-39CC-4180-ADA9-DC71CC1E8AD7}"/>
              </c:ext>
            </c:extLst>
          </c:dPt>
          <c:dPt>
            <c:idx val="2"/>
            <c:bubble3D val="0"/>
            <c:spPr>
              <a:pattFill prst="ltUpDiag">
                <a:fgClr>
                  <a:schemeClr val="accent6"/>
                </a:fgClr>
                <a:bgClr>
                  <a:schemeClr val="accent6">
                    <a:lumMod val="20000"/>
                    <a:lumOff val="80000"/>
                  </a:schemeClr>
                </a:bgClr>
              </a:pattFill>
              <a:ln w="19050">
                <a:solidFill>
                  <a:schemeClr val="lt1"/>
                </a:solidFill>
              </a:ln>
              <a:effectLst>
                <a:innerShdw blurRad="114300">
                  <a:schemeClr val="accent6"/>
                </a:innerShdw>
              </a:effectLst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5-39CC-4180-ADA9-DC71CC1E8AD7}"/>
              </c:ext>
            </c:extLst>
          </c:dPt>
          <c:dPt>
            <c:idx val="3"/>
            <c:bubble3D val="0"/>
            <c:spPr>
              <a:pattFill prst="ltUpDiag">
                <a:fgClr>
                  <a:schemeClr val="accent2">
                    <a:lumMod val="60000"/>
                  </a:schemeClr>
                </a:fgClr>
                <a:bgClr>
                  <a:schemeClr val="accent2">
                    <a:lumMod val="60000"/>
                    <a:lumMod val="20000"/>
                    <a:lumOff val="80000"/>
                  </a:schemeClr>
                </a:bgClr>
              </a:pattFill>
              <a:ln w="19050">
                <a:solidFill>
                  <a:schemeClr val="lt1"/>
                </a:solidFill>
              </a:ln>
              <a:effectLst>
                <a:innerShdw blurRad="114300">
                  <a:schemeClr val="accent2">
                    <a:lumMod val="60000"/>
                  </a:schemeClr>
                </a:innerShdw>
              </a:effectLst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7-39CC-4180-ADA9-DC71CC1E8AD7}"/>
              </c:ext>
            </c:extLst>
          </c:dPt>
          <c:dPt>
            <c:idx val="4"/>
            <c:bubble3D val="0"/>
            <c:spPr>
              <a:pattFill prst="ltUpDiag">
                <a:fgClr>
                  <a:schemeClr val="accent4">
                    <a:lumMod val="60000"/>
                  </a:schemeClr>
                </a:fgClr>
                <a:bgClr>
                  <a:schemeClr val="accent4">
                    <a:lumMod val="60000"/>
                    <a:lumMod val="20000"/>
                    <a:lumOff val="80000"/>
                  </a:schemeClr>
                </a:bgClr>
              </a:pattFill>
              <a:ln w="19050">
                <a:solidFill>
                  <a:schemeClr val="lt1"/>
                </a:solidFill>
              </a:ln>
              <a:effectLst>
                <a:innerShdw blurRad="114300">
                  <a:schemeClr val="accent4">
                    <a:lumMod val="60000"/>
                  </a:schemeClr>
                </a:innerShdw>
              </a:effectLst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9-39CC-4180-ADA9-DC71CC1E8AD7}"/>
              </c:ext>
            </c:extLst>
          </c:dPt>
          <c:dPt>
            <c:idx val="5"/>
            <c:bubble3D val="0"/>
            <c:spPr>
              <a:pattFill prst="ltUpDiag">
                <a:fgClr>
                  <a:schemeClr val="accent6">
                    <a:lumMod val="60000"/>
                  </a:schemeClr>
                </a:fgClr>
                <a:bgClr>
                  <a:schemeClr val="accent6">
                    <a:lumMod val="60000"/>
                    <a:lumMod val="20000"/>
                    <a:lumOff val="80000"/>
                  </a:schemeClr>
                </a:bgClr>
              </a:pattFill>
              <a:ln w="19050">
                <a:solidFill>
                  <a:schemeClr val="lt1"/>
                </a:solidFill>
              </a:ln>
              <a:effectLst>
                <a:innerShdw blurRad="114300">
                  <a:schemeClr val="accent6">
                    <a:lumMod val="60000"/>
                  </a:schemeClr>
                </a:innerShdw>
              </a:effectLst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B-39CC-4180-ADA9-DC71CC1E8AD7}"/>
              </c:ext>
            </c:extLst>
          </c:dPt>
          <c:dLbls>
            <c:dLbl>
              <c:idx val="0"/>
              <c:layout/>
              <c:spPr>
                <a:solidFill>
                  <a:sysClr val="window" lastClr="FFFFFF"/>
                </a:solidFill>
                <a:ln>
                  <a:solidFill>
                    <a:sysClr val="windowText" lastClr="000000">
                      <a:lumMod val="25000"/>
                      <a:lumOff val="75000"/>
                    </a:sysClr>
                  </a:solidFill>
                </a:ln>
                <a:effectLst/>
              </c:spPr>
              <c:txPr>
                <a:bodyPr rot="0" spcFirstLastPara="1" vertOverflow="clip" horzOverflow="clip" vert="horz" wrap="square" lIns="38100" tIns="19050" rIns="38100" bIns="19050" anchor="ctr" anchorCtr="1">
                  <a:noAutofit/>
                </a:bodyPr>
                <a:lstStyle/>
                <a:p>
                  <a:pPr>
                    <a:defRPr sz="900" b="1" i="0" u="none" strike="noStrike" kern="1200" baseline="0">
                      <a:solidFill>
                        <a:schemeClr val="dk1">
                          <a:lumMod val="65000"/>
                          <a:lumOff val="3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s-MX"/>
                </a:p>
              </c:txPr>
              <c:dLblPos val="outEnd"/>
              <c:showLegendKey val="0"/>
              <c:showVal val="0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>
                  <c15:spPr xmlns:c15="http://schemas.microsoft.com/office/drawing/2012/chart">
                    <a:prstGeom prst="wedgeRectCallout">
                      <a:avLst/>
                    </a:prstGeom>
                    <a:noFill/>
                    <a:ln>
                      <a:noFill/>
                    </a:ln>
                  </c15:spPr>
                  <c15:layout>
                    <c:manualLayout>
                      <c:w val="0.23116550988511197"/>
                      <c:h val="7.9791818213890309E-2"/>
                    </c:manualLayout>
                  </c15:layout>
                </c:ext>
              </c:extLst>
            </c:dLbl>
            <c:spPr>
              <a:solidFill>
                <a:sysClr val="window" lastClr="FFFFFF"/>
              </a:solidFill>
              <a:ln>
                <a:solidFill>
                  <a:sysClr val="windowText" lastClr="000000">
                    <a:lumMod val="25000"/>
                    <a:lumOff val="75000"/>
                  </a:sysClr>
                </a:solidFill>
              </a:ln>
              <a:effectLst/>
            </c:spPr>
            <c:txPr>
              <a:bodyPr rot="0" spcFirstLastPara="1" vertOverflow="clip" horzOverflow="clip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chemeClr val="dk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s-MX"/>
              </a:p>
            </c:txPr>
            <c:dLblPos val="outEnd"/>
            <c:showLegendKey val="0"/>
            <c:showVal val="0"/>
            <c:showCatName val="1"/>
            <c:showSerName val="0"/>
            <c:showPercent val="1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pPr xmlns:c15="http://schemas.microsoft.com/office/drawing/2012/chart">
                  <a:prstGeom prst="wedgeRectCallout">
                    <a:avLst/>
                  </a:prstGeom>
                  <a:noFill/>
                  <a:ln>
                    <a:noFill/>
                  </a:ln>
                </c15:spPr>
                <c15:layout/>
              </c:ext>
            </c:extLst>
          </c:dLbls>
          <c:cat>
            <c:strRef>
              <c:f>Hoja1!$A$2:$A$7</c:f>
              <c:strCache>
                <c:ptCount val="6"/>
                <c:pt idx="0">
                  <c:v>¿Costo por contrato de servicios de agua y drenaje?</c:v>
                </c:pt>
                <c:pt idx="1">
                  <c:v>¿Requisitos para contratar servicios de agua?</c:v>
                </c:pt>
                <c:pt idx="2">
                  <c:v>¿Falta de agua potable las causas?</c:v>
                </c:pt>
                <c:pt idx="3">
                  <c:v>¿Cambio de usuarios por fallecimiento los requisitos?</c:v>
                </c:pt>
                <c:pt idx="4">
                  <c:v>Como puedo saber mi adeudo como usuario?</c:v>
                </c:pt>
                <c:pt idx="5">
                  <c:v>¿Costos de servicio de agua potable mensualidades?</c:v>
                </c:pt>
              </c:strCache>
            </c:strRef>
          </c:cat>
          <c:val>
            <c:numRef>
              <c:f>Hoja1!$B$2:$B$7</c:f>
              <c:numCache>
                <c:formatCode>General</c:formatCode>
                <c:ptCount val="6"/>
                <c:pt idx="0">
                  <c:v>10</c:v>
                </c:pt>
                <c:pt idx="1">
                  <c:v>10</c:v>
                </c:pt>
                <c:pt idx="2">
                  <c:v>25</c:v>
                </c:pt>
                <c:pt idx="3">
                  <c:v>6</c:v>
                </c:pt>
                <c:pt idx="4">
                  <c:v>15</c:v>
                </c:pt>
                <c:pt idx="5">
                  <c:v>16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C-39CC-4180-ADA9-DC71CC1E8AD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</c:pieChart>
      <c:spPr>
        <a:noFill/>
        <a:ln>
          <a:noFill/>
        </a:ln>
        <a:effectLst/>
      </c:spPr>
    </c:plotArea>
    <c:legend>
      <c:legendPos val="t"/>
      <c:layout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s-MX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s-MX"/>
    </a:p>
  </c:txPr>
  <c:externalData r:id="rId3">
    <c:autoUpdate val="0"/>
  </c:externalData>
  <c:userShapes r:id="rId4"/>
</c:chartSpace>
</file>

<file path=word/charts/colors1.xml><?xml version="1.0" encoding="utf-8"?>
<cs:colorStyle xmlns:cs="http://schemas.microsoft.com/office/drawing/2012/chartStyle" xmlns:a="http://schemas.openxmlformats.org/drawingml/2006/main" meth="cycle" id="12">
  <a:schemeClr val="accent2"/>
  <a:schemeClr val="accent4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b="1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19050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dk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>
      <cs:styleClr val="auto"/>
    </cs:effectRef>
    <cs:fontRef idx="minor">
      <a:schemeClr val="dk1"/>
    </cs:fontRef>
    <cs:spPr>
      <a:pattFill prst="ltUpDiag">
        <a:fgClr>
          <a:schemeClr val="phClr"/>
        </a:fgClr>
        <a:bgClr>
          <a:schemeClr val="phClr">
            <a:lumMod val="20000"/>
            <a:lumOff val="80000"/>
          </a:schemeClr>
        </a:bgClr>
      </a:pattFill>
      <a:ln w="19050">
        <a:solidFill>
          <a:schemeClr val="lt1"/>
        </a:solidFill>
      </a:ln>
      <a:effectLst>
        <a:innerShdw blurRad="114300">
          <a:schemeClr val="phClr"/>
        </a:innerShdw>
      </a:effectLst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pattFill prst="ltUpDiag">
        <a:fgClr>
          <a:schemeClr val="phClr"/>
        </a:fgClr>
        <a:bgClr>
          <a:schemeClr val="phClr">
            <a:lumMod val="20000"/>
            <a:lumOff val="80000"/>
          </a:schemeClr>
        </a:bgClr>
      </a:pattFill>
      <a:ln w="19050">
        <a:solidFill>
          <a:schemeClr val="lt1"/>
        </a:solidFill>
      </a:ln>
      <a:effectLst>
        <a:innerShdw blurRad="114300">
          <a:schemeClr val="phClr"/>
        </a:innerShdw>
      </a:effectLst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8575" cap="rnd">
        <a:solidFill>
          <a:schemeClr val="phClr"/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ln w="9525">
        <a:solidFill>
          <a:schemeClr val="lt1"/>
        </a:solidFill>
      </a:ln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50000"/>
            <a:lumOff val="50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tx1">
            <a:lumMod val="50000"/>
            <a:lumOff val="50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>
        <a:solidFill>
          <a:schemeClr val="tx1">
            <a:lumMod val="15000"/>
            <a:lumOff val="85000"/>
          </a:schemeClr>
        </a:solidFill>
      </a:ln>
    </cs:spPr>
  </cs:gridlineMajor>
  <cs:gridlineMinor>
    <cs:lnRef idx="0"/>
    <cs:fillRef idx="0"/>
    <cs:effectRef idx="0"/>
    <cs:fontRef idx="minor">
      <a:schemeClr val="dk1"/>
    </cs:fontRef>
    <cs:spPr>
      <a:ln>
        <a:solidFill>
          <a:schemeClr val="tx1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dk1"/>
    </cs:fontRef>
  </cs:plotArea>
  <cs:plotArea3D mods="allowNoFillOverride allowNoLineOverride"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50000"/>
        <a:lumOff val="50000"/>
      </a:schemeClr>
    </cs:fontRef>
    <cs:defRPr sz="1800" b="1" kern="1200" cap="all" spc="15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50000"/>
            <a:lumOff val="50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0.52102</cdr:x>
      <cdr:y>0.40653</cdr:y>
    </cdr:from>
    <cdr:to>
      <cdr:x>0.5601</cdr:x>
      <cdr:y>0.47527</cdr:y>
    </cdr:to>
    <cdr:sp macro="" textlink="">
      <cdr:nvSpPr>
        <cdr:cNvPr id="2" name="Cuadro de texto 1"/>
        <cdr:cNvSpPr txBox="1"/>
      </cdr:nvSpPr>
      <cdr:spPr>
        <a:xfrm xmlns:a="http://schemas.openxmlformats.org/drawingml/2006/main">
          <a:off x="2813537" y="1280663"/>
          <a:ext cx="211015" cy="216541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endParaRPr lang="es-ES" sz="1100"/>
        </a:p>
      </cdr:txBody>
    </cdr:sp>
  </cdr:relSizeAnchor>
</c:userShape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6</Words>
  <Characters>39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SYS PAPEL</dc:creator>
  <cp:keywords/>
  <dc:description/>
  <cp:lastModifiedBy>Cuenta Microsoft</cp:lastModifiedBy>
  <cp:revision>48</cp:revision>
  <dcterms:created xsi:type="dcterms:W3CDTF">2022-06-16T17:19:00Z</dcterms:created>
  <dcterms:modified xsi:type="dcterms:W3CDTF">2023-09-07T18:58:00Z</dcterms:modified>
</cp:coreProperties>
</file>