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2A21" w:rsidRPr="00222C0E" w:rsidRDefault="00FB2A21" w:rsidP="00FB2A21">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TRIBUNAL ESTATAL DE JUSTICIA ADMINISTRATIVA</w:t>
      </w:r>
    </w:p>
    <w:p w:rsidR="00FB2A21" w:rsidRPr="00222C0E" w:rsidRDefault="00FB2A21" w:rsidP="00FB2A21">
      <w:pPr>
        <w:pStyle w:val="Sinespaciado"/>
        <w:ind w:left="3969"/>
        <w:jc w:val="both"/>
        <w:rPr>
          <w:rFonts w:ascii="Arial Narrow" w:eastAsia="Arial Unicode MS" w:hAnsi="Arial Narrow" w:cs="Arial Unicode MS"/>
          <w:b/>
          <w:sz w:val="24"/>
          <w:szCs w:val="24"/>
        </w:rPr>
      </w:pPr>
    </w:p>
    <w:p w:rsidR="00FB2A21" w:rsidRPr="00222C0E" w:rsidRDefault="00FB2A21" w:rsidP="00FB2A21">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TERCERA SALA UNITARIA</w:t>
      </w:r>
    </w:p>
    <w:p w:rsidR="00FB2A21" w:rsidRPr="00222C0E" w:rsidRDefault="00FB2A21" w:rsidP="00FB2A21">
      <w:pPr>
        <w:pStyle w:val="Sinespaciado"/>
        <w:ind w:left="3969"/>
        <w:jc w:val="both"/>
        <w:rPr>
          <w:rFonts w:ascii="Arial Narrow" w:eastAsia="Arial Unicode MS" w:hAnsi="Arial Narrow" w:cs="Arial Unicode MS"/>
          <w:b/>
          <w:sz w:val="24"/>
          <w:szCs w:val="24"/>
        </w:rPr>
      </w:pPr>
    </w:p>
    <w:p w:rsidR="00FB2A21" w:rsidRPr="00222C0E" w:rsidRDefault="00FB2A21" w:rsidP="00FB2A21">
      <w:pPr>
        <w:pStyle w:val="Sinespaciado"/>
        <w:ind w:left="3969"/>
        <w:jc w:val="both"/>
        <w:rPr>
          <w:rFonts w:ascii="Arial Narrow" w:eastAsia="Arial Unicode MS" w:hAnsi="Arial Narrow" w:cs="Arial Unicode MS"/>
          <w:b/>
          <w:color w:val="002060"/>
          <w:sz w:val="24"/>
          <w:szCs w:val="24"/>
        </w:rPr>
      </w:pPr>
      <w:r w:rsidRPr="00222C0E">
        <w:rPr>
          <w:rFonts w:ascii="Arial Narrow" w:eastAsia="Arial Unicode MS" w:hAnsi="Arial Narrow" w:cs="Arial Unicode MS"/>
          <w:b/>
          <w:sz w:val="24"/>
          <w:szCs w:val="24"/>
        </w:rPr>
        <w:t xml:space="preserve">EXPEDIENTE: </w:t>
      </w:r>
      <w:r>
        <w:rPr>
          <w:rFonts w:ascii="Arial Narrow" w:eastAsia="Arial Unicode MS" w:hAnsi="Arial Narrow" w:cs="Arial Unicode MS"/>
          <w:b/>
          <w:sz w:val="24"/>
          <w:szCs w:val="24"/>
        </w:rPr>
        <w:t>66/</w:t>
      </w:r>
      <w:r w:rsidRPr="00222C0E">
        <w:rPr>
          <w:rFonts w:ascii="Arial Narrow" w:eastAsia="Arial Unicode MS" w:hAnsi="Arial Narrow" w:cs="Arial Unicode MS"/>
          <w:b/>
          <w:sz w:val="24"/>
          <w:szCs w:val="24"/>
        </w:rPr>
        <w:t>20</w:t>
      </w:r>
      <w:r>
        <w:rPr>
          <w:rFonts w:ascii="Arial Narrow" w:eastAsia="Arial Unicode MS" w:hAnsi="Arial Narrow" w:cs="Arial Unicode MS"/>
          <w:b/>
          <w:sz w:val="24"/>
          <w:szCs w:val="24"/>
        </w:rPr>
        <w:t>21</w:t>
      </w:r>
      <w:r w:rsidRPr="00222C0E">
        <w:rPr>
          <w:rFonts w:ascii="Arial Narrow" w:eastAsia="Arial Unicode MS" w:hAnsi="Arial Narrow" w:cs="Arial Unicode MS"/>
          <w:b/>
          <w:sz w:val="24"/>
          <w:szCs w:val="24"/>
        </w:rPr>
        <w:t xml:space="preserve">-3 </w:t>
      </w:r>
    </w:p>
    <w:p w:rsidR="00FB2A21" w:rsidRPr="00222C0E" w:rsidRDefault="00FB2A21" w:rsidP="00FB2A21">
      <w:pPr>
        <w:pStyle w:val="Sinespaciado"/>
        <w:ind w:left="3969"/>
        <w:jc w:val="both"/>
        <w:rPr>
          <w:rFonts w:ascii="Arial Narrow" w:eastAsia="Arial Unicode MS" w:hAnsi="Arial Narrow" w:cs="Arial Unicode MS"/>
          <w:b/>
          <w:sz w:val="24"/>
          <w:szCs w:val="24"/>
        </w:rPr>
      </w:pPr>
    </w:p>
    <w:p w:rsidR="00FB2A21" w:rsidRPr="00222C0E" w:rsidRDefault="00FB2A21" w:rsidP="00FB2A21">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ACTOR: </w:t>
      </w:r>
    </w:p>
    <w:p w:rsidR="00FB2A21" w:rsidRPr="00222C0E" w:rsidRDefault="00350150" w:rsidP="00FB2A21">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FB2A21" w:rsidRPr="00222C0E" w:rsidRDefault="00FB2A21" w:rsidP="00FB2A21">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MAGISTRAD</w:t>
      </w:r>
      <w:r w:rsidR="00765C04">
        <w:rPr>
          <w:rFonts w:ascii="Arial Narrow" w:eastAsia="Arial Unicode MS" w:hAnsi="Arial Narrow" w:cs="Arial Unicode MS"/>
          <w:b/>
          <w:sz w:val="24"/>
          <w:szCs w:val="24"/>
        </w:rPr>
        <w:t>O</w:t>
      </w:r>
      <w:r w:rsidRPr="00222C0E">
        <w:rPr>
          <w:rFonts w:ascii="Arial Narrow" w:eastAsia="Arial Unicode MS" w:hAnsi="Arial Narrow" w:cs="Arial Unicode MS"/>
          <w:b/>
          <w:sz w:val="24"/>
          <w:szCs w:val="24"/>
        </w:rPr>
        <w:t xml:space="preserve">: </w:t>
      </w:r>
    </w:p>
    <w:p w:rsidR="00FB2A21" w:rsidRPr="00222C0E" w:rsidRDefault="00FB2A21" w:rsidP="00765C04">
      <w:pPr>
        <w:pStyle w:val="Sinespaciado"/>
        <w:ind w:left="3969"/>
        <w:jc w:val="both"/>
        <w:rPr>
          <w:rFonts w:ascii="Arial Narrow" w:eastAsia="Arial Unicode MS" w:hAnsi="Arial Narrow" w:cs="Arial Unicode MS"/>
          <w:sz w:val="24"/>
          <w:szCs w:val="24"/>
        </w:rPr>
      </w:pPr>
      <w:r w:rsidRPr="00222C0E">
        <w:rPr>
          <w:rFonts w:ascii="Arial Narrow" w:eastAsia="Arial Unicode MS" w:hAnsi="Arial Narrow" w:cs="Arial Unicode MS"/>
          <w:sz w:val="24"/>
          <w:szCs w:val="24"/>
        </w:rPr>
        <w:t>LICENCIAD</w:t>
      </w:r>
      <w:r w:rsidR="00765C04">
        <w:rPr>
          <w:rFonts w:ascii="Arial Narrow" w:eastAsia="Arial Unicode MS" w:hAnsi="Arial Narrow" w:cs="Arial Unicode MS"/>
          <w:sz w:val="24"/>
          <w:szCs w:val="24"/>
        </w:rPr>
        <w:t>O JORGE ALEJANDRO VERA NOYOLA</w:t>
      </w:r>
    </w:p>
    <w:p w:rsidR="00FB2A21" w:rsidRPr="00222C0E" w:rsidRDefault="00FB2A21" w:rsidP="00FB2A21">
      <w:pPr>
        <w:pStyle w:val="Sinespaciado"/>
        <w:jc w:val="both"/>
        <w:rPr>
          <w:rFonts w:ascii="Arial Narrow" w:eastAsia="Arial Unicode MS" w:hAnsi="Arial Narrow" w:cs="Arial Unicode MS"/>
          <w:sz w:val="24"/>
          <w:szCs w:val="24"/>
        </w:rPr>
      </w:pPr>
    </w:p>
    <w:p w:rsidR="00FB2A21" w:rsidRPr="00222C0E" w:rsidRDefault="00FB2A21" w:rsidP="00FB2A21">
      <w:pPr>
        <w:pStyle w:val="Sinespaciado"/>
        <w:ind w:left="3969"/>
        <w:jc w:val="both"/>
        <w:rPr>
          <w:rFonts w:ascii="Arial Narrow" w:eastAsia="Arial Unicode MS" w:hAnsi="Arial Narrow" w:cs="Arial Unicode MS"/>
          <w:b/>
          <w:sz w:val="24"/>
          <w:szCs w:val="24"/>
        </w:rPr>
      </w:pPr>
      <w:r w:rsidRPr="00222C0E">
        <w:rPr>
          <w:rFonts w:ascii="Arial Narrow" w:eastAsia="Arial Unicode MS" w:hAnsi="Arial Narrow" w:cs="Arial Unicode MS"/>
          <w:b/>
          <w:sz w:val="24"/>
          <w:szCs w:val="24"/>
        </w:rPr>
        <w:t xml:space="preserve">SECRETARIO DE </w:t>
      </w:r>
      <w:r>
        <w:rPr>
          <w:rFonts w:ascii="Arial Narrow" w:eastAsia="Arial Unicode MS" w:hAnsi="Arial Narrow" w:cs="Arial Unicode MS"/>
          <w:b/>
          <w:sz w:val="24"/>
          <w:szCs w:val="24"/>
        </w:rPr>
        <w:t>ESTUDIO Y CUENTA</w:t>
      </w:r>
      <w:r w:rsidRPr="00222C0E">
        <w:rPr>
          <w:rFonts w:ascii="Arial Narrow" w:eastAsia="Arial Unicode MS" w:hAnsi="Arial Narrow" w:cs="Arial Unicode MS"/>
          <w:b/>
          <w:sz w:val="24"/>
          <w:szCs w:val="24"/>
        </w:rPr>
        <w:t>:</w:t>
      </w:r>
    </w:p>
    <w:p w:rsidR="00FB2A21" w:rsidRPr="00222C0E" w:rsidRDefault="00FB2A21" w:rsidP="00FB2A21">
      <w:pPr>
        <w:pStyle w:val="Sinespaciado"/>
        <w:ind w:left="3969"/>
        <w:jc w:val="both"/>
        <w:rPr>
          <w:rFonts w:ascii="Arial Narrow" w:eastAsia="Arial Unicode MS" w:hAnsi="Arial Narrow" w:cs="Arial Unicode MS"/>
          <w:sz w:val="24"/>
          <w:szCs w:val="24"/>
        </w:rPr>
      </w:pPr>
      <w:r w:rsidRPr="00222C0E">
        <w:rPr>
          <w:rFonts w:ascii="Arial Narrow" w:eastAsia="Arial Unicode MS" w:hAnsi="Arial Narrow" w:cs="Arial Unicode MS"/>
          <w:sz w:val="24"/>
          <w:szCs w:val="24"/>
        </w:rPr>
        <w:t xml:space="preserve">LICENCIADA </w:t>
      </w:r>
      <w:r>
        <w:rPr>
          <w:rFonts w:ascii="Arial Narrow" w:eastAsia="Arial Unicode MS" w:hAnsi="Arial Narrow" w:cs="Arial Unicode MS"/>
          <w:sz w:val="24"/>
          <w:szCs w:val="24"/>
        </w:rPr>
        <w:t>DIANA CAROLINA MONTELONGO ORTIZ</w:t>
      </w:r>
    </w:p>
    <w:p w:rsidR="00FB2A21" w:rsidRDefault="00FB2A21" w:rsidP="00FB2A21">
      <w:pPr>
        <w:pStyle w:val="Sinespaciado"/>
        <w:spacing w:line="360" w:lineRule="auto"/>
        <w:ind w:firstLine="709"/>
        <w:jc w:val="both"/>
        <w:rPr>
          <w:rFonts w:ascii="Arial Narrow" w:eastAsia="Arial Unicode MS" w:hAnsi="Arial Narrow" w:cs="Arial Unicode MS"/>
          <w:b/>
          <w:sz w:val="16"/>
          <w:szCs w:val="16"/>
        </w:rPr>
      </w:pPr>
    </w:p>
    <w:p w:rsidR="00FB2A21" w:rsidRPr="00F1263B" w:rsidRDefault="00FB2A21" w:rsidP="00FB2A21">
      <w:pPr>
        <w:spacing w:after="0" w:line="360" w:lineRule="auto"/>
        <w:ind w:firstLine="708"/>
        <w:jc w:val="both"/>
        <w:rPr>
          <w:rFonts w:ascii="Arial" w:eastAsia="Calibri" w:hAnsi="Arial" w:cs="Arial"/>
          <w:sz w:val="26"/>
          <w:szCs w:val="26"/>
        </w:rPr>
      </w:pPr>
      <w:r w:rsidRPr="00F1263B">
        <w:rPr>
          <w:rFonts w:ascii="Arial" w:eastAsia="Calibri" w:hAnsi="Arial" w:cs="Arial"/>
          <w:sz w:val="26"/>
          <w:szCs w:val="26"/>
        </w:rPr>
        <w:t xml:space="preserve">San Luis Potosí, S.L.P., a </w:t>
      </w:r>
      <w:r w:rsidR="00D24E25">
        <w:rPr>
          <w:rFonts w:ascii="Arial" w:eastAsia="Calibri" w:hAnsi="Arial" w:cs="Arial"/>
          <w:sz w:val="26"/>
          <w:szCs w:val="26"/>
        </w:rPr>
        <w:t>trece de marzo de dos mil veintitrés</w:t>
      </w:r>
      <w:r w:rsidRPr="00F1263B">
        <w:rPr>
          <w:rFonts w:ascii="Arial" w:eastAsia="Calibri" w:hAnsi="Arial" w:cs="Arial"/>
          <w:sz w:val="26"/>
          <w:szCs w:val="26"/>
        </w:rPr>
        <w:t>.</w:t>
      </w:r>
    </w:p>
    <w:p w:rsidR="00FB2A21" w:rsidRPr="00F1263B" w:rsidRDefault="00FB2A21" w:rsidP="00FB2A21">
      <w:pPr>
        <w:spacing w:after="0" w:line="360" w:lineRule="auto"/>
        <w:ind w:firstLine="708"/>
        <w:jc w:val="both"/>
        <w:rPr>
          <w:rFonts w:ascii="Arial" w:eastAsia="Calibri" w:hAnsi="Arial" w:cs="Arial"/>
          <w:sz w:val="26"/>
          <w:szCs w:val="26"/>
        </w:rPr>
      </w:pPr>
    </w:p>
    <w:p w:rsidR="00FB2A21" w:rsidRPr="00F1263B" w:rsidRDefault="00FB2A21" w:rsidP="00FB2A21">
      <w:pPr>
        <w:spacing w:after="0" w:line="360" w:lineRule="auto"/>
        <w:ind w:firstLine="708"/>
        <w:jc w:val="both"/>
        <w:rPr>
          <w:rFonts w:ascii="Arial" w:eastAsia="Calibri" w:hAnsi="Arial" w:cs="Arial"/>
          <w:sz w:val="26"/>
          <w:szCs w:val="26"/>
        </w:rPr>
      </w:pPr>
      <w:r w:rsidRPr="00F1263B">
        <w:rPr>
          <w:rFonts w:ascii="Arial" w:eastAsia="Calibri" w:hAnsi="Arial" w:cs="Arial"/>
          <w:b/>
          <w:sz w:val="26"/>
          <w:szCs w:val="26"/>
        </w:rPr>
        <w:t xml:space="preserve">V I S T O S </w:t>
      </w:r>
      <w:r w:rsidRPr="00F1263B">
        <w:rPr>
          <w:rFonts w:ascii="Arial" w:eastAsia="Calibri" w:hAnsi="Arial" w:cs="Arial"/>
          <w:sz w:val="26"/>
          <w:szCs w:val="26"/>
        </w:rPr>
        <w:t xml:space="preserve">para resolver en definitiva los autos del juicio contencioso administrativo número </w:t>
      </w:r>
      <w:r w:rsidRPr="00F1263B">
        <w:rPr>
          <w:rFonts w:ascii="Arial" w:eastAsia="Calibri" w:hAnsi="Arial" w:cs="Arial"/>
          <w:b/>
          <w:sz w:val="26"/>
          <w:szCs w:val="26"/>
        </w:rPr>
        <w:t xml:space="preserve">66/2021-3, </w:t>
      </w:r>
      <w:r w:rsidRPr="00F1263B">
        <w:rPr>
          <w:rFonts w:ascii="Arial" w:eastAsia="Calibri" w:hAnsi="Arial" w:cs="Arial"/>
          <w:sz w:val="26"/>
          <w:szCs w:val="26"/>
        </w:rPr>
        <w:t xml:space="preserve">promovido por la persona moral denominada </w:t>
      </w:r>
      <w:r w:rsidR="00350150">
        <w:rPr>
          <w:rFonts w:ascii="Arial" w:eastAsia="Calibri" w:hAnsi="Arial" w:cs="Arial"/>
          <w:b/>
          <w:color w:val="FF0000"/>
          <w:sz w:val="26"/>
          <w:szCs w:val="26"/>
        </w:rPr>
        <w:t>**********</w:t>
      </w:r>
      <w:r w:rsidRPr="00F1263B">
        <w:rPr>
          <w:rFonts w:ascii="Arial" w:eastAsia="Calibri" w:hAnsi="Arial" w:cs="Arial"/>
          <w:sz w:val="26"/>
          <w:szCs w:val="26"/>
        </w:rPr>
        <w:t xml:space="preserve"> contra actos de la </w:t>
      </w:r>
      <w:r w:rsidRPr="00F1263B">
        <w:rPr>
          <w:rFonts w:ascii="Arial" w:eastAsia="Calibri" w:hAnsi="Arial" w:cs="Arial"/>
          <w:b/>
          <w:sz w:val="26"/>
          <w:szCs w:val="26"/>
        </w:rPr>
        <w:t>Secretaría de Comunicaciones y Transportes del Estado</w:t>
      </w:r>
      <w:r w:rsidRPr="00F1263B">
        <w:rPr>
          <w:rFonts w:ascii="Arial" w:eastAsia="Calibri" w:hAnsi="Arial" w:cs="Arial"/>
          <w:sz w:val="26"/>
          <w:szCs w:val="26"/>
        </w:rPr>
        <w:t>; y</w:t>
      </w:r>
    </w:p>
    <w:p w:rsidR="00FB2A21" w:rsidRPr="00F1263B" w:rsidRDefault="00FB2A21" w:rsidP="00FB2A21">
      <w:pPr>
        <w:spacing w:after="0" w:line="360" w:lineRule="auto"/>
        <w:ind w:firstLine="708"/>
        <w:jc w:val="both"/>
        <w:rPr>
          <w:rFonts w:ascii="Arial" w:eastAsia="Calibri" w:hAnsi="Arial" w:cs="Arial"/>
          <w:sz w:val="26"/>
          <w:szCs w:val="26"/>
        </w:rPr>
      </w:pPr>
    </w:p>
    <w:p w:rsidR="00FB2A21" w:rsidRPr="00F1263B" w:rsidRDefault="00FB2A21" w:rsidP="00FB2A21">
      <w:pPr>
        <w:spacing w:after="0" w:line="360" w:lineRule="auto"/>
        <w:jc w:val="center"/>
        <w:rPr>
          <w:rFonts w:ascii="Arial" w:eastAsia="Calibri" w:hAnsi="Arial" w:cs="Arial"/>
          <w:sz w:val="26"/>
          <w:szCs w:val="26"/>
        </w:rPr>
      </w:pPr>
      <w:r w:rsidRPr="00F1263B">
        <w:rPr>
          <w:rFonts w:ascii="Arial" w:eastAsia="Calibri" w:hAnsi="Arial" w:cs="Arial"/>
          <w:b/>
          <w:sz w:val="26"/>
          <w:szCs w:val="26"/>
        </w:rPr>
        <w:t>R E S U L T A N D O</w:t>
      </w:r>
    </w:p>
    <w:p w:rsidR="00FB2A21" w:rsidRPr="00F1263B" w:rsidRDefault="00FB2A21" w:rsidP="00FB2A21">
      <w:pPr>
        <w:spacing w:after="0" w:line="360" w:lineRule="auto"/>
        <w:ind w:firstLine="708"/>
        <w:jc w:val="both"/>
        <w:rPr>
          <w:rFonts w:ascii="Arial" w:eastAsia="Calibri" w:hAnsi="Arial" w:cs="Arial"/>
          <w:b/>
          <w:sz w:val="26"/>
          <w:szCs w:val="26"/>
        </w:rPr>
      </w:pPr>
    </w:p>
    <w:p w:rsidR="00FB2A21" w:rsidRDefault="00FB2A21" w:rsidP="00FB2A21">
      <w:pPr>
        <w:spacing w:after="0" w:line="360" w:lineRule="auto"/>
        <w:ind w:firstLine="709"/>
        <w:jc w:val="both"/>
        <w:rPr>
          <w:rFonts w:ascii="Arial" w:eastAsia="Calibri" w:hAnsi="Arial" w:cs="Arial"/>
          <w:sz w:val="26"/>
          <w:szCs w:val="26"/>
        </w:rPr>
      </w:pPr>
      <w:r w:rsidRPr="00F1263B">
        <w:rPr>
          <w:rFonts w:ascii="Arial" w:eastAsia="Calibri" w:hAnsi="Arial" w:cs="Arial"/>
          <w:b/>
          <w:sz w:val="26"/>
          <w:szCs w:val="26"/>
        </w:rPr>
        <w:t xml:space="preserve">I.- </w:t>
      </w:r>
      <w:r w:rsidRPr="00F1263B">
        <w:rPr>
          <w:rFonts w:ascii="Arial" w:eastAsia="Times New Roman" w:hAnsi="Arial" w:cs="Arial"/>
          <w:sz w:val="26"/>
          <w:szCs w:val="26"/>
          <w:lang w:eastAsia="es-ES"/>
        </w:rPr>
        <w:t xml:space="preserve">Por escrito recibido en este Tribunal el veintiséis de enero de dos mil veintiuno, compareció el Presidente del Consejo de Administración de la persona moral </w:t>
      </w:r>
      <w:r w:rsidR="00350150">
        <w:rPr>
          <w:rFonts w:ascii="Arial" w:eastAsia="Times New Roman" w:hAnsi="Arial" w:cs="Arial"/>
          <w:color w:val="FF0000"/>
          <w:sz w:val="26"/>
          <w:szCs w:val="26"/>
          <w:lang w:eastAsia="es-ES"/>
        </w:rPr>
        <w:t>**********</w:t>
      </w:r>
      <w:r w:rsidRPr="00F1263B">
        <w:rPr>
          <w:rFonts w:ascii="Arial" w:eastAsia="Times New Roman" w:hAnsi="Arial" w:cs="Arial"/>
          <w:sz w:val="26"/>
          <w:szCs w:val="26"/>
          <w:lang w:eastAsia="es-ES"/>
        </w:rPr>
        <w:t xml:space="preserve">, a reclamar la responsabilidad patrimonial a la Secretaría de Comunicaciones y Transportes del Estado, derivada de la defensa jurídica en la instancia ordinaria de nulidad, dentro del juicio </w:t>
      </w:r>
      <w:r w:rsidR="00350150">
        <w:rPr>
          <w:rFonts w:ascii="Arial" w:eastAsia="Times New Roman" w:hAnsi="Arial" w:cs="Arial"/>
          <w:color w:val="FF0000"/>
          <w:sz w:val="26"/>
          <w:szCs w:val="26"/>
          <w:lang w:eastAsia="es-ES"/>
        </w:rPr>
        <w:t>**********</w:t>
      </w:r>
      <w:r w:rsidRPr="00F1263B">
        <w:rPr>
          <w:rFonts w:ascii="Arial" w:eastAsia="Times New Roman" w:hAnsi="Arial" w:cs="Arial"/>
          <w:sz w:val="26"/>
          <w:szCs w:val="26"/>
          <w:lang w:eastAsia="es-ES"/>
        </w:rPr>
        <w:t xml:space="preserve">y en la segunda instancia toca </w:t>
      </w:r>
      <w:r w:rsidR="00350150">
        <w:rPr>
          <w:rFonts w:ascii="Arial" w:eastAsia="Times New Roman" w:hAnsi="Arial" w:cs="Arial"/>
          <w:color w:val="FF0000"/>
          <w:sz w:val="26"/>
          <w:szCs w:val="26"/>
          <w:lang w:eastAsia="es-ES"/>
        </w:rPr>
        <w:t>**********</w:t>
      </w:r>
      <w:r w:rsidRPr="00F1263B">
        <w:rPr>
          <w:rFonts w:ascii="Arial" w:eastAsia="Times New Roman" w:hAnsi="Arial" w:cs="Arial"/>
          <w:sz w:val="26"/>
          <w:szCs w:val="26"/>
          <w:lang w:eastAsia="es-ES"/>
        </w:rPr>
        <w:t xml:space="preserve">, por la apelación que infundadamente interpuso la demandada, carga que a decir del actor no tenía obligación de soportar si no hubiese actuado irregularmente con su conducta administrativa el estado que la sujetó, obligó y sometió a un juicio y a un litigio por meses, con la alteración emocional de los socios de la actora de ver interrumpido el servicio público de transporte urbano, con la zozobra e incertidumbre además de que la autoridad hiciera uso de </w:t>
      </w:r>
      <w:r w:rsidRPr="00F1263B">
        <w:rPr>
          <w:rFonts w:ascii="Arial" w:eastAsia="Times New Roman" w:hAnsi="Arial" w:cs="Arial"/>
          <w:sz w:val="26"/>
          <w:szCs w:val="26"/>
          <w:lang w:eastAsia="es-ES"/>
        </w:rPr>
        <w:lastRenderedPageBreak/>
        <w:t xml:space="preserve">sus facultades coactivas de retirarles la concesión del servicio auxiliar del transporte que presta en el área metropolitana de San Luis Potosí, a través de la tarjeta Urban Pass acreditada mercantilmente, con un registro de marca licenciado, que le permite usar en exclusiva del privilegio de su explotación en términos de la Ley de Propiedad Industrial y que con el requerimiento después que la jurisdicción administrativa fuera anulado y puesto en peligro y riesgo. </w:t>
      </w:r>
      <w:r w:rsidRPr="004E7D44">
        <w:rPr>
          <w:rFonts w:ascii="Arial" w:eastAsia="Times New Roman" w:hAnsi="Arial" w:cs="Arial"/>
          <w:sz w:val="26"/>
          <w:szCs w:val="26"/>
          <w:lang w:eastAsia="es-ES"/>
        </w:rPr>
        <w:t xml:space="preserve">Mediante auto de </w:t>
      </w:r>
      <w:r w:rsidRPr="00F1263B">
        <w:rPr>
          <w:rFonts w:ascii="Arial" w:eastAsia="Times New Roman" w:hAnsi="Arial" w:cs="Arial"/>
          <w:sz w:val="26"/>
          <w:szCs w:val="26"/>
          <w:lang w:eastAsia="es-ES"/>
        </w:rPr>
        <w:t>dos de marzo de dos mil veinte</w:t>
      </w:r>
      <w:r w:rsidRPr="004E7D44">
        <w:rPr>
          <w:rFonts w:ascii="Arial" w:eastAsia="Times New Roman" w:hAnsi="Arial" w:cs="Arial"/>
          <w:sz w:val="26"/>
          <w:szCs w:val="26"/>
          <w:lang w:eastAsia="es-ES"/>
        </w:rPr>
        <w:t xml:space="preserve">, se admitió a trámite la demanda y se ordenó correr traslado con las copias simples de la misma a la autoridad señalada como demandada, emplazándola para que contestara en el término </w:t>
      </w:r>
      <w:r w:rsidRPr="00F1263B">
        <w:rPr>
          <w:rFonts w:ascii="Arial" w:eastAsia="Times New Roman" w:hAnsi="Arial" w:cs="Arial"/>
          <w:sz w:val="26"/>
          <w:szCs w:val="26"/>
          <w:lang w:eastAsia="es-ES"/>
        </w:rPr>
        <w:t xml:space="preserve">de diez días hábiles, lo que a su interés conviniera. </w:t>
      </w:r>
      <w:r w:rsidRPr="004E7D44">
        <w:rPr>
          <w:rFonts w:ascii="Arial" w:eastAsia="Times New Roman" w:hAnsi="Arial" w:cs="Arial"/>
          <w:sz w:val="26"/>
          <w:szCs w:val="26"/>
          <w:lang w:eastAsia="es-ES"/>
        </w:rPr>
        <w:t xml:space="preserve">Con acuerdo de </w:t>
      </w:r>
      <w:r w:rsidRPr="00F1263B">
        <w:rPr>
          <w:rFonts w:ascii="Arial" w:eastAsia="Times New Roman" w:hAnsi="Arial" w:cs="Arial"/>
          <w:sz w:val="26"/>
          <w:szCs w:val="26"/>
          <w:lang w:eastAsia="es-ES"/>
        </w:rPr>
        <w:t>cinco de julio de dos mil veintiuno</w:t>
      </w:r>
      <w:r w:rsidRPr="004E7D44">
        <w:rPr>
          <w:rFonts w:ascii="Arial" w:eastAsia="Times New Roman" w:hAnsi="Arial" w:cs="Arial"/>
          <w:sz w:val="26"/>
          <w:szCs w:val="26"/>
          <w:lang w:eastAsia="es-ES"/>
        </w:rPr>
        <w:t xml:space="preserve">, se tuvo a la autoridad demandada por contestada la demanda, por lo que con la copia simple y anexos, se ordenó correr traslado a la parte actora por el término de cinco días para que manifestaran lo que a su interés conviniera. </w:t>
      </w:r>
      <w:r w:rsidRPr="00F1263B">
        <w:rPr>
          <w:rFonts w:ascii="Arial" w:eastAsia="Calibri" w:hAnsi="Arial" w:cs="Arial"/>
          <w:sz w:val="26"/>
          <w:szCs w:val="26"/>
        </w:rPr>
        <w:t>En el mismo auto, se admitieron las pruebas correspondientes de la parte actora; y se fijó fecha y hora para la audiencia final. La cual tuvo verificativo siendo las nueve horas del seis de agosto de dos mil veintiuno, con la asistencia de las partes. El Secretario de Acuerdos dio cuenta con el escrito de demanda e hizo relación de las constancias de autos; en la etapa de pruebas, hace constar que no existen pruebas pendientes que desahogar y se tienen por desahogadas las pruebas documentales de las partes, dada su propia naturaleza; en etapa de alegatos, se dio cuenta con los que por escrito formularon las partes; citándose para resolver el presente juicio.</w:t>
      </w:r>
      <w:r w:rsidR="00FF2330">
        <w:rPr>
          <w:rFonts w:ascii="Arial" w:eastAsia="Calibri" w:hAnsi="Arial" w:cs="Arial"/>
          <w:sz w:val="26"/>
          <w:szCs w:val="26"/>
        </w:rPr>
        <w:t xml:space="preserve"> </w:t>
      </w:r>
      <w:r w:rsidR="00B074F8">
        <w:rPr>
          <w:rFonts w:ascii="Arial" w:eastAsia="Calibri" w:hAnsi="Arial" w:cs="Arial"/>
          <w:sz w:val="26"/>
          <w:szCs w:val="26"/>
        </w:rPr>
        <w:t xml:space="preserve">Mediante auto de siete de diciembre de dos mil veintiuno, se regularizó el procedimiento, a efecto de otorgar al actor el plazo de diez días hábiles, para ampliar su demanda, respecto a la extemporaneidad que hace valer la autoridad demandada, con el apercibimiento de ley, acuerdo que fue notificado al actor con fecha cinco de enero de dos mil veintidós y en contra de la misma, promovió incidente de nulidad de notificaciones, el cual fue admitido mediante acuerdo de veinticinco de marzo de dos mil veintidós y se ordenó correr traslado a la autoridad demandada con el escrito incidental, para que en el del término de cinco días hábiles contestara lo que a su derecho conviniera y ofreciera las pruebas correspondientes, por lo que con auto de quince de junio de dos mil veintidós, se tuvo por contestada la vista al incidente </w:t>
      </w:r>
      <w:r w:rsidR="00B074F8">
        <w:rPr>
          <w:rFonts w:ascii="Arial" w:eastAsia="Calibri" w:hAnsi="Arial" w:cs="Arial"/>
          <w:sz w:val="26"/>
          <w:szCs w:val="26"/>
        </w:rPr>
        <w:lastRenderedPageBreak/>
        <w:t xml:space="preserve">promovido por el actor y se fijó fecha  y hora para la celebración de la audiencia incidental, la que tuvo verificativo el veinticuatro de junio de dos mil veintidós, dándose por terminada la audiencia, se citó para resolver el incidente de nulidad de notificaciones promovido por el actor, el que fue resuelto mediante resolución de veintisiete de junio de dos mil veintidós, que declaró la legalidad y validez de la notificación del auto de siete de diciembre de dos mil veintiuno y por acuerdo de </w:t>
      </w:r>
      <w:r w:rsidR="0084615E">
        <w:rPr>
          <w:rFonts w:ascii="Arial" w:eastAsia="Calibri" w:hAnsi="Arial" w:cs="Arial"/>
          <w:sz w:val="26"/>
          <w:szCs w:val="26"/>
        </w:rPr>
        <w:t>veintitrés</w:t>
      </w:r>
      <w:r w:rsidR="00B074F8">
        <w:rPr>
          <w:rFonts w:ascii="Arial" w:eastAsia="Calibri" w:hAnsi="Arial" w:cs="Arial"/>
          <w:sz w:val="26"/>
          <w:szCs w:val="26"/>
        </w:rPr>
        <w:t xml:space="preserve"> de febrero de dos mil veintitrés, una vez que quedó precluído el derecho del actor para ampliar su demanda, se cumplió con lo ordenado en la audiencia final de seis de agosto de dos mil veintiuno y se citó para resolver en definitivamente el presente asunto.</w:t>
      </w:r>
    </w:p>
    <w:p w:rsidR="00FB2A21" w:rsidRPr="00BC6C32" w:rsidRDefault="00FB2A21" w:rsidP="00FB2A21">
      <w:pPr>
        <w:spacing w:line="360" w:lineRule="auto"/>
        <w:ind w:firstLine="708"/>
        <w:jc w:val="both"/>
        <w:rPr>
          <w:rFonts w:ascii="Arial" w:eastAsia="Times New Roman" w:hAnsi="Arial" w:cs="Arial"/>
          <w:sz w:val="16"/>
          <w:szCs w:val="16"/>
          <w:lang w:eastAsia="es-ES"/>
        </w:rPr>
      </w:pPr>
    </w:p>
    <w:p w:rsidR="00FB2A21" w:rsidRPr="004E7D44" w:rsidRDefault="00FB2A21" w:rsidP="00FB2A21">
      <w:pPr>
        <w:spacing w:after="0" w:line="360" w:lineRule="auto"/>
        <w:jc w:val="center"/>
        <w:rPr>
          <w:rFonts w:ascii="Arial" w:eastAsia="Times New Roman" w:hAnsi="Arial" w:cs="Arial"/>
          <w:b/>
          <w:bCs/>
          <w:sz w:val="26"/>
          <w:szCs w:val="26"/>
          <w:lang w:eastAsia="es-ES"/>
        </w:rPr>
      </w:pPr>
      <w:r w:rsidRPr="004E7D44">
        <w:rPr>
          <w:rFonts w:ascii="Arial" w:eastAsia="Times New Roman" w:hAnsi="Arial" w:cs="Arial"/>
          <w:b/>
          <w:w w:val="95"/>
          <w:sz w:val="26"/>
          <w:szCs w:val="26"/>
          <w:lang w:eastAsia="es-ES"/>
        </w:rPr>
        <w:t>C O N S I D E R A N D O</w:t>
      </w:r>
    </w:p>
    <w:p w:rsidR="00FB2A21" w:rsidRPr="00BC6C32" w:rsidRDefault="00FB2A21" w:rsidP="00FB2A21">
      <w:pPr>
        <w:spacing w:after="0" w:line="360" w:lineRule="auto"/>
        <w:ind w:firstLine="709"/>
        <w:jc w:val="both"/>
        <w:rPr>
          <w:rFonts w:ascii="Arial" w:eastAsia="Times New Roman" w:hAnsi="Arial" w:cs="Arial"/>
          <w:bCs/>
          <w:sz w:val="16"/>
          <w:szCs w:val="16"/>
          <w:lang w:val="es-ES_tradnl" w:eastAsia="es-ES"/>
        </w:rPr>
      </w:pPr>
    </w:p>
    <w:p w:rsidR="00FB2A21" w:rsidRPr="004E7D44" w:rsidRDefault="00FB2A21" w:rsidP="00FB2A21">
      <w:pPr>
        <w:spacing w:after="0" w:line="360" w:lineRule="auto"/>
        <w:ind w:firstLine="708"/>
        <w:jc w:val="both"/>
        <w:rPr>
          <w:rFonts w:ascii="Arial" w:eastAsia="Times New Roman" w:hAnsi="Arial" w:cs="Arial"/>
          <w:sz w:val="26"/>
          <w:szCs w:val="26"/>
          <w:lang w:eastAsia="es-ES"/>
        </w:rPr>
      </w:pPr>
      <w:r w:rsidRPr="004E7D44">
        <w:rPr>
          <w:rFonts w:ascii="Arial" w:eastAsia="Times New Roman" w:hAnsi="Arial" w:cs="Arial"/>
          <w:b/>
          <w:bCs/>
          <w:sz w:val="26"/>
          <w:szCs w:val="26"/>
          <w:lang w:eastAsia="es-ES"/>
        </w:rPr>
        <w:t>PRIMERO.-</w:t>
      </w:r>
      <w:r w:rsidRPr="004E7D44">
        <w:rPr>
          <w:rFonts w:ascii="Arial" w:eastAsia="Times New Roman" w:hAnsi="Arial" w:cs="Arial"/>
          <w:bCs/>
          <w:sz w:val="26"/>
          <w:szCs w:val="26"/>
          <w:lang w:eastAsia="es-ES"/>
        </w:rPr>
        <w:t xml:space="preserve"> </w:t>
      </w:r>
      <w:r w:rsidRPr="00F1263B">
        <w:rPr>
          <w:rFonts w:ascii="Arial" w:eastAsia="Calibri" w:hAnsi="Arial" w:cs="Arial"/>
          <w:sz w:val="26"/>
          <w:szCs w:val="26"/>
        </w:rPr>
        <w:t xml:space="preserve">A la </w:t>
      </w:r>
      <w:r w:rsidRPr="00F1263B">
        <w:rPr>
          <w:rFonts w:ascii="Arial" w:eastAsia="Calibri" w:hAnsi="Arial" w:cs="Arial"/>
          <w:b/>
          <w:sz w:val="26"/>
          <w:szCs w:val="26"/>
        </w:rPr>
        <w:t>Tercera Sala Unitaria del Tribunal Estatal de Justicia Administrativa</w:t>
      </w:r>
      <w:r w:rsidRPr="00F1263B">
        <w:rPr>
          <w:rFonts w:ascii="Arial" w:eastAsia="Calibri" w:hAnsi="Arial" w:cs="Arial"/>
          <w:sz w:val="26"/>
          <w:szCs w:val="26"/>
        </w:rPr>
        <w:t xml:space="preserve">, le corresponde conocer, substanciar y resolver los juicios de su competencia, en términos de los artículos 123 de la Constitución Política del Estado de San Luis Potosí; 1º, 2º, 7º fracción X, 9º fracción III, 24, 35 fracción VIII, de la Ley Orgánica del Tribunal Estatal de Justicia Administrativa de San Luis Potosí; 248, 249, 250 y 251 del Código Procesal Administrativo para el Estado de San Luis Potosí, 8 y 21 </w:t>
      </w:r>
      <w:r w:rsidRPr="004E7D44">
        <w:rPr>
          <w:rFonts w:ascii="Arial" w:eastAsia="Times New Roman" w:hAnsi="Arial" w:cs="Arial"/>
          <w:sz w:val="26"/>
          <w:szCs w:val="26"/>
          <w:lang w:eastAsia="es-ES"/>
        </w:rPr>
        <w:t>de la Ley de Responsabilidad Patrimonial del Estado y Municipios de San Luis Potosí; en virtud de que se trata de una reclamación en la vía contenciosa administrativa de responsabil</w:t>
      </w:r>
      <w:r w:rsidRPr="00F1263B">
        <w:rPr>
          <w:rFonts w:ascii="Arial" w:eastAsia="Times New Roman" w:hAnsi="Arial" w:cs="Arial"/>
          <w:sz w:val="26"/>
          <w:szCs w:val="26"/>
          <w:lang w:eastAsia="es-ES"/>
        </w:rPr>
        <w:t>idad patrimonial que se hace a la Secretaría de Comunicaciones y Transportes del Estado</w:t>
      </w:r>
      <w:r w:rsidRPr="004E7D44">
        <w:rPr>
          <w:rFonts w:ascii="Arial" w:eastAsia="Times New Roman" w:hAnsi="Arial" w:cs="Arial"/>
          <w:sz w:val="26"/>
          <w:szCs w:val="26"/>
          <w:lang w:eastAsia="es-ES"/>
        </w:rPr>
        <w:t>.</w:t>
      </w:r>
    </w:p>
    <w:p w:rsidR="00FB2A21" w:rsidRPr="00BC6C32" w:rsidRDefault="00FB2A21" w:rsidP="00FB2A21">
      <w:pPr>
        <w:autoSpaceDE w:val="0"/>
        <w:autoSpaceDN w:val="0"/>
        <w:adjustRightInd w:val="0"/>
        <w:spacing w:after="0" w:line="360" w:lineRule="auto"/>
        <w:ind w:firstLine="709"/>
        <w:jc w:val="both"/>
        <w:rPr>
          <w:rFonts w:ascii="Arial" w:eastAsia="Calibri" w:hAnsi="Arial" w:cs="Arial"/>
          <w:sz w:val="16"/>
          <w:szCs w:val="16"/>
        </w:rPr>
      </w:pPr>
    </w:p>
    <w:p w:rsidR="00FB2A21" w:rsidRDefault="00FB2A21" w:rsidP="00FB2A21">
      <w:pPr>
        <w:spacing w:before="240" w:after="240" w:line="360" w:lineRule="auto"/>
        <w:ind w:firstLine="708"/>
        <w:jc w:val="both"/>
        <w:rPr>
          <w:rFonts w:ascii="Arial" w:eastAsia="Calibri" w:hAnsi="Arial" w:cs="Arial"/>
          <w:color w:val="000000"/>
          <w:sz w:val="26"/>
          <w:szCs w:val="26"/>
        </w:rPr>
      </w:pPr>
      <w:r w:rsidRPr="004E7D44">
        <w:rPr>
          <w:rFonts w:ascii="Arial" w:eastAsia="Times New Roman" w:hAnsi="Arial" w:cs="Arial"/>
          <w:b/>
          <w:bCs/>
          <w:sz w:val="26"/>
          <w:szCs w:val="26"/>
          <w:lang w:eastAsia="es-ES"/>
        </w:rPr>
        <w:t>SEGUNDO.-</w:t>
      </w:r>
      <w:r w:rsidRPr="004E7D44">
        <w:rPr>
          <w:rFonts w:ascii="Arial" w:eastAsia="Times New Roman" w:hAnsi="Arial" w:cs="Arial"/>
          <w:bCs/>
          <w:sz w:val="26"/>
          <w:szCs w:val="26"/>
          <w:lang w:eastAsia="es-ES"/>
        </w:rPr>
        <w:t xml:space="preserve"> </w:t>
      </w:r>
      <w:r w:rsidRPr="00F1263B">
        <w:rPr>
          <w:rFonts w:ascii="Arial" w:eastAsia="Calibri" w:hAnsi="Arial" w:cs="Arial"/>
          <w:sz w:val="26"/>
          <w:szCs w:val="26"/>
        </w:rPr>
        <w:t>De acuerdo con lo que precisa el artículo 221 del Código Procesal Administrativo para el Estado de San Luis Potosí</w:t>
      </w:r>
      <w:r w:rsidRPr="00F1263B">
        <w:rPr>
          <w:rFonts w:ascii="Arial" w:eastAsia="Calibri" w:hAnsi="Arial" w:cs="Arial"/>
          <w:color w:val="000000"/>
          <w:sz w:val="26"/>
          <w:szCs w:val="26"/>
        </w:rPr>
        <w:t>, esta Sala, procede a analizar la legitimación</w:t>
      </w:r>
      <w:r w:rsidRPr="00CE10B8">
        <w:rPr>
          <w:rFonts w:ascii="Arial" w:eastAsia="Calibri" w:hAnsi="Arial" w:cs="Arial"/>
          <w:color w:val="000000"/>
          <w:sz w:val="26"/>
          <w:szCs w:val="26"/>
        </w:rPr>
        <w:t xml:space="preserve"> del compareciente en este juicio.</w:t>
      </w:r>
    </w:p>
    <w:p w:rsidR="00FB2A21" w:rsidRPr="00CE10B8" w:rsidRDefault="00FB2A21" w:rsidP="00FB2A21">
      <w:pPr>
        <w:spacing w:after="0" w:line="360" w:lineRule="auto"/>
        <w:ind w:firstLine="709"/>
        <w:jc w:val="both"/>
        <w:rPr>
          <w:rFonts w:ascii="Arial" w:eastAsia="Calibri" w:hAnsi="Arial" w:cs="Arial"/>
          <w:sz w:val="26"/>
          <w:szCs w:val="26"/>
        </w:rPr>
      </w:pPr>
      <w:r w:rsidRPr="00CE10B8">
        <w:rPr>
          <w:rFonts w:ascii="Arial" w:hAnsi="Arial" w:cs="Arial"/>
          <w:color w:val="000000"/>
          <w:sz w:val="26"/>
          <w:szCs w:val="26"/>
        </w:rPr>
        <w:t xml:space="preserve">La </w:t>
      </w:r>
      <w:r w:rsidRPr="00CE10B8">
        <w:rPr>
          <w:rFonts w:ascii="Arial" w:eastAsia="Calibri" w:hAnsi="Arial" w:cs="Arial"/>
          <w:sz w:val="26"/>
          <w:szCs w:val="26"/>
        </w:rPr>
        <w:t>persona moral denominada “</w:t>
      </w:r>
      <w:r w:rsidR="00350150">
        <w:rPr>
          <w:rFonts w:ascii="Arial" w:eastAsia="Calibri" w:hAnsi="Arial" w:cs="Arial"/>
          <w:color w:val="FF0000"/>
          <w:sz w:val="26"/>
          <w:szCs w:val="26"/>
        </w:rPr>
        <w:t>**********</w:t>
      </w:r>
      <w:r w:rsidRPr="00CE10B8">
        <w:rPr>
          <w:rFonts w:ascii="Arial" w:eastAsia="Calibri" w:hAnsi="Arial" w:cs="Arial"/>
          <w:sz w:val="26"/>
          <w:szCs w:val="26"/>
        </w:rPr>
        <w:t>, compareció por conducto de</w:t>
      </w:r>
      <w:r>
        <w:rPr>
          <w:rFonts w:ascii="Arial" w:eastAsia="Calibri" w:hAnsi="Arial" w:cs="Arial"/>
          <w:sz w:val="26"/>
          <w:szCs w:val="26"/>
        </w:rPr>
        <w:t>l Presidente del Consejo de Administración</w:t>
      </w:r>
      <w:r w:rsidRPr="00CE10B8">
        <w:rPr>
          <w:rFonts w:ascii="Arial" w:eastAsia="Calibri" w:hAnsi="Arial" w:cs="Arial"/>
          <w:sz w:val="26"/>
          <w:szCs w:val="26"/>
        </w:rPr>
        <w:t>,</w:t>
      </w:r>
      <w:r>
        <w:rPr>
          <w:rFonts w:ascii="Arial" w:eastAsia="Calibri" w:hAnsi="Arial" w:cs="Arial"/>
          <w:sz w:val="26"/>
          <w:szCs w:val="26"/>
        </w:rPr>
        <w:t xml:space="preserve"> </w:t>
      </w:r>
      <w:r w:rsidR="00350150">
        <w:rPr>
          <w:rFonts w:ascii="Arial" w:eastAsia="Calibri" w:hAnsi="Arial" w:cs="Arial"/>
          <w:color w:val="FF0000"/>
          <w:sz w:val="26"/>
          <w:szCs w:val="26"/>
        </w:rPr>
        <w:t>**********</w:t>
      </w:r>
      <w:r>
        <w:rPr>
          <w:rFonts w:ascii="Arial" w:eastAsia="Calibri" w:hAnsi="Arial" w:cs="Arial"/>
          <w:sz w:val="26"/>
          <w:szCs w:val="26"/>
        </w:rPr>
        <w:t xml:space="preserve">, lo que justificó con la copia certificada del instrumento notarial </w:t>
      </w:r>
      <w:r w:rsidR="00350150">
        <w:rPr>
          <w:rFonts w:ascii="Arial" w:eastAsia="Calibri" w:hAnsi="Arial" w:cs="Arial"/>
          <w:color w:val="FF0000"/>
          <w:sz w:val="26"/>
          <w:szCs w:val="26"/>
        </w:rPr>
        <w:t>**********</w:t>
      </w:r>
      <w:r>
        <w:rPr>
          <w:rFonts w:ascii="Arial" w:eastAsia="Calibri" w:hAnsi="Arial" w:cs="Arial"/>
          <w:sz w:val="26"/>
          <w:szCs w:val="26"/>
        </w:rPr>
        <w:t xml:space="preserve">y Tomo </w:t>
      </w:r>
      <w:r w:rsidR="00350150">
        <w:rPr>
          <w:rFonts w:ascii="Arial" w:eastAsia="Calibri" w:hAnsi="Arial" w:cs="Arial"/>
          <w:color w:val="FF0000"/>
          <w:sz w:val="26"/>
          <w:szCs w:val="26"/>
        </w:rPr>
        <w:t>**********</w:t>
      </w:r>
      <w:r w:rsidRPr="00CE10B8">
        <w:rPr>
          <w:rFonts w:ascii="Arial" w:eastAsia="Calibri" w:hAnsi="Arial" w:cs="Arial"/>
          <w:sz w:val="26"/>
          <w:szCs w:val="26"/>
        </w:rPr>
        <w:t xml:space="preserve">, protocolizado ante la fe del Notario Público No. </w:t>
      </w:r>
      <w:r w:rsidR="00350150">
        <w:rPr>
          <w:rFonts w:ascii="Arial" w:eastAsia="Calibri" w:hAnsi="Arial" w:cs="Arial"/>
          <w:color w:val="FF0000"/>
          <w:sz w:val="26"/>
          <w:szCs w:val="26"/>
        </w:rPr>
        <w:t>**********</w:t>
      </w:r>
      <w:r w:rsidRPr="00CE10B8">
        <w:rPr>
          <w:rFonts w:ascii="Arial" w:eastAsia="Calibri" w:hAnsi="Arial" w:cs="Arial"/>
          <w:sz w:val="26"/>
          <w:szCs w:val="26"/>
        </w:rPr>
        <w:t xml:space="preserve">, </w:t>
      </w:r>
      <w:proofErr w:type="gramStart"/>
      <w:r w:rsidRPr="00CE10B8">
        <w:rPr>
          <w:rFonts w:ascii="Arial" w:eastAsia="Calibri" w:hAnsi="Arial" w:cs="Arial"/>
          <w:sz w:val="26"/>
          <w:szCs w:val="26"/>
        </w:rPr>
        <w:t>con</w:t>
      </w:r>
      <w:proofErr w:type="gramEnd"/>
      <w:r w:rsidRPr="00CE10B8">
        <w:rPr>
          <w:rFonts w:ascii="Arial" w:eastAsia="Calibri" w:hAnsi="Arial" w:cs="Arial"/>
          <w:sz w:val="26"/>
          <w:szCs w:val="26"/>
        </w:rPr>
        <w:t xml:space="preserve"> residencia en esta Ciudad Capital, documento que acompañó al escrito inicial de demanda, visible en fojas 1</w:t>
      </w:r>
      <w:r>
        <w:rPr>
          <w:rFonts w:ascii="Arial" w:eastAsia="Calibri" w:hAnsi="Arial" w:cs="Arial"/>
          <w:sz w:val="26"/>
          <w:szCs w:val="26"/>
        </w:rPr>
        <w:t>9</w:t>
      </w:r>
      <w:r w:rsidRPr="00CE10B8">
        <w:rPr>
          <w:rFonts w:ascii="Arial" w:eastAsia="Calibri" w:hAnsi="Arial" w:cs="Arial"/>
          <w:sz w:val="26"/>
          <w:szCs w:val="26"/>
        </w:rPr>
        <w:t xml:space="preserve"> a 3</w:t>
      </w:r>
      <w:r>
        <w:rPr>
          <w:rFonts w:ascii="Arial" w:eastAsia="Calibri" w:hAnsi="Arial" w:cs="Arial"/>
          <w:sz w:val="26"/>
          <w:szCs w:val="26"/>
        </w:rPr>
        <w:t>8</w:t>
      </w:r>
      <w:r w:rsidRPr="00CE10B8">
        <w:rPr>
          <w:rFonts w:ascii="Arial" w:eastAsia="Calibri" w:hAnsi="Arial" w:cs="Arial"/>
          <w:sz w:val="26"/>
          <w:szCs w:val="26"/>
        </w:rPr>
        <w:t xml:space="preserve"> de este sumario. </w:t>
      </w:r>
    </w:p>
    <w:p w:rsidR="00FB2A21" w:rsidRPr="006C5295" w:rsidRDefault="00FB2A21" w:rsidP="00FB2A21">
      <w:pPr>
        <w:autoSpaceDE w:val="0"/>
        <w:autoSpaceDN w:val="0"/>
        <w:adjustRightInd w:val="0"/>
        <w:spacing w:before="240" w:after="240" w:line="360" w:lineRule="auto"/>
        <w:ind w:firstLine="709"/>
        <w:jc w:val="both"/>
        <w:rPr>
          <w:rFonts w:ascii="Arial" w:eastAsia="Calibri" w:hAnsi="Arial" w:cs="Arial"/>
          <w:sz w:val="26"/>
          <w:szCs w:val="26"/>
        </w:rPr>
      </w:pPr>
      <w:r w:rsidRPr="006C5295">
        <w:rPr>
          <w:rFonts w:ascii="Arial" w:hAnsi="Arial" w:cs="Arial"/>
          <w:color w:val="000000"/>
          <w:sz w:val="26"/>
          <w:szCs w:val="26"/>
        </w:rPr>
        <w:t xml:space="preserve">Por su parte, el </w:t>
      </w:r>
      <w:r>
        <w:rPr>
          <w:rFonts w:ascii="Arial" w:hAnsi="Arial" w:cs="Arial"/>
          <w:color w:val="000000"/>
          <w:sz w:val="26"/>
          <w:szCs w:val="26"/>
        </w:rPr>
        <w:t>Secretario de Comunicaciones y Transportes del Estado</w:t>
      </w:r>
      <w:r w:rsidRPr="006C5295">
        <w:rPr>
          <w:rFonts w:ascii="Arial" w:hAnsi="Arial" w:cs="Arial"/>
          <w:color w:val="000000"/>
          <w:sz w:val="26"/>
          <w:szCs w:val="26"/>
        </w:rPr>
        <w:t xml:space="preserve">, </w:t>
      </w:r>
      <w:r w:rsidRPr="006C5295">
        <w:rPr>
          <w:rFonts w:ascii="Arial" w:eastAsia="Calibri" w:hAnsi="Arial" w:cs="Arial"/>
          <w:sz w:val="26"/>
          <w:szCs w:val="26"/>
        </w:rPr>
        <w:t xml:space="preserve">acreditó su personalidad, en términos del tercer párrafo del numeral 220 del Código Procesal Administrativo para el Estado de San </w:t>
      </w:r>
      <w:r>
        <w:rPr>
          <w:rFonts w:ascii="Arial" w:eastAsia="Calibri" w:hAnsi="Arial" w:cs="Arial"/>
          <w:sz w:val="26"/>
          <w:szCs w:val="26"/>
        </w:rPr>
        <w:t>Luis Potosí</w:t>
      </w:r>
      <w:r w:rsidRPr="006C5295">
        <w:rPr>
          <w:rFonts w:ascii="Arial" w:eastAsia="Calibri" w:hAnsi="Arial" w:cs="Arial"/>
          <w:smallCaps/>
          <w:sz w:val="26"/>
          <w:szCs w:val="26"/>
        </w:rPr>
        <w:t xml:space="preserve">, </w:t>
      </w:r>
      <w:r w:rsidRPr="006C5295">
        <w:rPr>
          <w:rFonts w:ascii="Arial" w:eastAsia="Calibri" w:hAnsi="Arial" w:cs="Arial"/>
          <w:sz w:val="26"/>
          <w:szCs w:val="26"/>
        </w:rPr>
        <w:t xml:space="preserve">con la copia certificada del nombramiento expedido a su favor, el cual se localiza a fojas </w:t>
      </w:r>
      <w:r>
        <w:rPr>
          <w:rFonts w:ascii="Arial" w:eastAsia="Calibri" w:hAnsi="Arial" w:cs="Arial"/>
          <w:sz w:val="26"/>
          <w:szCs w:val="26"/>
        </w:rPr>
        <w:t>458</w:t>
      </w:r>
      <w:r w:rsidRPr="006C5295">
        <w:rPr>
          <w:rFonts w:ascii="Arial" w:eastAsia="Calibri" w:hAnsi="Arial" w:cs="Arial"/>
          <w:sz w:val="26"/>
          <w:szCs w:val="26"/>
        </w:rPr>
        <w:t xml:space="preserve"> de autos.</w:t>
      </w:r>
    </w:p>
    <w:p w:rsidR="00FB2A21" w:rsidRPr="00FB5B14" w:rsidRDefault="00FB2A21" w:rsidP="00FB2A21">
      <w:pPr>
        <w:spacing w:before="240" w:after="240" w:line="360" w:lineRule="auto"/>
        <w:ind w:firstLine="708"/>
        <w:jc w:val="both"/>
        <w:rPr>
          <w:rFonts w:ascii="Arial" w:eastAsia="Calibri" w:hAnsi="Arial" w:cs="Arial"/>
          <w:sz w:val="26"/>
          <w:szCs w:val="26"/>
        </w:rPr>
      </w:pPr>
      <w:r w:rsidRPr="00FB5B14">
        <w:rPr>
          <w:rFonts w:ascii="Arial" w:eastAsia="Calibri" w:hAnsi="Arial" w:cs="Arial"/>
          <w:sz w:val="26"/>
          <w:szCs w:val="26"/>
        </w:rPr>
        <w:t>Documentales que hacen prueba plena, en términos del artículo 72 fracción I del Código Procesal Administrativo para el Estado de San Luis Potosí.</w:t>
      </w:r>
    </w:p>
    <w:p w:rsidR="00FB2A21" w:rsidRPr="00BC6C32" w:rsidRDefault="00FB2A21" w:rsidP="00FB2A21">
      <w:pPr>
        <w:spacing w:after="0" w:line="360" w:lineRule="auto"/>
        <w:ind w:firstLine="709"/>
        <w:jc w:val="both"/>
        <w:rPr>
          <w:rFonts w:ascii="Arial Narrow" w:eastAsia="Times New Roman" w:hAnsi="Arial Narrow" w:cs="Arial"/>
          <w:bCs/>
          <w:sz w:val="16"/>
          <w:szCs w:val="16"/>
          <w:lang w:eastAsia="es-ES"/>
        </w:rPr>
      </w:pPr>
    </w:p>
    <w:p w:rsidR="00FB2A21" w:rsidRPr="002C0141" w:rsidRDefault="00FB2A21" w:rsidP="00FB2A21">
      <w:pPr>
        <w:spacing w:after="0" w:line="360" w:lineRule="auto"/>
        <w:ind w:firstLine="709"/>
        <w:jc w:val="both"/>
        <w:rPr>
          <w:rFonts w:ascii="Arial" w:eastAsia="Calibri" w:hAnsi="Arial" w:cs="Arial"/>
          <w:sz w:val="26"/>
          <w:szCs w:val="26"/>
        </w:rPr>
      </w:pPr>
      <w:r w:rsidRPr="002C0141">
        <w:rPr>
          <w:rFonts w:ascii="Arial" w:eastAsia="Times New Roman" w:hAnsi="Arial" w:cs="Arial"/>
          <w:b/>
          <w:bCs/>
          <w:sz w:val="26"/>
          <w:szCs w:val="26"/>
          <w:lang w:eastAsia="es-ES"/>
        </w:rPr>
        <w:t xml:space="preserve">TERCERO.- </w:t>
      </w:r>
      <w:r w:rsidRPr="002C0141">
        <w:rPr>
          <w:rFonts w:ascii="Arial" w:eastAsia="Calibri" w:hAnsi="Arial" w:cs="Arial"/>
          <w:sz w:val="26"/>
          <w:szCs w:val="26"/>
        </w:rPr>
        <w:t>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FB2A21" w:rsidRPr="00BC6C32" w:rsidRDefault="00FB2A21" w:rsidP="00FB2A21">
      <w:pPr>
        <w:spacing w:after="0" w:line="360" w:lineRule="auto"/>
        <w:ind w:firstLine="709"/>
        <w:jc w:val="both"/>
        <w:rPr>
          <w:rFonts w:ascii="Arial" w:eastAsia="Calibri" w:hAnsi="Arial" w:cs="Arial"/>
          <w:sz w:val="16"/>
          <w:szCs w:val="16"/>
        </w:rPr>
      </w:pPr>
    </w:p>
    <w:p w:rsidR="00FB2A21" w:rsidRPr="002C0141" w:rsidRDefault="00FB2A21" w:rsidP="00FB2A21">
      <w:pPr>
        <w:spacing w:after="120" w:line="360" w:lineRule="auto"/>
        <w:ind w:firstLine="708"/>
        <w:jc w:val="both"/>
        <w:rPr>
          <w:rFonts w:ascii="Arial" w:eastAsia="Calibri" w:hAnsi="Arial" w:cs="Arial"/>
          <w:sz w:val="26"/>
          <w:szCs w:val="26"/>
        </w:rPr>
      </w:pPr>
      <w:r w:rsidRPr="002C0141">
        <w:rPr>
          <w:rFonts w:ascii="Arial" w:eastAsia="Calibri" w:hAnsi="Arial" w:cs="Arial"/>
          <w:sz w:val="26"/>
          <w:szCs w:val="26"/>
        </w:rPr>
        <w:t>Atento a lo anterior, esta Sala Unitaria advierte que la autoridad demandada, propone la causal de improcedencia a que se refiere la fracción VI del artículo 228 del Código Procesal Administrativo para el Estado de San Luis Potosí, que establece:</w:t>
      </w:r>
    </w:p>
    <w:p w:rsidR="00FB2A21" w:rsidRPr="00BC6C32" w:rsidRDefault="00FB2A21" w:rsidP="00FB2A21">
      <w:pPr>
        <w:spacing w:after="120" w:line="360" w:lineRule="auto"/>
        <w:ind w:firstLine="708"/>
        <w:jc w:val="both"/>
        <w:rPr>
          <w:rFonts w:ascii="Arial" w:eastAsia="Calibri" w:hAnsi="Arial" w:cs="Arial"/>
          <w:sz w:val="16"/>
          <w:szCs w:val="16"/>
        </w:rPr>
      </w:pPr>
    </w:p>
    <w:p w:rsidR="00FB2A21" w:rsidRPr="00AD1B43" w:rsidRDefault="00FB2A21" w:rsidP="00FB2A21">
      <w:pPr>
        <w:spacing w:after="120" w:line="240" w:lineRule="auto"/>
        <w:ind w:firstLine="709"/>
        <w:jc w:val="both"/>
        <w:rPr>
          <w:rFonts w:ascii="Arial Narrow" w:eastAsia="Calibri" w:hAnsi="Arial Narrow" w:cs="Arial"/>
          <w:b/>
          <w:i/>
          <w:sz w:val="26"/>
          <w:szCs w:val="26"/>
        </w:rPr>
      </w:pPr>
      <w:r w:rsidRPr="00AD1B43">
        <w:rPr>
          <w:rFonts w:ascii="Arial Narrow" w:eastAsia="Calibri" w:hAnsi="Arial Narrow" w:cs="Arial"/>
          <w:b/>
          <w:i/>
          <w:sz w:val="26"/>
          <w:szCs w:val="26"/>
        </w:rPr>
        <w:t>“ARTICULO 228.- Es improcedente el juicio ante el Tribunal contra actos:</w:t>
      </w:r>
    </w:p>
    <w:p w:rsidR="00FB2A21" w:rsidRPr="00AD1B43" w:rsidRDefault="00FB2A21" w:rsidP="00FB2A21">
      <w:pPr>
        <w:spacing w:after="120" w:line="240" w:lineRule="auto"/>
        <w:ind w:firstLine="709"/>
        <w:jc w:val="both"/>
        <w:rPr>
          <w:rFonts w:ascii="Arial Narrow" w:eastAsia="Calibri" w:hAnsi="Arial Narrow" w:cs="Arial"/>
          <w:b/>
          <w:i/>
          <w:sz w:val="26"/>
          <w:szCs w:val="26"/>
        </w:rPr>
      </w:pPr>
      <w:r w:rsidRPr="00AD1B43">
        <w:rPr>
          <w:rFonts w:ascii="Arial Narrow" w:eastAsia="Calibri" w:hAnsi="Arial Narrow" w:cs="Arial"/>
          <w:b/>
          <w:i/>
          <w:sz w:val="26"/>
          <w:szCs w:val="26"/>
        </w:rPr>
        <w:t>VI.- Contra actos consentidos expresamente o por manifestaciones de voluntad que entrañen ese consentimiento, entendiéndose por estos últimos, aquellos en contra de los cuales no se promueva el juicio dentro de los plazos que para tal efecto señala este Libro;”</w:t>
      </w:r>
    </w:p>
    <w:p w:rsidR="00FB2A21" w:rsidRPr="00BC6C32" w:rsidRDefault="00FB2A21" w:rsidP="00FB2A21">
      <w:pPr>
        <w:spacing w:after="0" w:line="360" w:lineRule="auto"/>
        <w:ind w:firstLine="709"/>
        <w:jc w:val="both"/>
        <w:rPr>
          <w:rFonts w:ascii="Arial Narrow" w:eastAsia="Times New Roman" w:hAnsi="Arial Narrow" w:cs="Arial"/>
          <w:bCs/>
          <w:sz w:val="16"/>
          <w:szCs w:val="16"/>
          <w:lang w:eastAsia="es-ES"/>
        </w:rPr>
      </w:pPr>
    </w:p>
    <w:p w:rsidR="00FB2A21" w:rsidRPr="002C0141" w:rsidRDefault="00FB2A21" w:rsidP="00FB2A21">
      <w:pPr>
        <w:spacing w:after="0" w:line="360" w:lineRule="auto"/>
        <w:ind w:firstLine="709"/>
        <w:jc w:val="both"/>
        <w:rPr>
          <w:rFonts w:ascii="Arial" w:eastAsia="Times New Roman" w:hAnsi="Arial" w:cs="Arial"/>
          <w:bCs/>
          <w:sz w:val="26"/>
          <w:szCs w:val="26"/>
          <w:lang w:eastAsia="es-ES"/>
        </w:rPr>
      </w:pPr>
      <w:r w:rsidRPr="002C0141">
        <w:rPr>
          <w:rFonts w:ascii="Arial" w:eastAsia="Times New Roman" w:hAnsi="Arial" w:cs="Arial"/>
          <w:bCs/>
          <w:sz w:val="26"/>
          <w:szCs w:val="26"/>
          <w:lang w:eastAsia="es-ES"/>
        </w:rPr>
        <w:t xml:space="preserve">Al advertir la causal antes citada, la demandada señala que en términos de lo dispuesto por el artículo 39 de la Ley de Responsabilidad Patrimonial del Estado y Municipios de San Luis Potosí, el plazo para prescripción de la acción intentada en el presente juicio, comenzó a computarse a partir de la fecha de emisión de la sentencia emitida por este Tribunal en el juicio de nulidad </w:t>
      </w:r>
      <w:r w:rsidR="00350150">
        <w:rPr>
          <w:rFonts w:ascii="Arial" w:eastAsia="Times New Roman" w:hAnsi="Arial" w:cs="Arial"/>
          <w:bCs/>
          <w:color w:val="FF0000"/>
          <w:sz w:val="26"/>
          <w:szCs w:val="26"/>
          <w:lang w:eastAsia="es-ES"/>
        </w:rPr>
        <w:t>**********</w:t>
      </w:r>
      <w:r w:rsidRPr="002C0141">
        <w:rPr>
          <w:rFonts w:ascii="Arial" w:eastAsia="Times New Roman" w:hAnsi="Arial" w:cs="Arial"/>
          <w:bCs/>
          <w:sz w:val="26"/>
          <w:szCs w:val="26"/>
          <w:lang w:eastAsia="es-ES"/>
        </w:rPr>
        <w:t xml:space="preserve">, es decir de 29 de octubre de 2018, por lo que es palmario que ha transcurrido en exceso el plazo que la citada porción normativa otorga al accionante para su reclamación, más aún de considerarse que el plazo para demandar la indemnización pretendida por la actora debiera comenzar a computarse a partir de la fecha en que causó ejecutoria la sentencia recaída al juicio de nulidad </w:t>
      </w:r>
      <w:r w:rsidR="00350150">
        <w:rPr>
          <w:rFonts w:ascii="Arial" w:eastAsia="Times New Roman" w:hAnsi="Arial" w:cs="Arial"/>
          <w:bCs/>
          <w:color w:val="FF0000"/>
          <w:sz w:val="26"/>
          <w:szCs w:val="26"/>
          <w:lang w:eastAsia="es-ES"/>
        </w:rPr>
        <w:t>**********</w:t>
      </w:r>
      <w:r w:rsidRPr="002C0141">
        <w:rPr>
          <w:rFonts w:ascii="Arial" w:eastAsia="Times New Roman" w:hAnsi="Arial" w:cs="Arial"/>
          <w:bCs/>
          <w:sz w:val="26"/>
          <w:szCs w:val="26"/>
          <w:lang w:eastAsia="es-ES"/>
        </w:rPr>
        <w:t>, es decir, el 13 de marzo de 2019, de cualquier modo, habría excedido el término que la ley de la materia otorga para tal efecto.</w:t>
      </w:r>
    </w:p>
    <w:p w:rsidR="00FB2A21" w:rsidRPr="00BC6C32" w:rsidRDefault="00FB2A21" w:rsidP="00FB2A21">
      <w:pPr>
        <w:spacing w:after="0" w:line="360" w:lineRule="auto"/>
        <w:ind w:firstLine="709"/>
        <w:jc w:val="both"/>
        <w:rPr>
          <w:rFonts w:ascii="Arial" w:eastAsia="Times New Roman" w:hAnsi="Arial" w:cs="Arial"/>
          <w:bCs/>
          <w:sz w:val="16"/>
          <w:szCs w:val="16"/>
          <w:lang w:eastAsia="es-ES"/>
        </w:rPr>
      </w:pPr>
    </w:p>
    <w:p w:rsidR="00FB2A21" w:rsidRDefault="00FB2A21" w:rsidP="00FB2A21">
      <w:pPr>
        <w:spacing w:after="0" w:line="360" w:lineRule="auto"/>
        <w:ind w:firstLine="709"/>
        <w:jc w:val="both"/>
        <w:rPr>
          <w:rFonts w:ascii="Arial" w:eastAsia="Times New Roman" w:hAnsi="Arial" w:cs="Arial"/>
          <w:sz w:val="26"/>
          <w:szCs w:val="26"/>
          <w:lang w:eastAsia="es-ES"/>
        </w:rPr>
      </w:pPr>
      <w:r w:rsidRPr="002C0141">
        <w:rPr>
          <w:rFonts w:ascii="Arial" w:eastAsia="Calibri" w:hAnsi="Arial" w:cs="Arial"/>
          <w:sz w:val="26"/>
          <w:szCs w:val="26"/>
          <w:lang w:val="es-ES"/>
        </w:rPr>
        <w:t>En base a lo anterior, es necesario precisar que, atendiendo a la causa de pedir, el demandante reclama de</w:t>
      </w:r>
      <w:r w:rsidRPr="002C0141">
        <w:rPr>
          <w:rFonts w:ascii="Arial" w:eastAsia="Times New Roman" w:hAnsi="Arial" w:cs="Arial"/>
          <w:sz w:val="26"/>
          <w:szCs w:val="26"/>
          <w:lang w:eastAsia="es-ES"/>
        </w:rPr>
        <w:t xml:space="preserve"> la Secretaría de Comunicaciones y Transportes del Estado, la responsabilidad patrimonial, derivada de la defensa jurídica en la instancia ordinaria de nulidad, dentro del juicio </w:t>
      </w:r>
      <w:r w:rsidR="00350150">
        <w:rPr>
          <w:rFonts w:ascii="Arial" w:eastAsia="Times New Roman" w:hAnsi="Arial" w:cs="Arial"/>
          <w:color w:val="FF0000"/>
          <w:sz w:val="26"/>
          <w:szCs w:val="26"/>
          <w:lang w:eastAsia="es-ES"/>
        </w:rPr>
        <w:t>**********</w:t>
      </w:r>
      <w:r w:rsidRPr="002C0141">
        <w:rPr>
          <w:rFonts w:ascii="Arial" w:eastAsia="Times New Roman" w:hAnsi="Arial" w:cs="Arial"/>
          <w:sz w:val="26"/>
          <w:szCs w:val="26"/>
          <w:lang w:eastAsia="es-ES"/>
        </w:rPr>
        <w:t xml:space="preserve">y en la segunda instancia toca </w:t>
      </w:r>
      <w:r w:rsidR="00350150">
        <w:rPr>
          <w:rFonts w:ascii="Arial" w:eastAsia="Times New Roman" w:hAnsi="Arial" w:cs="Arial"/>
          <w:color w:val="FF0000"/>
          <w:sz w:val="26"/>
          <w:szCs w:val="26"/>
          <w:lang w:eastAsia="es-ES"/>
        </w:rPr>
        <w:t>**********</w:t>
      </w:r>
      <w:r w:rsidRPr="002C0141">
        <w:rPr>
          <w:rFonts w:ascii="Arial" w:eastAsia="Times New Roman" w:hAnsi="Arial" w:cs="Arial"/>
          <w:sz w:val="26"/>
          <w:szCs w:val="26"/>
          <w:lang w:eastAsia="es-ES"/>
        </w:rPr>
        <w:t>, por la apelación que infundadamente interpuso la demandada, carga que a decir del actor, no tenía obligación de soportar si no hubiese actuado irregularmente con su conducta administrativa el estado que la sujetó, obligó y sometió a un juicio y a un litigio por meses, con la alteración emocional de los socios de la actora de ver interrumpido el servicio público de transporte urbano, con la zozobra e incertidumbre además de que la autoridad hiciera uso de sus facultades coactivas de retirarles la concesión del servicio auxiliar del transporte que presta en el área metropolitana de San Luis Potosí, a través de la tarjeta Urban Pass acreditada mercantilmente, con un registro de marca licenciado, que le permite usar en exclusiva del privilegio de su explotación en términos de la Ley de Propiedad Industrial y que con el requerimiento después que la jurisdicción administrativa fuera anulado y puesto en peligro y riesgo</w:t>
      </w:r>
      <w:r>
        <w:rPr>
          <w:rFonts w:ascii="Arial" w:eastAsia="Times New Roman" w:hAnsi="Arial" w:cs="Arial"/>
          <w:sz w:val="26"/>
          <w:szCs w:val="26"/>
          <w:lang w:eastAsia="es-ES"/>
        </w:rPr>
        <w:t>.</w:t>
      </w:r>
    </w:p>
    <w:p w:rsidR="00FB2A21" w:rsidRPr="00BC6C32" w:rsidRDefault="00FB2A21" w:rsidP="00FB2A21">
      <w:pPr>
        <w:spacing w:after="0" w:line="360" w:lineRule="auto"/>
        <w:ind w:firstLine="709"/>
        <w:jc w:val="both"/>
        <w:rPr>
          <w:rFonts w:ascii="Arial" w:eastAsia="Times New Roman" w:hAnsi="Arial" w:cs="Arial"/>
          <w:sz w:val="16"/>
          <w:szCs w:val="16"/>
          <w:lang w:eastAsia="es-ES"/>
        </w:rPr>
      </w:pPr>
    </w:p>
    <w:p w:rsidR="00FB2A21" w:rsidRDefault="00FB2A21" w:rsidP="00FB2A21">
      <w:pPr>
        <w:spacing w:after="0" w:line="360" w:lineRule="auto"/>
        <w:ind w:firstLine="709"/>
        <w:jc w:val="both"/>
        <w:rPr>
          <w:rFonts w:ascii="Arial" w:eastAsia="Calibri" w:hAnsi="Arial" w:cs="Arial"/>
          <w:sz w:val="26"/>
          <w:szCs w:val="26"/>
          <w:lang w:val="es-ES"/>
        </w:rPr>
      </w:pPr>
      <w:r>
        <w:rPr>
          <w:rFonts w:ascii="Arial" w:eastAsia="Calibri" w:hAnsi="Arial" w:cs="Arial"/>
          <w:sz w:val="26"/>
          <w:szCs w:val="26"/>
          <w:lang w:val="es-ES"/>
        </w:rPr>
        <w:t xml:space="preserve">Por tanto, tenemos que el demandante señala como antecedentes de su demanda que el día dieciocho de febrero de dos mil dieciocho, la Secretaría de Comunicaciones y Transportes del Estado, a través del Director General de Transporte Colectivo Metropolitano, el oficio SCT-DGTCM, dirigido a la parte actora y mediante el cual le exigía la entrega en un término perentorio, con apercibimiento, la entrega de las llaves del sistema tecnológico que se emplea para la tarifa especial de prepago, conocida como tarjeta inteligente denominada Urban Pass, que en contra de dicha actuación de la autoridad, promovió el juicio administrativo de nulidad, habiéndose tramitado ante este Tribunal en el expediente </w:t>
      </w:r>
      <w:r w:rsidR="00350150">
        <w:rPr>
          <w:rFonts w:ascii="Arial" w:eastAsia="Calibri" w:hAnsi="Arial" w:cs="Arial"/>
          <w:color w:val="FF0000"/>
          <w:sz w:val="26"/>
          <w:szCs w:val="26"/>
          <w:lang w:val="es-ES"/>
        </w:rPr>
        <w:t>**********</w:t>
      </w:r>
      <w:r>
        <w:rPr>
          <w:rFonts w:ascii="Arial" w:eastAsia="Calibri" w:hAnsi="Arial" w:cs="Arial"/>
          <w:sz w:val="26"/>
          <w:szCs w:val="26"/>
          <w:lang w:val="es-ES"/>
        </w:rPr>
        <w:t xml:space="preserve">, resuelto el día 29 de octubre de 2018, por la Tercera Sala Unitaria, declarándose la ilegalidad e invalidez de la conducta administrativa y la nulidad lisa y llana de la resolución o acto administrativo impugnado, que en contra de dicha resolución la autoridad interpuso recurso de apelación en contra del fallo que decretó la nulidad, mismo que resultó desfavorable el día 29 de diciembre de 2018 en el toca de segunda instancia número </w:t>
      </w:r>
      <w:r w:rsidR="00350150">
        <w:rPr>
          <w:rFonts w:ascii="Arial" w:eastAsia="Calibri" w:hAnsi="Arial" w:cs="Arial"/>
          <w:color w:val="FF0000"/>
          <w:sz w:val="26"/>
          <w:szCs w:val="26"/>
          <w:lang w:val="es-ES"/>
        </w:rPr>
        <w:t>**********</w:t>
      </w:r>
      <w:r>
        <w:rPr>
          <w:rFonts w:ascii="Arial" w:eastAsia="Calibri" w:hAnsi="Arial" w:cs="Arial"/>
          <w:sz w:val="26"/>
          <w:szCs w:val="26"/>
          <w:lang w:val="es-ES"/>
        </w:rPr>
        <w:t>de la Sala Superior de este Tribunal Administrativo, por lo que la parte actora, considera que ha recibido un menoscabo patrimonial con motivo de la contratación que para la defensa legal pactó con sus asesores jurídicos, el cual manifiesta debe ser resarcido con cargo a la demandada.</w:t>
      </w:r>
    </w:p>
    <w:p w:rsidR="00FB2A21" w:rsidRDefault="00FB2A21" w:rsidP="00FB2A21">
      <w:pPr>
        <w:spacing w:after="0" w:line="360" w:lineRule="auto"/>
        <w:ind w:firstLine="709"/>
        <w:jc w:val="both"/>
        <w:rPr>
          <w:rFonts w:ascii="Arial" w:eastAsia="Calibri" w:hAnsi="Arial" w:cs="Arial"/>
          <w:sz w:val="26"/>
          <w:szCs w:val="26"/>
          <w:lang w:val="es-ES"/>
        </w:rPr>
      </w:pPr>
    </w:p>
    <w:p w:rsidR="00FB2A21" w:rsidRDefault="00FB2A21" w:rsidP="00FB2A21">
      <w:pPr>
        <w:spacing w:after="0" w:line="360" w:lineRule="auto"/>
        <w:ind w:firstLine="709"/>
        <w:jc w:val="both"/>
        <w:rPr>
          <w:rFonts w:ascii="Arial" w:eastAsia="Calibri" w:hAnsi="Arial" w:cs="Arial"/>
          <w:sz w:val="26"/>
          <w:szCs w:val="26"/>
          <w:lang w:val="es-ES"/>
        </w:rPr>
      </w:pPr>
      <w:r>
        <w:rPr>
          <w:rFonts w:ascii="Arial" w:eastAsia="Calibri" w:hAnsi="Arial" w:cs="Arial"/>
          <w:sz w:val="26"/>
          <w:szCs w:val="26"/>
          <w:lang w:val="es-ES"/>
        </w:rPr>
        <w:t>De acuerdo a lo anterior, se debe señalar que los artículos 39 y 40 de la Ley de Responsabilidad Patrimonial del Estado y Municipios de San Luis Potosí, establece:</w:t>
      </w:r>
    </w:p>
    <w:p w:rsidR="00FB2A21" w:rsidRDefault="00FB2A21" w:rsidP="00FB2A21">
      <w:pPr>
        <w:spacing w:after="0" w:line="360" w:lineRule="auto"/>
        <w:ind w:firstLine="709"/>
        <w:jc w:val="both"/>
        <w:rPr>
          <w:rFonts w:ascii="Arial" w:eastAsia="Calibri" w:hAnsi="Arial" w:cs="Arial"/>
          <w:sz w:val="26"/>
          <w:szCs w:val="26"/>
          <w:lang w:val="es-ES"/>
        </w:rPr>
      </w:pPr>
    </w:p>
    <w:p w:rsidR="00FB2A21" w:rsidRPr="00560C31" w:rsidRDefault="00FB2A21" w:rsidP="00FB2A21">
      <w:pPr>
        <w:spacing w:after="0" w:line="360" w:lineRule="auto"/>
        <w:ind w:firstLine="709"/>
        <w:jc w:val="both"/>
        <w:rPr>
          <w:rFonts w:ascii="Arial" w:eastAsia="Calibri" w:hAnsi="Arial" w:cs="Arial"/>
          <w:i/>
          <w:sz w:val="24"/>
          <w:szCs w:val="24"/>
          <w:lang w:val="es-ES"/>
        </w:rPr>
      </w:pPr>
      <w:r w:rsidRPr="00560C31">
        <w:rPr>
          <w:rFonts w:ascii="Arial" w:eastAsia="Calibri" w:hAnsi="Arial" w:cs="Arial"/>
          <w:i/>
          <w:sz w:val="24"/>
          <w:szCs w:val="24"/>
          <w:lang w:val="es-ES"/>
        </w:rPr>
        <w:t>“</w:t>
      </w:r>
      <w:r w:rsidRPr="00560C31">
        <w:rPr>
          <w:rFonts w:ascii="Arial" w:eastAsia="Calibri" w:hAnsi="Arial" w:cs="Arial"/>
          <w:b/>
          <w:i/>
          <w:sz w:val="24"/>
          <w:szCs w:val="24"/>
          <w:lang w:val="es-ES"/>
        </w:rPr>
        <w:t>ARTICULO 39.-</w:t>
      </w:r>
      <w:r w:rsidRPr="00560C31">
        <w:rPr>
          <w:rFonts w:ascii="Arial" w:eastAsia="Calibri" w:hAnsi="Arial" w:cs="Arial"/>
          <w:i/>
          <w:sz w:val="24"/>
          <w:szCs w:val="24"/>
          <w:lang w:val="es-ES"/>
        </w:rPr>
        <w:t xml:space="preserve"> El derecho de reclamar indemnización prescribe en un año contado a partir del día siguiente a aquél en que se hubiera producido la lesión patrimonial o en su caso, a partir del momento que hubiesen cesado sus efectos lesivos, si fuesen de carácter continuo.</w:t>
      </w:r>
    </w:p>
    <w:p w:rsidR="00FB2A21" w:rsidRPr="00560C31" w:rsidRDefault="00FB2A21" w:rsidP="00FB2A21">
      <w:pPr>
        <w:spacing w:after="0" w:line="360" w:lineRule="auto"/>
        <w:ind w:firstLine="709"/>
        <w:jc w:val="both"/>
        <w:rPr>
          <w:rFonts w:ascii="Arial" w:eastAsia="Calibri" w:hAnsi="Arial" w:cs="Arial"/>
          <w:i/>
          <w:sz w:val="24"/>
          <w:szCs w:val="24"/>
          <w:lang w:val="es-ES"/>
        </w:rPr>
      </w:pPr>
    </w:p>
    <w:p w:rsidR="00FB2A21" w:rsidRPr="00560C31" w:rsidRDefault="00FB2A21" w:rsidP="00FB2A21">
      <w:pPr>
        <w:spacing w:after="0" w:line="360" w:lineRule="auto"/>
        <w:ind w:firstLine="709"/>
        <w:jc w:val="both"/>
        <w:rPr>
          <w:rFonts w:ascii="Arial" w:eastAsia="Calibri" w:hAnsi="Arial" w:cs="Arial"/>
          <w:i/>
          <w:sz w:val="24"/>
          <w:szCs w:val="24"/>
          <w:lang w:val="es-ES"/>
        </w:rPr>
      </w:pPr>
      <w:r w:rsidRPr="00560C31">
        <w:rPr>
          <w:rFonts w:ascii="Arial" w:eastAsia="Calibri" w:hAnsi="Arial" w:cs="Arial"/>
          <w:i/>
          <w:sz w:val="24"/>
          <w:szCs w:val="24"/>
          <w:lang w:val="es-ES"/>
        </w:rPr>
        <w:t>Cuando existan daños de carácter físico o psicológico a las personas, el plazo de prescripción empezará a contar desde la fecha en que ocurra el alta del paciente o la determinación del alcance de las secuelas de las lesiones inferidas.</w:t>
      </w:r>
    </w:p>
    <w:p w:rsidR="00FB2A21" w:rsidRPr="00560C31" w:rsidRDefault="00FB2A21" w:rsidP="00FB2A21">
      <w:pPr>
        <w:spacing w:after="0" w:line="360" w:lineRule="auto"/>
        <w:ind w:firstLine="709"/>
        <w:jc w:val="both"/>
        <w:rPr>
          <w:rFonts w:ascii="Arial" w:eastAsia="Calibri" w:hAnsi="Arial" w:cs="Arial"/>
          <w:i/>
          <w:sz w:val="24"/>
          <w:szCs w:val="24"/>
          <w:lang w:val="es-ES"/>
        </w:rPr>
      </w:pPr>
    </w:p>
    <w:p w:rsidR="00FB2A21" w:rsidRPr="00560C31" w:rsidRDefault="00FB2A21" w:rsidP="00FB2A21">
      <w:pPr>
        <w:spacing w:after="0" w:line="360" w:lineRule="auto"/>
        <w:ind w:firstLine="709"/>
        <w:jc w:val="both"/>
        <w:rPr>
          <w:rFonts w:ascii="Arial" w:eastAsia="Calibri" w:hAnsi="Arial" w:cs="Arial"/>
          <w:i/>
          <w:sz w:val="24"/>
          <w:szCs w:val="24"/>
          <w:lang w:val="es-ES"/>
        </w:rPr>
      </w:pPr>
      <w:r w:rsidRPr="00560C31">
        <w:rPr>
          <w:rFonts w:ascii="Arial" w:eastAsia="Calibri" w:hAnsi="Arial" w:cs="Arial"/>
          <w:i/>
          <w:sz w:val="24"/>
          <w:szCs w:val="24"/>
          <w:lang w:val="es-ES"/>
        </w:rPr>
        <w:t>En el caso de que el particular hubiese obtenido la anulación de actos administrativos, el plazo de prescripción para reclamar indemnización se computará a partir del día siguiente de la fecha de la emisión de la resolución administrativa o de la sentencia definitiva, según la vía elegida.”</w:t>
      </w:r>
    </w:p>
    <w:p w:rsidR="00FB2A21" w:rsidRPr="00560C31" w:rsidRDefault="00FB2A21" w:rsidP="00FB2A21">
      <w:pPr>
        <w:spacing w:after="0" w:line="360" w:lineRule="auto"/>
        <w:ind w:firstLine="709"/>
        <w:jc w:val="both"/>
        <w:rPr>
          <w:rFonts w:ascii="Arial" w:eastAsia="Calibri" w:hAnsi="Arial" w:cs="Arial"/>
          <w:i/>
          <w:sz w:val="24"/>
          <w:szCs w:val="24"/>
          <w:lang w:val="es-ES"/>
        </w:rPr>
      </w:pPr>
    </w:p>
    <w:p w:rsidR="00FB2A21" w:rsidRPr="00560C31" w:rsidRDefault="00FB2A21" w:rsidP="00FB2A21">
      <w:pPr>
        <w:spacing w:after="0" w:line="360" w:lineRule="auto"/>
        <w:ind w:firstLine="709"/>
        <w:jc w:val="both"/>
        <w:rPr>
          <w:rFonts w:ascii="Arial" w:eastAsia="Calibri" w:hAnsi="Arial" w:cs="Arial"/>
          <w:i/>
          <w:sz w:val="24"/>
          <w:szCs w:val="24"/>
          <w:lang w:val="es-ES"/>
        </w:rPr>
      </w:pPr>
      <w:r w:rsidRPr="00560C31">
        <w:rPr>
          <w:rFonts w:ascii="Arial" w:eastAsia="Calibri" w:hAnsi="Arial" w:cs="Arial"/>
          <w:b/>
          <w:i/>
          <w:sz w:val="24"/>
          <w:szCs w:val="24"/>
          <w:lang w:val="es-ES"/>
        </w:rPr>
        <w:t>“ARTICULO 40.-</w:t>
      </w:r>
      <w:r w:rsidRPr="00560C31">
        <w:rPr>
          <w:rFonts w:ascii="Arial" w:eastAsia="Calibri" w:hAnsi="Arial" w:cs="Arial"/>
          <w:i/>
          <w:sz w:val="24"/>
          <w:szCs w:val="24"/>
          <w:lang w:val="es-ES"/>
        </w:rPr>
        <w:t xml:space="preserve"> La presentación de la reclamación o solicitud de indemnización interrumpe la prescripción.”</w:t>
      </w:r>
    </w:p>
    <w:p w:rsidR="00FB2A21" w:rsidRDefault="00FB2A21" w:rsidP="00FB2A21">
      <w:pPr>
        <w:spacing w:after="0" w:line="360" w:lineRule="auto"/>
        <w:ind w:firstLine="709"/>
        <w:jc w:val="both"/>
        <w:rPr>
          <w:rFonts w:ascii="Arial" w:eastAsia="Calibri" w:hAnsi="Arial" w:cs="Arial"/>
          <w:sz w:val="26"/>
          <w:szCs w:val="26"/>
          <w:lang w:val="es-ES"/>
        </w:rPr>
      </w:pPr>
    </w:p>
    <w:p w:rsidR="00FB2A21" w:rsidRDefault="00FB2A21" w:rsidP="00FB2A21">
      <w:pPr>
        <w:spacing w:after="0" w:line="360" w:lineRule="auto"/>
        <w:ind w:firstLine="709"/>
        <w:jc w:val="both"/>
        <w:rPr>
          <w:rFonts w:ascii="Arial" w:eastAsia="Calibri" w:hAnsi="Arial" w:cs="Arial"/>
          <w:sz w:val="26"/>
          <w:szCs w:val="26"/>
          <w:lang w:val="es-ES"/>
        </w:rPr>
      </w:pPr>
      <w:r w:rsidRPr="00587F0E">
        <w:rPr>
          <w:rFonts w:ascii="Arial" w:eastAsia="Calibri" w:hAnsi="Arial" w:cs="Arial"/>
          <w:sz w:val="26"/>
          <w:szCs w:val="26"/>
          <w:lang w:val="es-ES"/>
        </w:rPr>
        <w:t>Preceptos de los cuales se infiere que</w:t>
      </w:r>
      <w:r>
        <w:rPr>
          <w:rFonts w:ascii="Arial" w:eastAsia="Calibri" w:hAnsi="Arial" w:cs="Arial"/>
          <w:sz w:val="26"/>
          <w:szCs w:val="26"/>
          <w:lang w:val="es-ES"/>
        </w:rPr>
        <w:t>,</w:t>
      </w:r>
      <w:r w:rsidRPr="00587F0E">
        <w:rPr>
          <w:rFonts w:ascii="Arial" w:eastAsia="Calibri" w:hAnsi="Arial" w:cs="Arial"/>
          <w:sz w:val="26"/>
          <w:szCs w:val="26"/>
          <w:lang w:val="es-ES"/>
        </w:rPr>
        <w:t xml:space="preserve"> el plazo de prescripción se interrumpe al iniciarse el procedimiento de reclamación ante la autoridad competente, luego entonces si el escrito inicial de reclamación promovido por la parte actora, fue recibido en este Tribunal con fecha </w:t>
      </w:r>
      <w:r>
        <w:rPr>
          <w:rFonts w:ascii="Arial" w:eastAsia="Calibri" w:hAnsi="Arial" w:cs="Arial"/>
          <w:sz w:val="26"/>
          <w:szCs w:val="26"/>
          <w:lang w:val="es-ES"/>
        </w:rPr>
        <w:t xml:space="preserve">veintiséis </w:t>
      </w:r>
      <w:r w:rsidRPr="00587F0E">
        <w:rPr>
          <w:rFonts w:ascii="Arial" w:eastAsia="Calibri" w:hAnsi="Arial" w:cs="Arial"/>
          <w:sz w:val="26"/>
          <w:szCs w:val="26"/>
          <w:lang w:val="es-ES"/>
        </w:rPr>
        <w:t xml:space="preserve">de enero de </w:t>
      </w:r>
      <w:r>
        <w:rPr>
          <w:rFonts w:ascii="Arial" w:eastAsia="Calibri" w:hAnsi="Arial" w:cs="Arial"/>
          <w:sz w:val="26"/>
          <w:szCs w:val="26"/>
          <w:lang w:val="es-ES"/>
        </w:rPr>
        <w:t>dos mil veintiuno</w:t>
      </w:r>
      <w:r w:rsidRPr="00587F0E">
        <w:rPr>
          <w:rFonts w:ascii="Arial" w:eastAsia="Calibri" w:hAnsi="Arial" w:cs="Arial"/>
          <w:sz w:val="26"/>
          <w:szCs w:val="26"/>
          <w:lang w:val="es-ES"/>
        </w:rPr>
        <w:t xml:space="preserve">, como consta en el sello visible en la parte superior izquierda del escrito en mención, por ende se concluye, de manera indubitable que dicha reclamación fue promovida de manera extemporánea, por lo que se traduce en un acto consentido, al no haberse promovido la reclamación dentro del plazo de un año, tal como lo prevé el artículo 39 </w:t>
      </w:r>
      <w:r>
        <w:rPr>
          <w:rFonts w:ascii="Arial" w:eastAsia="Calibri" w:hAnsi="Arial" w:cs="Arial"/>
          <w:sz w:val="26"/>
          <w:szCs w:val="26"/>
          <w:lang w:val="es-ES"/>
        </w:rPr>
        <w:t xml:space="preserve">párrafos primero y tercero, </w:t>
      </w:r>
      <w:r w:rsidRPr="00587F0E">
        <w:rPr>
          <w:rFonts w:ascii="Arial" w:eastAsia="Calibri" w:hAnsi="Arial" w:cs="Arial"/>
          <w:sz w:val="26"/>
          <w:szCs w:val="26"/>
          <w:lang w:val="es-ES"/>
        </w:rPr>
        <w:t>de la Ley de Responsabilidad Patrimonial del Estado y Municipios de San Luis Potosí</w:t>
      </w:r>
      <w:r>
        <w:rPr>
          <w:rFonts w:ascii="Arial" w:eastAsia="Calibri" w:hAnsi="Arial" w:cs="Arial"/>
          <w:sz w:val="26"/>
          <w:szCs w:val="26"/>
          <w:lang w:val="es-ES"/>
        </w:rPr>
        <w:t>, razón por la cual se hace improcedente la presente vía.</w:t>
      </w:r>
    </w:p>
    <w:p w:rsidR="00FB2A21" w:rsidRDefault="00FB2A21" w:rsidP="00FB2A21">
      <w:pPr>
        <w:spacing w:after="0" w:line="360" w:lineRule="auto"/>
        <w:ind w:firstLine="709"/>
        <w:jc w:val="both"/>
        <w:rPr>
          <w:rFonts w:ascii="Arial" w:eastAsia="Calibri" w:hAnsi="Arial" w:cs="Arial"/>
          <w:sz w:val="26"/>
          <w:szCs w:val="26"/>
          <w:lang w:val="es-ES"/>
        </w:rPr>
      </w:pPr>
    </w:p>
    <w:p w:rsidR="00FB2A21" w:rsidRDefault="00FB2A21" w:rsidP="00FB2A21">
      <w:pPr>
        <w:spacing w:after="0" w:line="360" w:lineRule="auto"/>
        <w:ind w:firstLine="709"/>
        <w:jc w:val="both"/>
        <w:rPr>
          <w:rFonts w:ascii="Arial" w:eastAsia="Times New Roman" w:hAnsi="Arial" w:cs="Arial"/>
          <w:bCs/>
          <w:sz w:val="26"/>
          <w:szCs w:val="26"/>
          <w:lang w:eastAsia="es-ES"/>
        </w:rPr>
      </w:pPr>
      <w:r>
        <w:rPr>
          <w:rFonts w:ascii="Arial" w:eastAsia="Calibri" w:hAnsi="Arial" w:cs="Arial"/>
          <w:sz w:val="26"/>
          <w:szCs w:val="26"/>
          <w:lang w:val="es-ES"/>
        </w:rPr>
        <w:t xml:space="preserve">Por tanto, </w:t>
      </w:r>
      <w:r w:rsidRPr="002C0141">
        <w:rPr>
          <w:rFonts w:ascii="Arial" w:eastAsia="Times New Roman" w:hAnsi="Arial" w:cs="Arial"/>
          <w:bCs/>
          <w:sz w:val="26"/>
          <w:szCs w:val="26"/>
          <w:lang w:eastAsia="es-ES"/>
        </w:rPr>
        <w:t>el plazo para prescripción de la acción intentada en el presente juicio, comenzó a computarse a partir de</w:t>
      </w:r>
      <w:r>
        <w:rPr>
          <w:rFonts w:ascii="Arial" w:eastAsia="Times New Roman" w:hAnsi="Arial" w:cs="Arial"/>
          <w:bCs/>
          <w:sz w:val="26"/>
          <w:szCs w:val="26"/>
          <w:lang w:eastAsia="es-ES"/>
        </w:rPr>
        <w:t xml:space="preserve">l día siguiente a la fecha en que se emitió la resolución definitiva dictada dentro del juicio de nulidad </w:t>
      </w:r>
      <w:r w:rsidR="00350150">
        <w:rPr>
          <w:rFonts w:ascii="Arial" w:eastAsia="Times New Roman" w:hAnsi="Arial" w:cs="Arial"/>
          <w:bCs/>
          <w:color w:val="FF0000"/>
          <w:sz w:val="26"/>
          <w:szCs w:val="26"/>
          <w:lang w:eastAsia="es-ES"/>
        </w:rPr>
        <w:t>**********</w:t>
      </w:r>
      <w:r>
        <w:rPr>
          <w:rFonts w:ascii="Arial" w:eastAsia="Times New Roman" w:hAnsi="Arial" w:cs="Arial"/>
          <w:bCs/>
          <w:sz w:val="26"/>
          <w:szCs w:val="26"/>
          <w:lang w:eastAsia="es-ES"/>
        </w:rPr>
        <w:t xml:space="preserve">, es decir, si se dictó la sentencia correspondiente el veintinueve de octubre de dos mil dieciocho, luego entonces, se debe computar el plazo para promover la reclamación de responsabilidad patrimonial al día siguiente a la fecha en que se emitió la resolución definitiva, esto es, el treinta de octubre de dos mil dieciocho, por lo que el plazo de un año venció el </w:t>
      </w:r>
      <w:r w:rsidRPr="00A47BAB">
        <w:rPr>
          <w:rFonts w:ascii="Arial" w:eastAsia="Times New Roman" w:hAnsi="Arial" w:cs="Arial"/>
          <w:b/>
          <w:bCs/>
          <w:sz w:val="26"/>
          <w:szCs w:val="26"/>
          <w:lang w:eastAsia="es-ES"/>
        </w:rPr>
        <w:t>treinta de octubre de dos mil diecinueve</w:t>
      </w:r>
      <w:r>
        <w:rPr>
          <w:rFonts w:ascii="Arial" w:eastAsia="Times New Roman" w:hAnsi="Arial" w:cs="Arial"/>
          <w:bCs/>
          <w:sz w:val="26"/>
          <w:szCs w:val="26"/>
          <w:lang w:eastAsia="es-ES"/>
        </w:rPr>
        <w:t>.</w:t>
      </w:r>
    </w:p>
    <w:p w:rsidR="00FB2A21" w:rsidRDefault="00FB2A21" w:rsidP="00FB2A21">
      <w:pPr>
        <w:spacing w:after="0" w:line="360" w:lineRule="auto"/>
        <w:ind w:firstLine="709"/>
        <w:jc w:val="both"/>
        <w:rPr>
          <w:rFonts w:ascii="Arial" w:eastAsia="Times New Roman" w:hAnsi="Arial" w:cs="Arial"/>
          <w:bCs/>
          <w:sz w:val="26"/>
          <w:szCs w:val="26"/>
          <w:lang w:eastAsia="es-ES"/>
        </w:rPr>
      </w:pPr>
    </w:p>
    <w:p w:rsidR="00FB2A21" w:rsidRDefault="00FB2A21" w:rsidP="00FB2A21">
      <w:pPr>
        <w:spacing w:after="0" w:line="360" w:lineRule="auto"/>
        <w:ind w:firstLine="709"/>
        <w:jc w:val="both"/>
        <w:rPr>
          <w:rFonts w:ascii="Arial" w:eastAsia="Times New Roman" w:hAnsi="Arial" w:cs="Arial"/>
          <w:bCs/>
          <w:sz w:val="26"/>
          <w:szCs w:val="26"/>
          <w:lang w:eastAsia="es-ES"/>
        </w:rPr>
      </w:pPr>
      <w:r>
        <w:rPr>
          <w:rFonts w:ascii="Arial" w:eastAsia="Times New Roman" w:hAnsi="Arial" w:cs="Arial"/>
          <w:bCs/>
          <w:sz w:val="26"/>
          <w:szCs w:val="26"/>
          <w:lang w:eastAsia="es-ES"/>
        </w:rPr>
        <w:t>Y tomando en cuenta que la parte accionante, promovió su escrito de reclamación el día veintiséis de enero de dos mil veintiuno, indudablemente se encontraba fuera del plazo de un año a que se refiere el artículo 39 de la Ley de Responsabilidad Patrimonial del Estado y Municipios de San Luis Potosí.</w:t>
      </w:r>
    </w:p>
    <w:p w:rsidR="00FB2A21" w:rsidRDefault="00FB2A21" w:rsidP="00FB2A21">
      <w:pPr>
        <w:spacing w:after="0" w:line="360" w:lineRule="auto"/>
        <w:ind w:firstLine="709"/>
        <w:jc w:val="both"/>
        <w:rPr>
          <w:rFonts w:ascii="Arial" w:eastAsia="Times New Roman" w:hAnsi="Arial" w:cs="Arial"/>
          <w:bCs/>
          <w:sz w:val="26"/>
          <w:szCs w:val="26"/>
          <w:lang w:eastAsia="es-ES"/>
        </w:rPr>
      </w:pPr>
    </w:p>
    <w:p w:rsidR="00FB2A21" w:rsidRDefault="00FB2A21" w:rsidP="00FB2A21">
      <w:pPr>
        <w:spacing w:after="0" w:line="360" w:lineRule="auto"/>
        <w:ind w:firstLine="709"/>
        <w:jc w:val="both"/>
        <w:rPr>
          <w:rFonts w:ascii="Arial" w:eastAsia="Times New Roman" w:hAnsi="Arial" w:cs="Arial"/>
          <w:bCs/>
          <w:sz w:val="26"/>
          <w:szCs w:val="26"/>
          <w:lang w:eastAsia="es-ES"/>
        </w:rPr>
      </w:pPr>
      <w:r>
        <w:rPr>
          <w:rFonts w:ascii="Arial" w:eastAsia="Times New Roman" w:hAnsi="Arial" w:cs="Arial"/>
          <w:bCs/>
          <w:sz w:val="26"/>
          <w:szCs w:val="26"/>
          <w:lang w:eastAsia="es-ES"/>
        </w:rPr>
        <w:t xml:space="preserve">Asimismo, la acción de reclamación promovida por la parte actora prescribe, aún y cuando se tome en cuenta, la fecha en que causó firmeza </w:t>
      </w:r>
      <w:r w:rsidRPr="002C0141">
        <w:rPr>
          <w:rFonts w:ascii="Arial" w:eastAsia="Times New Roman" w:hAnsi="Arial" w:cs="Arial"/>
          <w:bCs/>
          <w:sz w:val="26"/>
          <w:szCs w:val="26"/>
          <w:lang w:eastAsia="es-ES"/>
        </w:rPr>
        <w:t xml:space="preserve">la sentencia recaída al juicio de nulidad </w:t>
      </w:r>
      <w:r w:rsidR="00350150">
        <w:rPr>
          <w:rFonts w:ascii="Arial" w:eastAsia="Times New Roman" w:hAnsi="Arial" w:cs="Arial"/>
          <w:bCs/>
          <w:color w:val="FF0000"/>
          <w:sz w:val="26"/>
          <w:szCs w:val="26"/>
          <w:lang w:eastAsia="es-ES"/>
        </w:rPr>
        <w:t>**********</w:t>
      </w:r>
      <w:r>
        <w:rPr>
          <w:rFonts w:ascii="Arial" w:eastAsia="Times New Roman" w:hAnsi="Arial" w:cs="Arial"/>
          <w:bCs/>
          <w:sz w:val="26"/>
          <w:szCs w:val="26"/>
          <w:lang w:eastAsia="es-ES"/>
        </w:rPr>
        <w:t xml:space="preserve">, es decir, el cinco de febrero de dos mil diecinueve, luego de que la autoridad demandada promoviera recurso de apelación en contra de la sentencia de 29 de octubre de 2018 y este fuera desechado, dentro del Toca </w:t>
      </w:r>
      <w:r w:rsidR="00350150">
        <w:rPr>
          <w:rFonts w:ascii="Arial" w:eastAsia="Times New Roman" w:hAnsi="Arial" w:cs="Arial"/>
          <w:bCs/>
          <w:color w:val="FF0000"/>
          <w:sz w:val="26"/>
          <w:szCs w:val="26"/>
          <w:lang w:eastAsia="es-ES"/>
        </w:rPr>
        <w:t>**********</w:t>
      </w:r>
      <w:r>
        <w:rPr>
          <w:rFonts w:ascii="Arial" w:eastAsia="Times New Roman" w:hAnsi="Arial" w:cs="Arial"/>
          <w:bCs/>
          <w:sz w:val="26"/>
          <w:szCs w:val="26"/>
          <w:lang w:eastAsia="es-ES"/>
        </w:rPr>
        <w:t xml:space="preserve">, por auto de 19 de diciembre de 2018, mismo que le fuera notificado a la parte actora por medio de lista, en los Estrados de este Tribunal el catorce de enero de dos mil diecinueve, sin que el promovente de la apelación interpusiera ningún medio de defensa para controvertir el acuerdo de desechamiento, según se advierte del proveído de fecha once de febrero de dos mil dieciocho, dictado dentro del Toca </w:t>
      </w:r>
      <w:r w:rsidR="00350150">
        <w:rPr>
          <w:rFonts w:ascii="Arial" w:eastAsia="Times New Roman" w:hAnsi="Arial" w:cs="Arial"/>
          <w:bCs/>
          <w:color w:val="FF0000"/>
          <w:sz w:val="26"/>
          <w:szCs w:val="26"/>
          <w:lang w:eastAsia="es-ES"/>
        </w:rPr>
        <w:t>**********</w:t>
      </w:r>
      <w:r>
        <w:rPr>
          <w:rFonts w:ascii="Arial" w:eastAsia="Times New Roman" w:hAnsi="Arial" w:cs="Arial"/>
          <w:bCs/>
          <w:sz w:val="26"/>
          <w:szCs w:val="26"/>
          <w:lang w:eastAsia="es-ES"/>
        </w:rPr>
        <w:t>que ordenó el archivo del Toca en mención, como asunto concluido.</w:t>
      </w:r>
    </w:p>
    <w:p w:rsidR="00FB2A21" w:rsidRDefault="00FB2A21" w:rsidP="00FB2A21">
      <w:pPr>
        <w:spacing w:after="0" w:line="360" w:lineRule="auto"/>
        <w:ind w:firstLine="709"/>
        <w:jc w:val="both"/>
        <w:rPr>
          <w:rFonts w:ascii="Arial" w:eastAsia="Times New Roman" w:hAnsi="Arial" w:cs="Arial"/>
          <w:bCs/>
          <w:sz w:val="26"/>
          <w:szCs w:val="26"/>
          <w:lang w:eastAsia="es-ES"/>
        </w:rPr>
      </w:pPr>
    </w:p>
    <w:p w:rsidR="00FB2A21" w:rsidRDefault="00FB2A21" w:rsidP="00FB2A21">
      <w:pPr>
        <w:spacing w:after="0" w:line="360" w:lineRule="auto"/>
        <w:ind w:firstLine="709"/>
        <w:jc w:val="both"/>
        <w:rPr>
          <w:rFonts w:ascii="Arial" w:eastAsia="Times New Roman" w:hAnsi="Arial" w:cs="Arial"/>
          <w:bCs/>
          <w:sz w:val="26"/>
          <w:szCs w:val="26"/>
          <w:lang w:eastAsia="es-ES"/>
        </w:rPr>
      </w:pPr>
      <w:r>
        <w:rPr>
          <w:rFonts w:ascii="Arial" w:eastAsia="Calibri" w:hAnsi="Arial" w:cs="Arial"/>
          <w:sz w:val="26"/>
          <w:szCs w:val="26"/>
          <w:lang w:val="es-ES"/>
        </w:rPr>
        <w:t xml:space="preserve">En tal virtud, la acción de reclamación de Responsabilidad Patrimonial del Estado, se encontraba prescrita, tomando en cuenta el plazo de un año, a partir de la fecha en que quedó firme la sentencia de fecha veintinueve de octubre de dos mil dieciocho, </w:t>
      </w:r>
      <w:r w:rsidRPr="002C0141">
        <w:rPr>
          <w:rFonts w:ascii="Arial" w:eastAsia="Times New Roman" w:hAnsi="Arial" w:cs="Arial"/>
          <w:bCs/>
          <w:sz w:val="26"/>
          <w:szCs w:val="26"/>
          <w:lang w:eastAsia="es-ES"/>
        </w:rPr>
        <w:t xml:space="preserve">recaída al juicio de nulidad </w:t>
      </w:r>
      <w:r w:rsidR="00350150">
        <w:rPr>
          <w:rFonts w:ascii="Arial" w:eastAsia="Times New Roman" w:hAnsi="Arial" w:cs="Arial"/>
          <w:bCs/>
          <w:color w:val="FF0000"/>
          <w:sz w:val="26"/>
          <w:szCs w:val="26"/>
          <w:lang w:eastAsia="es-ES"/>
        </w:rPr>
        <w:t>**********</w:t>
      </w:r>
      <w:r>
        <w:rPr>
          <w:rFonts w:ascii="Arial" w:eastAsia="Calibri" w:hAnsi="Arial" w:cs="Arial"/>
          <w:sz w:val="26"/>
          <w:szCs w:val="26"/>
          <w:lang w:val="es-ES"/>
        </w:rPr>
        <w:t>pues en este caso, el plazo para interponer la reclamación de responsabilidad patrimonial, venció el cinco de febrero de dos mil veinte.</w:t>
      </w:r>
    </w:p>
    <w:p w:rsidR="00FB2A21" w:rsidRDefault="00FB2A21" w:rsidP="00FB2A21">
      <w:pPr>
        <w:spacing w:after="0" w:line="360" w:lineRule="auto"/>
        <w:ind w:firstLine="709"/>
        <w:jc w:val="both"/>
        <w:rPr>
          <w:rFonts w:ascii="Arial Narrow" w:eastAsia="Calibri" w:hAnsi="Arial Narrow" w:cs="Arial"/>
          <w:sz w:val="28"/>
          <w:szCs w:val="28"/>
          <w:lang w:val="es-ES"/>
        </w:rPr>
      </w:pPr>
    </w:p>
    <w:p w:rsidR="00FB2A21" w:rsidRPr="00D540E8" w:rsidRDefault="00FB2A21" w:rsidP="00FB2A21">
      <w:pPr>
        <w:spacing w:after="0" w:line="360" w:lineRule="auto"/>
        <w:ind w:firstLine="709"/>
        <w:jc w:val="both"/>
        <w:rPr>
          <w:rFonts w:ascii="Arial" w:eastAsia="Calibri" w:hAnsi="Arial" w:cs="Arial"/>
          <w:color w:val="000000"/>
          <w:sz w:val="26"/>
          <w:szCs w:val="26"/>
        </w:rPr>
      </w:pPr>
      <w:r w:rsidRPr="00D540E8">
        <w:rPr>
          <w:rFonts w:ascii="Arial" w:eastAsia="Calibri" w:hAnsi="Arial" w:cs="Arial"/>
          <w:color w:val="000000"/>
          <w:sz w:val="26"/>
          <w:szCs w:val="26"/>
        </w:rPr>
        <w:t xml:space="preserve">Así las cosas, esta Tercera Sala Unitaria, considera procedente decretar el </w:t>
      </w:r>
      <w:r w:rsidRPr="00D540E8">
        <w:rPr>
          <w:rFonts w:ascii="Arial" w:eastAsia="Calibri" w:hAnsi="Arial" w:cs="Arial"/>
          <w:b/>
          <w:color w:val="000000"/>
          <w:sz w:val="26"/>
          <w:szCs w:val="26"/>
        </w:rPr>
        <w:t>SOBRESEIMIENTO</w:t>
      </w:r>
      <w:r w:rsidRPr="00D540E8">
        <w:rPr>
          <w:rFonts w:ascii="Arial" w:eastAsia="Calibri" w:hAnsi="Arial" w:cs="Arial"/>
          <w:color w:val="000000"/>
          <w:sz w:val="26"/>
          <w:szCs w:val="26"/>
        </w:rPr>
        <w:t xml:space="preserve"> del presente juicio, al actualizarse la causal de improcedencia a que se refiere la fracción VI del artículo 228, en relación con el 229 fracción II del Código Procesal Administrativo para el Estado de San Luis Potosí, pues la reclamación de responsabilidad patrimonial promovida por la parte actora, resultó extemporánea, al no haberse presentado en el plazo previsto por el artículo 39 párrafos primero y tercero, de la Ley de Responsabilidad Patrimonial del Estado y Municipios de San Luis Potosí.</w:t>
      </w:r>
    </w:p>
    <w:p w:rsidR="00FB2A21" w:rsidRPr="00D540E8" w:rsidRDefault="00FB2A21" w:rsidP="00FB2A21">
      <w:pPr>
        <w:spacing w:after="0" w:line="360" w:lineRule="auto"/>
        <w:ind w:firstLine="709"/>
        <w:jc w:val="both"/>
        <w:rPr>
          <w:rFonts w:ascii="Arial" w:eastAsia="Calibri" w:hAnsi="Arial" w:cs="Arial"/>
          <w:color w:val="000000"/>
          <w:sz w:val="26"/>
          <w:szCs w:val="26"/>
        </w:rPr>
      </w:pPr>
    </w:p>
    <w:p w:rsidR="00FB2A21" w:rsidRPr="00D540E8" w:rsidRDefault="00FB2A21" w:rsidP="00FB2A21">
      <w:pPr>
        <w:spacing w:line="360" w:lineRule="auto"/>
        <w:ind w:firstLine="709"/>
        <w:jc w:val="both"/>
        <w:rPr>
          <w:rFonts w:ascii="Arial" w:eastAsia="Calibri" w:hAnsi="Arial" w:cs="Arial"/>
          <w:sz w:val="26"/>
          <w:szCs w:val="26"/>
        </w:rPr>
      </w:pPr>
      <w:r w:rsidRPr="00D540E8">
        <w:rPr>
          <w:rFonts w:ascii="Arial" w:eastAsia="Calibri" w:hAnsi="Arial" w:cs="Arial"/>
          <w:sz w:val="26"/>
          <w:szCs w:val="26"/>
        </w:rPr>
        <w:t xml:space="preserve">Por lo expuesto, fundado y con apoyo en </w:t>
      </w:r>
      <w:r w:rsidRPr="00D540E8">
        <w:rPr>
          <w:rFonts w:ascii="Arial" w:eastAsia="Times New Roman" w:hAnsi="Arial" w:cs="Arial"/>
          <w:sz w:val="26"/>
          <w:szCs w:val="26"/>
          <w:lang w:eastAsia="es-ES"/>
        </w:rPr>
        <w:t>los artículos, 123 de la Constitución Política del Estado de San Luis Potosí; 1º, 2º, 7º fracción I, 9º fracción III, 24, 35 fracción VIII, y Quinto Transitorio de la Ley Orgánica del Tribunal Estatal de Justicia Administrativa de San Luis Potosí; fracción I</w:t>
      </w:r>
      <w:r w:rsidRPr="00D540E8">
        <w:rPr>
          <w:rFonts w:ascii="Arial" w:eastAsia="Calibri" w:hAnsi="Arial" w:cs="Arial"/>
          <w:color w:val="000000"/>
          <w:sz w:val="26"/>
          <w:szCs w:val="26"/>
        </w:rPr>
        <w:t xml:space="preserve">V del artículo 229 </w:t>
      </w:r>
      <w:r w:rsidRPr="00D540E8">
        <w:rPr>
          <w:rFonts w:ascii="Arial" w:eastAsia="Times New Roman" w:hAnsi="Arial" w:cs="Arial"/>
          <w:sz w:val="26"/>
          <w:szCs w:val="26"/>
          <w:lang w:eastAsia="es-ES"/>
        </w:rPr>
        <w:t xml:space="preserve">del Código Procesal Administrativo para el Estado de San Luis Potosí; </w:t>
      </w:r>
      <w:r w:rsidRPr="00D540E8">
        <w:rPr>
          <w:rFonts w:ascii="Arial" w:eastAsia="Calibri" w:hAnsi="Arial" w:cs="Arial"/>
          <w:sz w:val="26"/>
          <w:szCs w:val="26"/>
        </w:rPr>
        <w:t>es de resolverse y se,</w:t>
      </w:r>
    </w:p>
    <w:p w:rsidR="00FB2A21" w:rsidRDefault="00FB2A21" w:rsidP="00FB2A21">
      <w:pPr>
        <w:spacing w:after="0" w:line="360" w:lineRule="auto"/>
        <w:jc w:val="center"/>
        <w:rPr>
          <w:rFonts w:ascii="Arial" w:eastAsia="Calibri" w:hAnsi="Arial" w:cs="Arial"/>
          <w:b/>
          <w:sz w:val="26"/>
          <w:szCs w:val="26"/>
        </w:rPr>
      </w:pPr>
    </w:p>
    <w:p w:rsidR="00FB2A21" w:rsidRPr="00D540E8" w:rsidRDefault="00FB2A21" w:rsidP="00FB2A21">
      <w:pPr>
        <w:spacing w:after="0" w:line="360" w:lineRule="auto"/>
        <w:jc w:val="center"/>
        <w:rPr>
          <w:rFonts w:ascii="Arial" w:eastAsia="Calibri" w:hAnsi="Arial" w:cs="Arial"/>
          <w:b/>
          <w:sz w:val="26"/>
          <w:szCs w:val="26"/>
        </w:rPr>
      </w:pPr>
      <w:r w:rsidRPr="00D540E8">
        <w:rPr>
          <w:rFonts w:ascii="Arial" w:eastAsia="Calibri" w:hAnsi="Arial" w:cs="Arial"/>
          <w:b/>
          <w:sz w:val="26"/>
          <w:szCs w:val="26"/>
        </w:rPr>
        <w:t>R  E  S  U  E  L  V  E</w:t>
      </w:r>
    </w:p>
    <w:p w:rsidR="00FB2A21" w:rsidRPr="00D540E8" w:rsidRDefault="00FB2A21" w:rsidP="00FB2A21">
      <w:pPr>
        <w:spacing w:after="0" w:line="360" w:lineRule="auto"/>
        <w:jc w:val="center"/>
        <w:rPr>
          <w:rFonts w:ascii="Arial" w:eastAsia="Calibri" w:hAnsi="Arial" w:cs="Arial"/>
          <w:b/>
          <w:sz w:val="26"/>
          <w:szCs w:val="26"/>
        </w:rPr>
      </w:pPr>
    </w:p>
    <w:p w:rsidR="00FB2A21" w:rsidRPr="00D540E8" w:rsidRDefault="00FB2A21" w:rsidP="00FB2A21">
      <w:pPr>
        <w:spacing w:after="0" w:line="360" w:lineRule="auto"/>
        <w:ind w:firstLine="709"/>
        <w:jc w:val="both"/>
        <w:rPr>
          <w:rFonts w:ascii="Arial" w:eastAsia="Calibri" w:hAnsi="Arial" w:cs="Arial"/>
          <w:sz w:val="26"/>
          <w:szCs w:val="26"/>
        </w:rPr>
      </w:pPr>
      <w:r w:rsidRPr="00D540E8">
        <w:rPr>
          <w:rFonts w:ascii="Arial" w:eastAsia="Calibri" w:hAnsi="Arial" w:cs="Arial"/>
          <w:b/>
          <w:sz w:val="26"/>
          <w:szCs w:val="26"/>
        </w:rPr>
        <w:t>PRIMERO.-</w:t>
      </w:r>
      <w:r w:rsidRPr="00D540E8">
        <w:rPr>
          <w:rFonts w:ascii="Arial" w:eastAsia="Calibri" w:hAnsi="Arial" w:cs="Arial"/>
          <w:sz w:val="26"/>
          <w:szCs w:val="26"/>
        </w:rPr>
        <w:t xml:space="preserve"> Esta </w:t>
      </w:r>
      <w:r w:rsidRPr="00D540E8">
        <w:rPr>
          <w:rFonts w:ascii="Arial" w:eastAsia="Calibri" w:hAnsi="Arial" w:cs="Arial"/>
          <w:b/>
          <w:sz w:val="26"/>
          <w:szCs w:val="26"/>
        </w:rPr>
        <w:t>Tercera Sala Unitaria del Tribunal Estatal de Justicia Administrativa</w:t>
      </w:r>
      <w:r w:rsidRPr="00D540E8">
        <w:rPr>
          <w:rFonts w:ascii="Arial" w:eastAsia="Calibri" w:hAnsi="Arial" w:cs="Arial"/>
          <w:sz w:val="26"/>
          <w:szCs w:val="26"/>
        </w:rPr>
        <w:t>, resultó competente para conocer y resolver el presente juicio.</w:t>
      </w:r>
    </w:p>
    <w:p w:rsidR="00FB2A21" w:rsidRPr="00D540E8" w:rsidRDefault="00FB2A21" w:rsidP="00FB2A21">
      <w:pPr>
        <w:spacing w:after="0" w:line="360" w:lineRule="auto"/>
        <w:ind w:firstLine="709"/>
        <w:jc w:val="both"/>
        <w:rPr>
          <w:rFonts w:ascii="Arial" w:eastAsia="Calibri" w:hAnsi="Arial" w:cs="Arial"/>
          <w:b/>
          <w:sz w:val="26"/>
          <w:szCs w:val="26"/>
        </w:rPr>
      </w:pPr>
    </w:p>
    <w:p w:rsidR="00FB2A21" w:rsidRPr="00D540E8" w:rsidRDefault="00FB2A21" w:rsidP="00FB2A21">
      <w:pPr>
        <w:spacing w:after="0" w:line="360" w:lineRule="auto"/>
        <w:ind w:firstLine="709"/>
        <w:jc w:val="both"/>
        <w:rPr>
          <w:rFonts w:ascii="Arial Narrow" w:eastAsia="Times New Roman" w:hAnsi="Arial Narrow" w:cs="Arial"/>
          <w:sz w:val="26"/>
          <w:szCs w:val="26"/>
          <w:lang w:eastAsia="es-ES"/>
        </w:rPr>
      </w:pPr>
      <w:r w:rsidRPr="00D540E8">
        <w:rPr>
          <w:rFonts w:ascii="Arial" w:eastAsia="Calibri" w:hAnsi="Arial" w:cs="Arial"/>
          <w:b/>
          <w:sz w:val="26"/>
          <w:szCs w:val="26"/>
        </w:rPr>
        <w:t>SEGUNDO</w:t>
      </w:r>
      <w:r w:rsidRPr="00D540E8">
        <w:rPr>
          <w:rFonts w:ascii="Arial" w:eastAsia="Calibri" w:hAnsi="Arial" w:cs="Arial"/>
          <w:sz w:val="26"/>
          <w:szCs w:val="26"/>
        </w:rPr>
        <w:t xml:space="preserve">.- Se declara el </w:t>
      </w:r>
      <w:r w:rsidRPr="00D540E8">
        <w:rPr>
          <w:rFonts w:ascii="Arial" w:eastAsia="Calibri" w:hAnsi="Arial" w:cs="Arial"/>
          <w:b/>
          <w:sz w:val="26"/>
          <w:szCs w:val="26"/>
        </w:rPr>
        <w:t>SOBRESEIMIENTO</w:t>
      </w:r>
      <w:r w:rsidRPr="00D540E8">
        <w:rPr>
          <w:rFonts w:ascii="Arial" w:eastAsia="Calibri" w:hAnsi="Arial" w:cs="Arial"/>
          <w:sz w:val="26"/>
          <w:szCs w:val="26"/>
        </w:rPr>
        <w:t xml:space="preserve"> del presente juicio, de conformidad con los razonamientos precisados en el considerando </w:t>
      </w:r>
      <w:r>
        <w:rPr>
          <w:rFonts w:ascii="Arial" w:eastAsia="Calibri" w:hAnsi="Arial" w:cs="Arial"/>
          <w:sz w:val="26"/>
          <w:szCs w:val="26"/>
        </w:rPr>
        <w:t>tercero</w:t>
      </w:r>
      <w:r w:rsidRPr="00D540E8">
        <w:rPr>
          <w:rFonts w:ascii="Arial" w:eastAsia="Calibri" w:hAnsi="Arial" w:cs="Arial"/>
          <w:sz w:val="26"/>
          <w:szCs w:val="26"/>
        </w:rPr>
        <w:t xml:space="preserve"> de la presente sentencia.</w:t>
      </w:r>
    </w:p>
    <w:p w:rsidR="00FB2A21" w:rsidRPr="00D540E8" w:rsidRDefault="00FB2A21" w:rsidP="00FB2A21">
      <w:pPr>
        <w:autoSpaceDE w:val="0"/>
        <w:autoSpaceDN w:val="0"/>
        <w:adjustRightInd w:val="0"/>
        <w:spacing w:after="0" w:line="360" w:lineRule="auto"/>
        <w:ind w:firstLine="709"/>
        <w:jc w:val="both"/>
        <w:rPr>
          <w:rFonts w:ascii="Arial" w:eastAsia="Calibri" w:hAnsi="Arial" w:cs="Arial"/>
          <w:bCs/>
          <w:color w:val="000000"/>
          <w:sz w:val="26"/>
          <w:szCs w:val="26"/>
        </w:rPr>
      </w:pPr>
    </w:p>
    <w:p w:rsidR="00FB2A21" w:rsidRPr="00D540E8" w:rsidRDefault="00FB2A21" w:rsidP="00FB2A21">
      <w:pPr>
        <w:spacing w:after="0" w:line="360" w:lineRule="auto"/>
        <w:ind w:firstLine="709"/>
        <w:jc w:val="both"/>
        <w:rPr>
          <w:rFonts w:ascii="Arial" w:eastAsia="Calibri" w:hAnsi="Arial" w:cs="Arial"/>
          <w:sz w:val="26"/>
          <w:szCs w:val="26"/>
        </w:rPr>
      </w:pPr>
      <w:r w:rsidRPr="00D540E8">
        <w:rPr>
          <w:rFonts w:ascii="Arial" w:eastAsia="Calibri" w:hAnsi="Arial" w:cs="Arial"/>
          <w:b/>
          <w:sz w:val="26"/>
          <w:szCs w:val="26"/>
        </w:rPr>
        <w:t xml:space="preserve">TERCERO.- </w:t>
      </w:r>
      <w:r w:rsidRPr="00D540E8">
        <w:rPr>
          <w:rFonts w:ascii="Arial" w:eastAsia="Calibri" w:hAnsi="Arial" w:cs="Arial"/>
          <w:sz w:val="26"/>
          <w:szCs w:val="26"/>
        </w:rPr>
        <w:t>Notifíquese personalmente a la parte actora y por oficio a las autoridades demandadas</w:t>
      </w:r>
      <w:r w:rsidRPr="00D540E8">
        <w:rPr>
          <w:rFonts w:ascii="Arial" w:eastAsia="Times New Roman" w:hAnsi="Arial" w:cs="Arial"/>
          <w:color w:val="000000"/>
          <w:sz w:val="26"/>
          <w:szCs w:val="26"/>
          <w:lang w:eastAsia="es-MX"/>
        </w:rPr>
        <w:t>,</w:t>
      </w:r>
      <w:r w:rsidRPr="00D540E8">
        <w:rPr>
          <w:rFonts w:ascii="Arial" w:eastAsia="Calibri" w:hAnsi="Arial" w:cs="Arial"/>
          <w:sz w:val="26"/>
          <w:szCs w:val="26"/>
        </w:rPr>
        <w:t xml:space="preserve"> con copia autorizada de esta resolución.</w:t>
      </w:r>
    </w:p>
    <w:p w:rsidR="00FB2A21" w:rsidRPr="00D540E8" w:rsidRDefault="00FB2A21" w:rsidP="00FB2A21">
      <w:pPr>
        <w:spacing w:after="0" w:line="360" w:lineRule="auto"/>
        <w:ind w:firstLine="709"/>
        <w:jc w:val="both"/>
        <w:rPr>
          <w:rFonts w:ascii="Arial Narrow" w:eastAsia="Calibri" w:hAnsi="Arial Narrow" w:cs="Arial"/>
          <w:sz w:val="26"/>
          <w:szCs w:val="26"/>
          <w:lang w:val="es-ES"/>
        </w:rPr>
      </w:pPr>
    </w:p>
    <w:p w:rsidR="00FB2A21" w:rsidRPr="00A44856" w:rsidRDefault="00FB2A21" w:rsidP="00FB2A21">
      <w:pPr>
        <w:spacing w:after="0" w:line="360" w:lineRule="auto"/>
        <w:ind w:firstLine="708"/>
        <w:jc w:val="both"/>
        <w:rPr>
          <w:rFonts w:ascii="Arial" w:eastAsia="Calibri" w:hAnsi="Arial" w:cs="Arial"/>
          <w:sz w:val="26"/>
          <w:szCs w:val="26"/>
        </w:rPr>
      </w:pPr>
      <w:r w:rsidRPr="00A44856">
        <w:rPr>
          <w:rFonts w:ascii="Arial" w:eastAsia="Calibri" w:hAnsi="Arial" w:cs="Arial"/>
          <w:sz w:val="26"/>
          <w:szCs w:val="26"/>
        </w:rPr>
        <w:t xml:space="preserve">Por lo expuesto, fundado y con apoyo en </w:t>
      </w:r>
      <w:r w:rsidRPr="00A44856">
        <w:rPr>
          <w:rFonts w:ascii="Arial" w:eastAsia="Times New Roman" w:hAnsi="Arial" w:cs="Arial"/>
          <w:sz w:val="26"/>
          <w:szCs w:val="26"/>
          <w:lang w:eastAsia="es-ES"/>
        </w:rPr>
        <w:t xml:space="preserve">los artículos, 123 de la Constitución Política del Estado de San Luis Potosí; 1º, 2º, 7º fracción IX, 9º fracción III, 24, 35 fracción VIII, y Quinto Transitorio de la Ley Orgánica del Tribunal Estatal de Justicia Administrativa de San Luis Potosí; y </w:t>
      </w:r>
      <w:r w:rsidRPr="00A44856">
        <w:rPr>
          <w:rFonts w:ascii="Arial" w:eastAsia="Calibri" w:hAnsi="Arial" w:cs="Arial"/>
          <w:sz w:val="26"/>
          <w:szCs w:val="26"/>
        </w:rPr>
        <w:t>1º, 2º, 22</w:t>
      </w:r>
      <w:r>
        <w:rPr>
          <w:rFonts w:ascii="Arial" w:eastAsia="Calibri" w:hAnsi="Arial" w:cs="Arial"/>
          <w:sz w:val="26"/>
          <w:szCs w:val="26"/>
        </w:rPr>
        <w:t>8</w:t>
      </w:r>
      <w:r w:rsidRPr="00A44856">
        <w:rPr>
          <w:rFonts w:ascii="Arial" w:eastAsia="Calibri" w:hAnsi="Arial" w:cs="Arial"/>
          <w:sz w:val="26"/>
          <w:szCs w:val="26"/>
        </w:rPr>
        <w:t xml:space="preserve"> fracción V</w:t>
      </w:r>
      <w:r>
        <w:rPr>
          <w:rFonts w:ascii="Arial" w:eastAsia="Calibri" w:hAnsi="Arial" w:cs="Arial"/>
          <w:sz w:val="26"/>
          <w:szCs w:val="26"/>
        </w:rPr>
        <w:t>I</w:t>
      </w:r>
      <w:r w:rsidRPr="00A44856">
        <w:rPr>
          <w:rFonts w:ascii="Arial" w:eastAsia="Times New Roman" w:hAnsi="Arial" w:cs="Arial"/>
          <w:sz w:val="26"/>
          <w:szCs w:val="26"/>
          <w:lang w:eastAsia="es-ES"/>
        </w:rPr>
        <w:t xml:space="preserve">, </w:t>
      </w:r>
      <w:r>
        <w:rPr>
          <w:rFonts w:ascii="Arial" w:eastAsia="Times New Roman" w:hAnsi="Arial" w:cs="Arial"/>
          <w:sz w:val="26"/>
          <w:szCs w:val="26"/>
          <w:lang w:eastAsia="es-ES"/>
        </w:rPr>
        <w:t xml:space="preserve">229 fracción II, </w:t>
      </w:r>
      <w:r w:rsidRPr="00A44856">
        <w:rPr>
          <w:rFonts w:ascii="Arial" w:eastAsia="Times New Roman" w:hAnsi="Arial" w:cs="Arial"/>
          <w:sz w:val="26"/>
          <w:szCs w:val="26"/>
          <w:lang w:eastAsia="es-ES"/>
        </w:rPr>
        <w:t xml:space="preserve">248 y 249, del Código Procesal Administrativo para el Estado de San Luis Potosí; </w:t>
      </w:r>
      <w:r w:rsidRPr="00A44856">
        <w:rPr>
          <w:rFonts w:ascii="Arial" w:eastAsia="Calibri" w:hAnsi="Arial" w:cs="Arial"/>
          <w:sz w:val="26"/>
          <w:szCs w:val="26"/>
        </w:rPr>
        <w:t>es de resolverse y se,</w:t>
      </w:r>
    </w:p>
    <w:p w:rsidR="00034BE4" w:rsidRDefault="00034BE4" w:rsidP="00FB2A21">
      <w:pPr>
        <w:spacing w:after="0" w:line="360" w:lineRule="auto"/>
        <w:jc w:val="center"/>
        <w:rPr>
          <w:rFonts w:ascii="Arial" w:eastAsia="Calibri" w:hAnsi="Arial" w:cs="Arial"/>
          <w:b/>
          <w:sz w:val="26"/>
          <w:szCs w:val="26"/>
        </w:rPr>
      </w:pPr>
    </w:p>
    <w:p w:rsidR="00FB2A21" w:rsidRPr="00A44856" w:rsidRDefault="00FB2A21" w:rsidP="00FB2A21">
      <w:pPr>
        <w:spacing w:after="0" w:line="360" w:lineRule="auto"/>
        <w:jc w:val="center"/>
        <w:rPr>
          <w:rFonts w:ascii="Arial" w:eastAsia="Calibri" w:hAnsi="Arial" w:cs="Arial"/>
          <w:b/>
          <w:sz w:val="26"/>
          <w:szCs w:val="26"/>
        </w:rPr>
      </w:pPr>
      <w:r w:rsidRPr="00A44856">
        <w:rPr>
          <w:rFonts w:ascii="Arial" w:eastAsia="Calibri" w:hAnsi="Arial" w:cs="Arial"/>
          <w:b/>
          <w:sz w:val="26"/>
          <w:szCs w:val="26"/>
        </w:rPr>
        <w:t>R E S U E L V E</w:t>
      </w:r>
    </w:p>
    <w:p w:rsidR="00FB2A21" w:rsidRPr="00A44856" w:rsidRDefault="00FB2A21" w:rsidP="00FB2A21">
      <w:pPr>
        <w:spacing w:after="0" w:line="360" w:lineRule="auto"/>
        <w:jc w:val="center"/>
        <w:rPr>
          <w:rFonts w:ascii="Arial" w:eastAsia="Calibri" w:hAnsi="Arial" w:cs="Arial"/>
          <w:b/>
          <w:sz w:val="26"/>
          <w:szCs w:val="26"/>
        </w:rPr>
      </w:pPr>
    </w:p>
    <w:p w:rsidR="00FB2A21" w:rsidRPr="00A44856" w:rsidRDefault="00FB2A21" w:rsidP="00FB2A21">
      <w:pPr>
        <w:spacing w:after="0" w:line="360" w:lineRule="auto"/>
        <w:ind w:firstLine="709"/>
        <w:jc w:val="both"/>
        <w:rPr>
          <w:rFonts w:ascii="Arial" w:eastAsia="Calibri" w:hAnsi="Arial" w:cs="Arial"/>
          <w:sz w:val="26"/>
          <w:szCs w:val="26"/>
        </w:rPr>
      </w:pPr>
      <w:r w:rsidRPr="00A44856">
        <w:rPr>
          <w:rFonts w:ascii="Arial" w:eastAsia="Calibri" w:hAnsi="Arial" w:cs="Arial"/>
          <w:b/>
          <w:sz w:val="26"/>
          <w:szCs w:val="26"/>
        </w:rPr>
        <w:t>PRIMERO.-</w:t>
      </w:r>
      <w:r w:rsidRPr="00A44856">
        <w:rPr>
          <w:rFonts w:ascii="Arial" w:eastAsia="Calibri" w:hAnsi="Arial" w:cs="Arial"/>
          <w:sz w:val="26"/>
          <w:szCs w:val="26"/>
        </w:rPr>
        <w:t xml:space="preserve"> Esta </w:t>
      </w:r>
      <w:r w:rsidRPr="00A44856">
        <w:rPr>
          <w:rFonts w:ascii="Arial" w:eastAsia="Calibri" w:hAnsi="Arial" w:cs="Arial"/>
          <w:b/>
          <w:sz w:val="26"/>
          <w:szCs w:val="26"/>
        </w:rPr>
        <w:t>Tercera Sala Unitaria del Tribunal Estatal de Justicia Administrativa,</w:t>
      </w:r>
      <w:r w:rsidRPr="00A44856">
        <w:rPr>
          <w:rFonts w:ascii="Arial" w:eastAsia="Calibri" w:hAnsi="Arial" w:cs="Arial"/>
          <w:sz w:val="26"/>
          <w:szCs w:val="26"/>
        </w:rPr>
        <w:t xml:space="preserve"> resultó competente para conocer y resolver la presente controversia.</w:t>
      </w:r>
    </w:p>
    <w:p w:rsidR="00FB2A21" w:rsidRPr="00A44856" w:rsidRDefault="00FB2A21" w:rsidP="00FB2A21">
      <w:pPr>
        <w:spacing w:after="0" w:line="360" w:lineRule="auto"/>
        <w:ind w:firstLine="708"/>
        <w:jc w:val="both"/>
        <w:rPr>
          <w:rFonts w:ascii="Arial" w:eastAsia="Calibri" w:hAnsi="Arial" w:cs="Arial"/>
          <w:sz w:val="26"/>
          <w:szCs w:val="26"/>
        </w:rPr>
      </w:pPr>
    </w:p>
    <w:p w:rsidR="00CB5B09" w:rsidRDefault="00CB5B09" w:rsidP="00FB2A21">
      <w:pPr>
        <w:spacing w:after="0" w:line="360" w:lineRule="auto"/>
        <w:ind w:firstLine="709"/>
        <w:jc w:val="both"/>
        <w:rPr>
          <w:rFonts w:ascii="Arial" w:eastAsia="Times New Roman" w:hAnsi="Arial" w:cs="Arial"/>
          <w:b/>
          <w:bCs/>
          <w:sz w:val="26"/>
          <w:szCs w:val="26"/>
          <w:lang w:val="es-ES" w:eastAsia="es-ES"/>
        </w:rPr>
      </w:pPr>
    </w:p>
    <w:p w:rsidR="00CB5B09" w:rsidRDefault="00CB5B09" w:rsidP="00FB2A21">
      <w:pPr>
        <w:spacing w:after="0" w:line="360" w:lineRule="auto"/>
        <w:ind w:firstLine="709"/>
        <w:jc w:val="both"/>
        <w:rPr>
          <w:rFonts w:ascii="Arial" w:eastAsia="Times New Roman" w:hAnsi="Arial" w:cs="Arial"/>
          <w:b/>
          <w:bCs/>
          <w:sz w:val="26"/>
          <w:szCs w:val="26"/>
          <w:lang w:val="es-ES" w:eastAsia="es-ES"/>
        </w:rPr>
      </w:pPr>
    </w:p>
    <w:p w:rsidR="005559EB" w:rsidRDefault="005559EB" w:rsidP="00FB2A21">
      <w:pPr>
        <w:spacing w:after="0" w:line="360" w:lineRule="auto"/>
        <w:ind w:firstLine="709"/>
        <w:jc w:val="both"/>
        <w:rPr>
          <w:rFonts w:ascii="Arial" w:eastAsia="Times New Roman" w:hAnsi="Arial" w:cs="Arial"/>
          <w:b/>
          <w:bCs/>
          <w:sz w:val="26"/>
          <w:szCs w:val="26"/>
          <w:lang w:val="es-ES" w:eastAsia="es-ES"/>
        </w:rPr>
      </w:pPr>
    </w:p>
    <w:p w:rsidR="005559EB" w:rsidRDefault="005559EB" w:rsidP="00FB2A21">
      <w:pPr>
        <w:spacing w:after="0" w:line="360" w:lineRule="auto"/>
        <w:ind w:firstLine="709"/>
        <w:jc w:val="both"/>
        <w:rPr>
          <w:rFonts w:ascii="Arial" w:eastAsia="Times New Roman" w:hAnsi="Arial" w:cs="Arial"/>
          <w:b/>
          <w:bCs/>
          <w:sz w:val="26"/>
          <w:szCs w:val="26"/>
          <w:lang w:val="es-ES" w:eastAsia="es-ES"/>
        </w:rPr>
      </w:pPr>
    </w:p>
    <w:p w:rsidR="00FB2A21" w:rsidRPr="00A44856" w:rsidRDefault="00FB2A21" w:rsidP="00FB2A21">
      <w:pPr>
        <w:spacing w:after="0" w:line="360" w:lineRule="auto"/>
        <w:ind w:firstLine="709"/>
        <w:jc w:val="both"/>
        <w:rPr>
          <w:rFonts w:ascii="Arial" w:eastAsia="Calibri" w:hAnsi="Arial" w:cs="Arial"/>
          <w:sz w:val="26"/>
          <w:szCs w:val="26"/>
        </w:rPr>
      </w:pPr>
      <w:r w:rsidRPr="00A44856">
        <w:rPr>
          <w:rFonts w:ascii="Arial" w:eastAsia="Times New Roman" w:hAnsi="Arial" w:cs="Arial"/>
          <w:b/>
          <w:bCs/>
          <w:sz w:val="26"/>
          <w:szCs w:val="26"/>
          <w:lang w:val="es-ES" w:eastAsia="es-ES"/>
        </w:rPr>
        <w:t>SEGUNDO</w:t>
      </w:r>
      <w:r w:rsidRPr="00A44856">
        <w:rPr>
          <w:rFonts w:ascii="Arial" w:eastAsia="Times New Roman" w:hAnsi="Arial" w:cs="Arial"/>
          <w:sz w:val="26"/>
          <w:szCs w:val="26"/>
          <w:lang w:val="es-ES" w:eastAsia="es-ES"/>
        </w:rPr>
        <w:t xml:space="preserve">.- </w:t>
      </w:r>
      <w:r w:rsidRPr="00A44856">
        <w:rPr>
          <w:rFonts w:ascii="Arial" w:eastAsia="Calibri" w:hAnsi="Arial" w:cs="Arial"/>
          <w:sz w:val="26"/>
          <w:szCs w:val="26"/>
        </w:rPr>
        <w:t xml:space="preserve">Se decreta el </w:t>
      </w:r>
      <w:r w:rsidRPr="00A44856">
        <w:rPr>
          <w:rFonts w:ascii="Arial" w:eastAsia="Calibri" w:hAnsi="Arial" w:cs="Arial"/>
          <w:b/>
          <w:sz w:val="26"/>
          <w:szCs w:val="26"/>
        </w:rPr>
        <w:t xml:space="preserve">SOBRESEIMIENTO </w:t>
      </w:r>
      <w:r w:rsidRPr="00A44856">
        <w:rPr>
          <w:rFonts w:ascii="Arial" w:eastAsia="Calibri" w:hAnsi="Arial" w:cs="Arial"/>
          <w:sz w:val="26"/>
          <w:szCs w:val="26"/>
        </w:rPr>
        <w:t>del presente juicio contencioso administrativo, por las razones contenidas en el considerando tercero de esta sentencia.</w:t>
      </w:r>
    </w:p>
    <w:p w:rsidR="00FB2A21" w:rsidRPr="00A44856" w:rsidRDefault="00FB2A21" w:rsidP="00FB2A21">
      <w:pPr>
        <w:spacing w:after="0" w:line="360" w:lineRule="auto"/>
        <w:ind w:firstLine="709"/>
        <w:jc w:val="both"/>
        <w:rPr>
          <w:rFonts w:ascii="Arial" w:eastAsia="Times New Roman" w:hAnsi="Arial" w:cs="Arial"/>
          <w:b/>
          <w:color w:val="000000"/>
          <w:sz w:val="26"/>
          <w:szCs w:val="26"/>
          <w:lang w:eastAsia="es-MX"/>
        </w:rPr>
      </w:pPr>
    </w:p>
    <w:p w:rsidR="00FB2A21" w:rsidRPr="00A44856" w:rsidRDefault="00FB2A21" w:rsidP="00FB2A21">
      <w:pPr>
        <w:spacing w:after="0" w:line="360" w:lineRule="auto"/>
        <w:ind w:firstLine="709"/>
        <w:jc w:val="both"/>
        <w:rPr>
          <w:rFonts w:ascii="Arial" w:eastAsia="Calibri" w:hAnsi="Arial" w:cs="Arial"/>
          <w:sz w:val="26"/>
          <w:szCs w:val="26"/>
        </w:rPr>
      </w:pPr>
      <w:r w:rsidRPr="00A44856">
        <w:rPr>
          <w:rFonts w:ascii="Arial" w:eastAsia="Times New Roman" w:hAnsi="Arial" w:cs="Arial"/>
          <w:b/>
          <w:color w:val="000000"/>
          <w:sz w:val="26"/>
          <w:szCs w:val="26"/>
          <w:lang w:eastAsia="es-MX"/>
        </w:rPr>
        <w:t xml:space="preserve">TERCERO.- </w:t>
      </w:r>
      <w:r w:rsidRPr="00A44856">
        <w:rPr>
          <w:rFonts w:ascii="Arial" w:eastAsia="Calibri" w:hAnsi="Arial" w:cs="Arial"/>
          <w:sz w:val="26"/>
          <w:szCs w:val="26"/>
        </w:rPr>
        <w:t>Con copia autorizada de esta resolución, notifíquese personalmente a la parte actora y por oficio a las autoridades demandadas.</w:t>
      </w:r>
    </w:p>
    <w:p w:rsidR="00DA032F" w:rsidRDefault="00DA032F" w:rsidP="00FB2A21">
      <w:pPr>
        <w:spacing w:after="0" w:line="360" w:lineRule="auto"/>
        <w:ind w:firstLine="708"/>
        <w:jc w:val="both"/>
        <w:rPr>
          <w:rFonts w:ascii="Arial Narrow" w:eastAsia="Calibri" w:hAnsi="Arial Narrow" w:cs="Arial"/>
          <w:sz w:val="28"/>
          <w:szCs w:val="28"/>
        </w:rPr>
      </w:pPr>
    </w:p>
    <w:p w:rsidR="009D6798" w:rsidRPr="00EA4141" w:rsidRDefault="00DA032F" w:rsidP="000479F3">
      <w:pPr>
        <w:spacing w:after="0" w:line="360" w:lineRule="auto"/>
        <w:ind w:firstLine="708"/>
        <w:jc w:val="both"/>
        <w:rPr>
          <w:rFonts w:ascii="Calibri" w:eastAsia="Calibri" w:hAnsi="Calibri" w:cs="Times New Roman"/>
        </w:rPr>
      </w:pPr>
      <w:r w:rsidRPr="00DA032F">
        <w:rPr>
          <w:rFonts w:ascii="Arial" w:eastAsia="Calibri" w:hAnsi="Arial" w:cs="Arial"/>
          <w:sz w:val="26"/>
          <w:szCs w:val="26"/>
        </w:rPr>
        <w:t xml:space="preserve">Así lo resolvió y firma, el Magistrado Titular de la Tercera Sala Unitaria del Tribunal Estatal de Justicia Administrativa, </w:t>
      </w:r>
      <w:r w:rsidRPr="00DA032F">
        <w:rPr>
          <w:rFonts w:ascii="Arial" w:eastAsia="Calibri" w:hAnsi="Arial" w:cs="Arial"/>
          <w:b/>
          <w:sz w:val="26"/>
          <w:szCs w:val="26"/>
        </w:rPr>
        <w:t>Licenciado Jorge Alejandro Vera Noyola,</w:t>
      </w:r>
      <w:r w:rsidRPr="00DA032F">
        <w:rPr>
          <w:rFonts w:ascii="Arial" w:eastAsia="Calibri" w:hAnsi="Arial" w:cs="Arial"/>
          <w:sz w:val="26"/>
          <w:szCs w:val="26"/>
        </w:rPr>
        <w:t xml:space="preserve"> quien actúa con Secretario de Acuerdos, </w:t>
      </w:r>
      <w:r w:rsidRPr="00DA032F">
        <w:rPr>
          <w:rFonts w:ascii="Arial" w:eastAsia="Calibri" w:hAnsi="Arial" w:cs="Arial"/>
          <w:b/>
          <w:sz w:val="26"/>
          <w:szCs w:val="26"/>
        </w:rPr>
        <w:t>Licenciado Ismael Méndez Hernández,</w:t>
      </w:r>
      <w:r w:rsidRPr="00DA032F">
        <w:rPr>
          <w:rFonts w:ascii="Arial" w:eastAsia="Calibri" w:hAnsi="Arial" w:cs="Arial"/>
          <w:sz w:val="26"/>
          <w:szCs w:val="26"/>
        </w:rPr>
        <w:t xml:space="preserve"> que autoriza y da fe</w:t>
      </w:r>
      <w:r w:rsidR="000479F3">
        <w:rPr>
          <w:rFonts w:ascii="Arial" w:eastAsia="Calibri" w:hAnsi="Arial" w:cs="Arial"/>
          <w:sz w:val="26"/>
          <w:szCs w:val="26"/>
        </w:rPr>
        <w:t>.</w:t>
      </w:r>
    </w:p>
    <w:p w:rsidR="00034BE4" w:rsidRDefault="009D6798" w:rsidP="009D6798">
      <w:pPr>
        <w:spacing w:after="0" w:line="360" w:lineRule="auto"/>
        <w:ind w:firstLine="708"/>
        <w:jc w:val="both"/>
      </w:pPr>
      <w:r>
        <w:t xml:space="preserve"> </w:t>
      </w:r>
    </w:p>
    <w:p w:rsidR="00350150" w:rsidRPr="00F250E9" w:rsidRDefault="00350150" w:rsidP="00350150">
      <w:pPr>
        <w:autoSpaceDE w:val="0"/>
        <w:autoSpaceDN w:val="0"/>
        <w:adjustRightInd w:val="0"/>
        <w:spacing w:after="0" w:line="360" w:lineRule="auto"/>
        <w:ind w:firstLine="708"/>
        <w:jc w:val="both"/>
        <w:rPr>
          <w:rFonts w:ascii="Arial" w:eastAsia="Calibri" w:hAnsi="Arial" w:cs="Arial"/>
          <w:sz w:val="24"/>
          <w:szCs w:val="24"/>
        </w:rPr>
      </w:pPr>
      <w:r w:rsidRPr="00B42210">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034BE4" w:rsidRPr="00DA032F" w:rsidRDefault="00034BE4" w:rsidP="00FB2A21">
      <w:pPr>
        <w:spacing w:after="0" w:line="360" w:lineRule="auto"/>
        <w:ind w:firstLine="708"/>
        <w:jc w:val="both"/>
        <w:rPr>
          <w:rFonts w:ascii="Arial" w:eastAsia="Calibri" w:hAnsi="Arial" w:cs="Arial"/>
          <w:sz w:val="26"/>
          <w:szCs w:val="26"/>
        </w:rPr>
      </w:pPr>
      <w:bookmarkStart w:id="0" w:name="_GoBack"/>
      <w:bookmarkEnd w:id="0"/>
    </w:p>
    <w:sectPr w:rsidR="00034BE4" w:rsidRPr="00DA032F" w:rsidSect="00DA677A">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7005" w:rsidRDefault="004A7005">
      <w:pPr>
        <w:spacing w:after="0" w:line="240" w:lineRule="auto"/>
      </w:pPr>
      <w:r>
        <w:separator/>
      </w:r>
    </w:p>
  </w:endnote>
  <w:endnote w:type="continuationSeparator" w:id="0">
    <w:p w:rsidR="004A7005" w:rsidRDefault="004A70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7005" w:rsidRDefault="004A7005">
      <w:pPr>
        <w:spacing w:after="0" w:line="240" w:lineRule="auto"/>
      </w:pPr>
      <w:r>
        <w:separator/>
      </w:r>
    </w:p>
  </w:footnote>
  <w:footnote w:type="continuationSeparator" w:id="0">
    <w:p w:rsidR="004A7005" w:rsidRDefault="004A70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6BF" w:rsidRDefault="00350150" w:rsidP="004266BF">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4266BF" w:rsidRPr="006C0427" w:rsidRDefault="001E09EA" w:rsidP="004266BF">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350150">
      <w:rPr>
        <w:rStyle w:val="Nmerodepgina"/>
        <w:noProof/>
        <w:color w:val="FFFFFF"/>
      </w:rPr>
      <w:t>9</w:t>
    </w:r>
    <w:r w:rsidRPr="006C0427">
      <w:rPr>
        <w:rStyle w:val="Nmerodepgina"/>
        <w:color w:val="FFFFFF"/>
      </w:rPr>
      <w:fldChar w:fldCharType="end"/>
    </w:r>
    <w:r w:rsidRPr="006C0427">
      <w:rPr>
        <w:rStyle w:val="Nmerodepgina"/>
        <w:color w:val="FFFFFF"/>
      </w:rPr>
      <w:t xml:space="preserve"> </w:t>
    </w:r>
  </w:p>
  <w:bookmarkEnd w:id="1"/>
  <w:p w:rsidR="004266BF" w:rsidRPr="00364AFE" w:rsidRDefault="001E09EA" w:rsidP="004266BF">
    <w:pPr>
      <w:pStyle w:val="Encabezado"/>
      <w:jc w:val="right"/>
      <w:rPr>
        <w:rFonts w:ascii="Arial Narrow" w:hAnsi="Arial Narrow"/>
      </w:rPr>
    </w:pPr>
    <w:r w:rsidRPr="00E47A61">
      <w:rPr>
        <w:rFonts w:ascii="Arial Narrow" w:hAnsi="Arial Narrow"/>
        <w:sz w:val="28"/>
        <w:szCs w:val="28"/>
      </w:rPr>
      <w:t xml:space="preserve">  </w:t>
    </w:r>
    <w:r>
      <w:rPr>
        <w:rFonts w:ascii="Arial Narrow" w:hAnsi="Arial Narrow"/>
        <w:sz w:val="28"/>
        <w:szCs w:val="28"/>
      </w:rPr>
      <w:t>…</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350150">
      <w:rPr>
        <w:rFonts w:ascii="Arial Narrow" w:hAnsi="Arial Narrow"/>
        <w:noProof/>
      </w:rPr>
      <w:t>5</w:t>
    </w:r>
    <w:r w:rsidRPr="00364AFE">
      <w:rPr>
        <w:rFonts w:ascii="Arial Narrow" w:hAnsi="Arial Narrow"/>
      </w:rPr>
      <w:fldChar w:fldCharType="end"/>
    </w:r>
    <w:r>
      <w:rPr>
        <w:rFonts w:ascii="Arial Narrow" w:hAnsi="Arial Narrow"/>
      </w:rPr>
      <w:t>.-</w:t>
    </w:r>
  </w:p>
  <w:p w:rsidR="004266BF" w:rsidRPr="00364AFE" w:rsidRDefault="001E09EA" w:rsidP="004266BF">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1896CB8A" wp14:editId="6C0B27A6">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266BF" w:rsidRDefault="001E09EA" w:rsidP="004266B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12341A0" wp14:editId="70997947">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4266BF" w:rsidRPr="00B23B9D" w:rsidRDefault="001E09EA" w:rsidP="004266B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266BF" w:rsidRPr="00B23B9D" w:rsidRDefault="001E09EA" w:rsidP="004266B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266BF" w:rsidRPr="00B23B9D" w:rsidRDefault="001E09EA" w:rsidP="004266B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266BF" w:rsidRPr="00B23B9D" w:rsidRDefault="00350150" w:rsidP="004266BF">
                          <w:pPr>
                            <w:pStyle w:val="Sinespaciado"/>
                            <w:jc w:val="center"/>
                            <w:rPr>
                              <w:rFonts w:ascii="Microsoft Sans Serif" w:eastAsia="SimHei" w:hAnsi="Microsoft Sans Serif" w:cs="Microsoft Sans Serif"/>
                              <w:b/>
                              <w:sz w:val="14"/>
                              <w:szCs w:val="14"/>
                            </w:rPr>
                          </w:pPr>
                        </w:p>
                        <w:p w:rsidR="004266BF" w:rsidRPr="00B23B9D" w:rsidRDefault="001E09EA" w:rsidP="004266B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4266BF" w:rsidRDefault="001E09EA" w:rsidP="004266B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12341A0" wp14:editId="70997947">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4266BF" w:rsidRPr="00B23B9D" w:rsidRDefault="001E09EA" w:rsidP="004266B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266BF" w:rsidRPr="00B23B9D" w:rsidRDefault="001E09EA" w:rsidP="004266B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266BF" w:rsidRPr="00B23B9D" w:rsidRDefault="001E09EA" w:rsidP="004266B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266BF" w:rsidRPr="00B23B9D" w:rsidRDefault="00350150" w:rsidP="004266BF">
                    <w:pPr>
                      <w:pStyle w:val="Sinespaciado"/>
                      <w:jc w:val="center"/>
                      <w:rPr>
                        <w:rFonts w:ascii="Microsoft Sans Serif" w:eastAsia="SimHei" w:hAnsi="Microsoft Sans Serif" w:cs="Microsoft Sans Serif"/>
                        <w:b/>
                        <w:sz w:val="14"/>
                        <w:szCs w:val="14"/>
                      </w:rPr>
                    </w:pPr>
                  </w:p>
                  <w:p w:rsidR="004266BF" w:rsidRPr="00B23B9D" w:rsidRDefault="001E09EA" w:rsidP="004266B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Pr>
        <w:rFonts w:ascii="Arial Narrow" w:hAnsi="Arial Narrow"/>
      </w:rPr>
      <w:t>66</w:t>
    </w:r>
    <w:r w:rsidRPr="00364AFE">
      <w:rPr>
        <w:rFonts w:ascii="Arial Narrow" w:hAnsi="Arial Narrow"/>
      </w:rPr>
      <w:t>/20</w:t>
    </w:r>
    <w:r>
      <w:rPr>
        <w:rFonts w:ascii="Arial Narrow" w:hAnsi="Arial Narrow"/>
      </w:rPr>
      <w:t>21</w:t>
    </w:r>
    <w:r w:rsidRPr="00364AFE">
      <w:rPr>
        <w:rFonts w:ascii="Arial Narrow" w:hAnsi="Arial Narrow"/>
      </w:rPr>
      <w:t xml:space="preserve">-3 </w:t>
    </w:r>
  </w:p>
  <w:p w:rsidR="004266BF" w:rsidRPr="00E47A61" w:rsidRDefault="00350150" w:rsidP="004266B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6BF" w:rsidRPr="004A456E" w:rsidRDefault="001E09EA" w:rsidP="004266BF">
    <w:pPr>
      <w:pStyle w:val="Encabezado"/>
      <w:tabs>
        <w:tab w:val="left" w:pos="1503"/>
      </w:tabs>
    </w:pPr>
    <w:r>
      <w:rPr>
        <w:noProof/>
        <w:lang w:eastAsia="es-MX"/>
      </w:rPr>
      <mc:AlternateContent>
        <mc:Choice Requires="wps">
          <w:drawing>
            <wp:anchor distT="0" distB="0" distL="114300" distR="114300" simplePos="0" relativeHeight="251659264" behindDoc="1" locked="0" layoutInCell="1" allowOverlap="1" wp14:anchorId="02FD0631" wp14:editId="3FE33515">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266BF" w:rsidRDefault="001E09EA" w:rsidP="004266B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377A411" wp14:editId="6FDDCC62">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4266BF" w:rsidRPr="00B23B9D" w:rsidRDefault="001E09EA" w:rsidP="004266B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266BF" w:rsidRPr="00B23B9D" w:rsidRDefault="001E09EA" w:rsidP="004266B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266BF" w:rsidRPr="00B23B9D" w:rsidRDefault="001E09EA" w:rsidP="004266B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266BF" w:rsidRPr="00B23B9D" w:rsidRDefault="00350150" w:rsidP="004266BF">
                          <w:pPr>
                            <w:pStyle w:val="Sinespaciado"/>
                            <w:jc w:val="center"/>
                            <w:rPr>
                              <w:rFonts w:ascii="Microsoft Sans Serif" w:eastAsia="SimHei" w:hAnsi="Microsoft Sans Serif" w:cs="Microsoft Sans Serif"/>
                              <w:b/>
                              <w:sz w:val="14"/>
                              <w:szCs w:val="14"/>
                            </w:rPr>
                          </w:pPr>
                        </w:p>
                        <w:p w:rsidR="004266BF" w:rsidRPr="00B23B9D" w:rsidRDefault="001E09EA" w:rsidP="004266B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4266BF" w:rsidRDefault="001E09EA" w:rsidP="004266B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1377A411" wp14:editId="6FDDCC62">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4266BF" w:rsidRPr="00B23B9D" w:rsidRDefault="001E09EA" w:rsidP="004266B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266BF" w:rsidRPr="00B23B9D" w:rsidRDefault="001E09EA" w:rsidP="004266B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266BF" w:rsidRPr="00B23B9D" w:rsidRDefault="001E09EA" w:rsidP="004266B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266BF" w:rsidRPr="00B23B9D" w:rsidRDefault="00350150" w:rsidP="004266BF">
                    <w:pPr>
                      <w:pStyle w:val="Sinespaciado"/>
                      <w:jc w:val="center"/>
                      <w:rPr>
                        <w:rFonts w:ascii="Microsoft Sans Serif" w:eastAsia="SimHei" w:hAnsi="Microsoft Sans Serif" w:cs="Microsoft Sans Serif"/>
                        <w:b/>
                        <w:sz w:val="14"/>
                        <w:szCs w:val="14"/>
                      </w:rPr>
                    </w:pPr>
                  </w:p>
                  <w:p w:rsidR="004266BF" w:rsidRPr="00B23B9D" w:rsidRDefault="001E09EA" w:rsidP="004266B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2A21"/>
    <w:rsid w:val="00034BE4"/>
    <w:rsid w:val="000368B8"/>
    <w:rsid w:val="000479F3"/>
    <w:rsid w:val="0016709B"/>
    <w:rsid w:val="001E09EA"/>
    <w:rsid w:val="002562E4"/>
    <w:rsid w:val="00350150"/>
    <w:rsid w:val="004A7005"/>
    <w:rsid w:val="00535D29"/>
    <w:rsid w:val="005559EB"/>
    <w:rsid w:val="00657A36"/>
    <w:rsid w:val="006B6E3E"/>
    <w:rsid w:val="00765C04"/>
    <w:rsid w:val="0084615E"/>
    <w:rsid w:val="0086392C"/>
    <w:rsid w:val="00882F09"/>
    <w:rsid w:val="009D6798"/>
    <w:rsid w:val="00B074F8"/>
    <w:rsid w:val="00C15B6F"/>
    <w:rsid w:val="00C83F8C"/>
    <w:rsid w:val="00CB5B09"/>
    <w:rsid w:val="00D24E25"/>
    <w:rsid w:val="00DA032F"/>
    <w:rsid w:val="00DA677A"/>
    <w:rsid w:val="00DC78FE"/>
    <w:rsid w:val="00F0366F"/>
    <w:rsid w:val="00FB2A21"/>
    <w:rsid w:val="00FD2A8E"/>
    <w:rsid w:val="00FF233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2A2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FB2A2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FB2A21"/>
  </w:style>
  <w:style w:type="character" w:styleId="Nmerodepgina">
    <w:name w:val="page number"/>
    <w:basedOn w:val="Fuentedeprrafopredeter"/>
    <w:rsid w:val="00FB2A21"/>
  </w:style>
  <w:style w:type="paragraph" w:styleId="Sinespaciado">
    <w:name w:val="No Spacing"/>
    <w:link w:val="SinespaciadoCar"/>
    <w:uiPriority w:val="1"/>
    <w:qFormat/>
    <w:rsid w:val="00FB2A21"/>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FB2A21"/>
    <w:rPr>
      <w:rFonts w:ascii="Calibri" w:eastAsia="Calibri" w:hAnsi="Calibri" w:cs="Times New Roman"/>
    </w:rPr>
  </w:style>
  <w:style w:type="paragraph" w:customStyle="1" w:styleId="Style1">
    <w:name w:val="Style 1"/>
    <w:basedOn w:val="Normal"/>
    <w:uiPriority w:val="99"/>
    <w:rsid w:val="00FB2A21"/>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FB2A2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B2A2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2A2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FB2A2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FB2A21"/>
  </w:style>
  <w:style w:type="character" w:styleId="Nmerodepgina">
    <w:name w:val="page number"/>
    <w:basedOn w:val="Fuentedeprrafopredeter"/>
    <w:rsid w:val="00FB2A21"/>
  </w:style>
  <w:style w:type="paragraph" w:styleId="Sinespaciado">
    <w:name w:val="No Spacing"/>
    <w:link w:val="SinespaciadoCar"/>
    <w:uiPriority w:val="1"/>
    <w:qFormat/>
    <w:rsid w:val="00FB2A21"/>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FB2A21"/>
    <w:rPr>
      <w:rFonts w:ascii="Calibri" w:eastAsia="Calibri" w:hAnsi="Calibri" w:cs="Times New Roman"/>
    </w:rPr>
  </w:style>
  <w:style w:type="paragraph" w:customStyle="1" w:styleId="Style1">
    <w:name w:val="Style 1"/>
    <w:basedOn w:val="Normal"/>
    <w:uiPriority w:val="99"/>
    <w:rsid w:val="00FB2A21"/>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FB2A2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B2A2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10</Pages>
  <Words>2918</Words>
  <Characters>16050</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33</cp:revision>
  <cp:lastPrinted>2023-03-14T19:40:00Z</cp:lastPrinted>
  <dcterms:created xsi:type="dcterms:W3CDTF">2023-03-13T18:49:00Z</dcterms:created>
  <dcterms:modified xsi:type="dcterms:W3CDTF">2023-04-04T18:16:00Z</dcterms:modified>
</cp:coreProperties>
</file>