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D27FB" w14:textId="77777777" w:rsidR="000B43F8" w:rsidRDefault="000B43F8" w:rsidP="000B43F8"/>
    <w:p w14:paraId="3E938D1E" w14:textId="77777777" w:rsidR="000B43F8" w:rsidRPr="00564E7B" w:rsidRDefault="00564E7B" w:rsidP="00553CA0">
      <w:pPr>
        <w:jc w:val="both"/>
        <w:rPr>
          <w:b/>
        </w:rPr>
      </w:pPr>
      <w:r w:rsidRPr="00564E7B">
        <w:rPr>
          <w:b/>
        </w:rPr>
        <w:t>ACUERDO DEL CONSEJO ESTATAL ELECTORAL Y DE PARTICIPACIÓN CIUDADANA, POR MEDIO DEL CUAL SE APRUEBA EL REGLAMENTO ORGÁNICO DEL CONSEJO ESTATAL ELECTORAL Y DE PARTICIPACIÓN CIUDADANA DE SAN LUIS POTOSI.</w:t>
      </w:r>
    </w:p>
    <w:p w14:paraId="3D9995EF" w14:textId="77777777" w:rsidR="00964186" w:rsidRDefault="00964186" w:rsidP="00964186">
      <w:pPr>
        <w:spacing w:after="0" w:line="276" w:lineRule="auto"/>
        <w:jc w:val="center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CAPÍTULO XII</w:t>
      </w:r>
    </w:p>
    <w:p w14:paraId="4819CA17" w14:textId="77777777" w:rsidR="00964186" w:rsidRDefault="00964186" w:rsidP="00964186">
      <w:pPr>
        <w:spacing w:after="0" w:line="276" w:lineRule="auto"/>
        <w:jc w:val="center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DE LA UNIDAD DE TRANSPARENCIA</w:t>
      </w:r>
    </w:p>
    <w:p w14:paraId="206AAD26" w14:textId="77777777" w:rsidR="00964186" w:rsidRDefault="00964186" w:rsidP="00964186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</w:p>
    <w:p w14:paraId="378147A6" w14:textId="77777777" w:rsidR="00964186" w:rsidRDefault="00964186" w:rsidP="00964186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Artículo 55</w:t>
      </w:r>
      <w:r>
        <w:rPr>
          <w:rFonts w:ascii="Arial" w:hAnsi="Arial" w:cs="Arial"/>
          <w:sz w:val="21"/>
          <w:szCs w:val="21"/>
        </w:rPr>
        <w:t>. La Unidad de Transparencia, es el órgano adscrito a la Presidencia del Consejo, encargado de aplicar los criterios y procedimientos institucionales para garantizar a toda persona el derecho humano al acceso a la información pública y de protección de los datos personales, generada, obtenida, adquirida, transformada o en posesión del Consejo, así como del otorgamiento adicional de servicios asociados a la consulta de la biblioteca y del registro del acervo bibliográfico tanto del generado por el propio Consejo como del que se haga acopio, lo anterior con el propósito de contribuir a una política de transparencia proactiva.</w:t>
      </w:r>
    </w:p>
    <w:p w14:paraId="75A671A9" w14:textId="77777777" w:rsidR="00964186" w:rsidRDefault="00964186" w:rsidP="00964186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</w:p>
    <w:p w14:paraId="0D634FBE" w14:textId="77777777" w:rsidR="00964186" w:rsidRDefault="00964186" w:rsidP="00964186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Artículo 56</w:t>
      </w:r>
      <w:r>
        <w:rPr>
          <w:rFonts w:ascii="Arial" w:hAnsi="Arial" w:cs="Arial"/>
          <w:sz w:val="21"/>
          <w:szCs w:val="21"/>
        </w:rPr>
        <w:t>. La Unidad de Transparencia, contará con las atribuciones conferidas por la Ley General de Transparencia y Acceso a la Información Pública, por la Ley de Transparencia y Acceso a la Información Pública del Estado de San Luis Potosí y por el Reglamento de Transparencia, así como las siguientes:</w:t>
      </w:r>
    </w:p>
    <w:p w14:paraId="35F6DC81" w14:textId="77777777" w:rsidR="00964186" w:rsidRDefault="00964186" w:rsidP="00964186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</w:p>
    <w:p w14:paraId="5A760858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Tratar con la Presidencia, los asuntos de su competencia;</w:t>
      </w:r>
    </w:p>
    <w:p w14:paraId="7D2AFCBE" w14:textId="77777777" w:rsidR="00964186" w:rsidRDefault="00964186" w:rsidP="00964186">
      <w:pPr>
        <w:pStyle w:val="Prrafodelista"/>
        <w:spacing w:after="0" w:line="276" w:lineRule="auto"/>
        <w:ind w:left="1080"/>
        <w:jc w:val="both"/>
        <w:rPr>
          <w:rFonts w:ascii="Arial" w:hAnsi="Arial" w:cs="Arial"/>
          <w:sz w:val="21"/>
          <w:szCs w:val="21"/>
        </w:rPr>
      </w:pPr>
    </w:p>
    <w:p w14:paraId="752F10FD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Ejecutar las facultades y obligaciones que le confiere la Ley y el presente Reglamento; </w:t>
      </w:r>
    </w:p>
    <w:p w14:paraId="29AB9F71" w14:textId="77777777" w:rsidR="00964186" w:rsidRDefault="00964186" w:rsidP="00964186">
      <w:pPr>
        <w:pStyle w:val="Prrafodelista"/>
        <w:spacing w:after="0" w:line="276" w:lineRule="auto"/>
        <w:ind w:left="1080"/>
        <w:jc w:val="both"/>
        <w:rPr>
          <w:rFonts w:ascii="Arial" w:hAnsi="Arial" w:cs="Arial"/>
          <w:sz w:val="21"/>
          <w:szCs w:val="21"/>
        </w:rPr>
      </w:pPr>
    </w:p>
    <w:p w14:paraId="38106A53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Elaborar los programas de trabajo en materia de transparencia, acceso a la información pública y protección de datos personales del Consejo, y una vez aprobados, implementarlos;</w:t>
      </w:r>
    </w:p>
    <w:p w14:paraId="68CBB570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Elaborar el proyecto de políticas generales a que se sujetarán los programas de transparencia e información pública y protección de datos personales, para su presentación a la Presidencia del Consejo;</w:t>
      </w:r>
    </w:p>
    <w:p w14:paraId="69FC67DF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1329BC38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Operar la biblioteca del Consejo e instaurar los mecanismos necesarios para el incremento, relación y resguardo de su acervo bibliográfico; tanto del generado por el propio Consejo como del que se haga acopio;</w:t>
      </w:r>
    </w:p>
    <w:p w14:paraId="43265A87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316BD100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Supervisar la correcta conservación de los acervos documentales impresos y digitales en poder del Consejo;</w:t>
      </w:r>
    </w:p>
    <w:p w14:paraId="103DAC51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2908658F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Establecer los mecanismos y buenas prácticas para fortalecer la cultura institucional de transparencia, rendición de cuentas y protección de datos personales, así como para potenciar el derecho a la información;</w:t>
      </w:r>
    </w:p>
    <w:p w14:paraId="422CF963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52682E05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Diseñar y proponer a la Presidencia, políticas dirigidas a promover en el Consejo la transparencia proactiva;</w:t>
      </w:r>
    </w:p>
    <w:p w14:paraId="01BA549B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644C692A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Establecer vínculos con actores sociales en relación con la definición de información socialmente útil;</w:t>
      </w:r>
    </w:p>
    <w:p w14:paraId="626B6C90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4E30CE44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Emitir opiniones y elaborar dictámenes y análisis de transparencia, acceso a la información, protección de datos personales y gestión documental, que propicien la correcta aplicación de la normatividad en esas materias;</w:t>
      </w:r>
    </w:p>
    <w:p w14:paraId="4165ED81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7E554FCB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Participar en el Comité de Información conforme lo establece el Reglamento de Transparencia;</w:t>
      </w:r>
    </w:p>
    <w:p w14:paraId="29E30819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05BA698C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Proporcionar a los órganos del Consejo el apoyo técnico necesario en materia de transparencia, acceso a la información, protección de datos personales y gestión documental;</w:t>
      </w:r>
    </w:p>
    <w:p w14:paraId="5B6FD7C1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6CB4F448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Elaborar y ejecutar los planes y programas de capacitación para los órganos del Consejo, en materia de transparencia, acceso a la información, protección de datos personales y gestión documental;</w:t>
      </w:r>
    </w:p>
    <w:p w14:paraId="750C60F2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76F0083D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Establecer los procedimientos y mecanismos internos que aseguren la mayor eficiencia en la gestión de las solicitudes de acceso a la información y de protección de datos personales;</w:t>
      </w:r>
    </w:p>
    <w:p w14:paraId="717914C0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4D1E0F0C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Recomendar, en coordinación con la Dirección de Sistemas, la implementación y aplicación de nuevas tecnologías para el manejo y difusión de información;</w:t>
      </w:r>
    </w:p>
    <w:p w14:paraId="15341E99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Supervisar el registro y actualización de las solicitudes de acceso a la información y datos personales;</w:t>
      </w:r>
    </w:p>
    <w:p w14:paraId="0B8681E4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4231C50B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Formar parte de las Comisiones o Comités, que el Pleno o la normatividad del Consejo le encomienden;</w:t>
      </w:r>
    </w:p>
    <w:p w14:paraId="0A612033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4B1CF8E7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Presentar un Informe Trimestral de Desempeño a la Presidencia, y al Comité de Información del Consejo;</w:t>
      </w:r>
    </w:p>
    <w:p w14:paraId="31858E7C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6BB7F958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Elaborar el Informe Anual de actividades, mismo que el Comité de Información presentará ante el Pleno;</w:t>
      </w:r>
    </w:p>
    <w:p w14:paraId="0BE59E0E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02ED46F2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Mantener un registro sistematizado, público y actualizado de los estudios e investigaciones que realice o comisione el Consejo;</w:t>
      </w:r>
    </w:p>
    <w:p w14:paraId="63C76CCE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74A61232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Brindar asistencia en materia de transparencia e información pública, a los integrantes de las Comisiones Distritales Electorales y de los Comités Municipales Electorales;</w:t>
      </w:r>
    </w:p>
    <w:p w14:paraId="22150692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1BA9D300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Elaborar los programas de capacitación en materia de transparencia e información pública destinados a las áreas correspondientes de las Comisiones Distritales </w:t>
      </w:r>
      <w:r>
        <w:rPr>
          <w:rFonts w:ascii="Arial" w:hAnsi="Arial" w:cs="Arial"/>
          <w:sz w:val="21"/>
          <w:szCs w:val="21"/>
        </w:rPr>
        <w:lastRenderedPageBreak/>
        <w:t>Electorales y los Comités Municipales Electorales, e implementarlos de conformidad con la estrategia que apruebe el Pleno del Consejo;</w:t>
      </w:r>
    </w:p>
    <w:p w14:paraId="5D10772C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5BB8BA75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Llevar a cabo la evaluación del desempeño de los responsables de las Comisiones Distritales Electorales y de los Comités Municipales Electorales, en lo que se refiere al cumplimiento de los programas y actividades encomendadas por la Dirección, remitiendo los resultados de dicha evaluación a la Dirección Ejecutiva de Acción Electoral, para los efectos respectivos;</w:t>
      </w:r>
    </w:p>
    <w:p w14:paraId="58D614C9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27E84DA5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Elaborar el proyecto de calendarización de actividades en materia de transparencia e información pública a realizarse durante el desarrollo de procesos electorales, y remitirlo al Secretario Ejecutivo para su integración al calendario electoral, por lo menos con tres meses de anticipación al inicio del proceso electoral. Tratándose del calendario relativo a mecanismos de participación ciudadana, remitirlo oportunamente;</w:t>
      </w:r>
    </w:p>
    <w:p w14:paraId="15F778A1" w14:textId="77777777" w:rsidR="00964186" w:rsidRDefault="00964186" w:rsidP="00964186">
      <w:pPr>
        <w:pStyle w:val="Prrafodelista"/>
        <w:spacing w:line="276" w:lineRule="auto"/>
        <w:rPr>
          <w:rFonts w:ascii="Arial" w:hAnsi="Arial" w:cs="Arial"/>
          <w:sz w:val="21"/>
          <w:szCs w:val="21"/>
        </w:rPr>
      </w:pPr>
    </w:p>
    <w:p w14:paraId="51DB691E" w14:textId="77777777" w:rsid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Poner a disposición del público y mantener actualizada, en la página de internet del organismo, la información pública de oficio que el Consejo está obligado a difundir, y</w:t>
      </w:r>
    </w:p>
    <w:p w14:paraId="695C7951" w14:textId="77777777" w:rsidR="00964186" w:rsidRPr="00964186" w:rsidRDefault="00964186" w:rsidP="00964186">
      <w:pPr>
        <w:pStyle w:val="Prrafodelista"/>
        <w:rPr>
          <w:rFonts w:ascii="Arial" w:hAnsi="Arial" w:cs="Arial"/>
          <w:sz w:val="21"/>
          <w:szCs w:val="21"/>
        </w:rPr>
      </w:pPr>
    </w:p>
    <w:p w14:paraId="1BA6F4F7" w14:textId="77777777" w:rsidR="00964186" w:rsidRPr="00964186" w:rsidRDefault="00964186" w:rsidP="00964186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964186">
        <w:rPr>
          <w:rFonts w:ascii="Arial" w:hAnsi="Arial" w:cs="Arial"/>
          <w:sz w:val="21"/>
          <w:szCs w:val="21"/>
        </w:rPr>
        <w:t>Las demás que les confieran la Ley, el presente Reglamento y las disposiciones aplicables.</w:t>
      </w:r>
    </w:p>
    <w:p w14:paraId="6F1067B7" w14:textId="77777777" w:rsidR="00BF2664" w:rsidRDefault="00BF2664" w:rsidP="000B43F8"/>
    <w:p w14:paraId="6367DC54" w14:textId="77777777" w:rsidR="00BF2664" w:rsidRDefault="00BF2664" w:rsidP="000B43F8">
      <w:r w:rsidRPr="00BF2664">
        <w:t xml:space="preserve">El presente Reglamento Orgánico fue aprobado por unanimidad de votos por los integrantes del Pleno del Consejo Estatal Electoral y de Participación Ciudadana de </w:t>
      </w:r>
      <w:r w:rsidR="00983A85">
        <w:t>San Luis Potosí, en Sesión O</w:t>
      </w:r>
      <w:r w:rsidRPr="00BF2664">
        <w:t>rdinari</w:t>
      </w:r>
      <w:r>
        <w:t>a de fecha 08 de febrero del 2021.</w:t>
      </w:r>
    </w:p>
    <w:p w14:paraId="227C5E4E" w14:textId="77777777" w:rsidR="00D557CA" w:rsidRPr="00D557CA" w:rsidRDefault="00D557CA" w:rsidP="00D557CA">
      <w:r w:rsidRPr="00D557CA">
        <w:t>El contenido puede ser consultado en la siguiente liga:</w:t>
      </w:r>
    </w:p>
    <w:p w14:paraId="183A9D5F" w14:textId="77777777" w:rsidR="000B43F8" w:rsidRDefault="000B43F8" w:rsidP="000B43F8"/>
    <w:p w14:paraId="05AF91F3" w14:textId="77777777" w:rsidR="0007063A" w:rsidRDefault="0007063A" w:rsidP="0007063A">
      <w:hyperlink r:id="rId5" w:history="1">
        <w:r w:rsidRPr="00FC318A">
          <w:rPr>
            <w:rStyle w:val="Hipervnculo"/>
          </w:rPr>
          <w:t>http://www.ceepacslp.org.mx/ceepac/uploads2/files/23_%20ACUERDO%20REGLAMENTO%20ORG%C3%81NICO.PDF</w:t>
        </w:r>
      </w:hyperlink>
    </w:p>
    <w:p w14:paraId="1BB4007C" w14:textId="77777777" w:rsidR="003D597C" w:rsidRPr="00D557CA" w:rsidRDefault="003D597C" w:rsidP="00D557CA">
      <w:pPr>
        <w:tabs>
          <w:tab w:val="left" w:pos="469"/>
        </w:tabs>
        <w:kinsoku w:val="0"/>
        <w:overflowPunct w:val="0"/>
        <w:autoSpaceDE w:val="0"/>
        <w:autoSpaceDN w:val="0"/>
        <w:adjustRightInd w:val="0"/>
        <w:spacing w:after="0" w:line="238" w:lineRule="auto"/>
        <w:ind w:right="119"/>
        <w:jc w:val="both"/>
        <w:rPr>
          <w:rFonts w:ascii="Arial" w:hAnsi="Arial" w:cs="Arial"/>
          <w:sz w:val="20"/>
          <w:szCs w:val="20"/>
        </w:rPr>
      </w:pPr>
    </w:p>
    <w:p w14:paraId="638346A6" w14:textId="77777777" w:rsidR="00D557CA" w:rsidRDefault="00D557CA" w:rsidP="000B43F8">
      <w:pPr>
        <w:jc w:val="both"/>
        <w:rPr>
          <w:rFonts w:ascii="Arial" w:hAnsi="Arial" w:cs="Arial"/>
        </w:rPr>
      </w:pPr>
    </w:p>
    <w:p w14:paraId="3E3A3196" w14:textId="77777777" w:rsidR="000B43F8" w:rsidRDefault="000B43F8" w:rsidP="000B43F8"/>
    <w:sectPr w:rsidR="000B43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start w:val="1"/>
      <w:numFmt w:val="upperRoman"/>
      <w:lvlText w:val="%1."/>
      <w:lvlJc w:val="left"/>
      <w:pPr>
        <w:ind w:hanging="166"/>
      </w:pPr>
      <w:rPr>
        <w:rFonts w:ascii="Arial" w:hAnsi="Arial" w:cs="Arial"/>
        <w:b/>
        <w:bCs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" w15:restartNumberingAfterBreak="0">
    <w:nsid w:val="1B4B41A5"/>
    <w:multiLevelType w:val="hybridMultilevel"/>
    <w:tmpl w:val="33DE1FFE"/>
    <w:lvl w:ilvl="0" w:tplc="C5E800A0">
      <w:start w:val="1"/>
      <w:numFmt w:val="upperRoman"/>
      <w:lvlText w:val="%1."/>
      <w:lvlJc w:val="left"/>
      <w:pPr>
        <w:ind w:left="1080" w:hanging="72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7C2F5B"/>
    <w:multiLevelType w:val="hybridMultilevel"/>
    <w:tmpl w:val="64ACAC84"/>
    <w:lvl w:ilvl="0" w:tplc="D460E0D0">
      <w:start w:val="1"/>
      <w:numFmt w:val="upperRoman"/>
      <w:lvlText w:val="%1."/>
      <w:lvlJc w:val="left"/>
      <w:pPr>
        <w:ind w:left="1080" w:hanging="72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29262573">
    <w:abstractNumId w:val="0"/>
  </w:num>
  <w:num w:numId="2" w16cid:durableId="49704425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8993106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43F8"/>
    <w:rsid w:val="0007063A"/>
    <w:rsid w:val="000B43F8"/>
    <w:rsid w:val="0028644F"/>
    <w:rsid w:val="003D597C"/>
    <w:rsid w:val="00553CA0"/>
    <w:rsid w:val="00564E7B"/>
    <w:rsid w:val="005F33E3"/>
    <w:rsid w:val="00912C06"/>
    <w:rsid w:val="00964186"/>
    <w:rsid w:val="00983A85"/>
    <w:rsid w:val="00A1693E"/>
    <w:rsid w:val="00AD0DDE"/>
    <w:rsid w:val="00BF2664"/>
    <w:rsid w:val="00D55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48127"/>
  <w15:chartTrackingRefBased/>
  <w15:docId w15:val="{19A0AA84-FB21-40D4-A472-C0FBFF136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D557CA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D557CA"/>
    <w:pPr>
      <w:autoSpaceDE w:val="0"/>
      <w:autoSpaceDN w:val="0"/>
      <w:adjustRightInd w:val="0"/>
      <w:spacing w:after="0" w:line="240" w:lineRule="auto"/>
      <w:ind w:left="102"/>
    </w:pPr>
    <w:rPr>
      <w:rFonts w:ascii="Arial" w:hAnsi="Arial" w:cs="Arial"/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557CA"/>
    <w:rPr>
      <w:rFonts w:ascii="Arial" w:hAnsi="Arial" w:cs="Arial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557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PrrafodelistaCar">
    <w:name w:val="Párrafo de lista Car"/>
    <w:link w:val="Prrafodelista"/>
    <w:uiPriority w:val="34"/>
    <w:locked/>
    <w:rsid w:val="00964186"/>
  </w:style>
  <w:style w:type="character" w:styleId="Hipervnculo">
    <w:name w:val="Hyperlink"/>
    <w:basedOn w:val="Fuentedeprrafopredeter"/>
    <w:uiPriority w:val="99"/>
    <w:unhideWhenUsed/>
    <w:rsid w:val="000706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72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4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eepacslp.org.mx/ceepac/uploads2/files/23_%20ACUERDO%20REGLAMENTO%20ORG%C3%81NICO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933</Words>
  <Characters>5134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Sistemas</dc:creator>
  <cp:keywords/>
  <dc:description/>
  <cp:lastModifiedBy>CEEPAC SLP</cp:lastModifiedBy>
  <cp:revision>11</cp:revision>
  <dcterms:created xsi:type="dcterms:W3CDTF">2023-03-06T03:52:00Z</dcterms:created>
  <dcterms:modified xsi:type="dcterms:W3CDTF">2023-03-06T16:40:00Z</dcterms:modified>
</cp:coreProperties>
</file>