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BE33AAF" w14:textId="0B3D0921" w:rsidR="00EE2AB2" w:rsidRPr="00C906D0" w:rsidRDefault="00EE2AB2" w:rsidP="001F7332">
      <w:pPr>
        <w:spacing w:line="276" w:lineRule="auto"/>
        <w:jc w:val="both"/>
        <w:rPr>
          <w:rFonts w:ascii="Arial" w:hAnsi="Arial" w:cs="Arial"/>
          <w:lang w:val="es-MX"/>
        </w:rPr>
      </w:pPr>
      <w:r w:rsidRPr="00C906D0">
        <w:rPr>
          <w:rFonts w:ascii="Arial" w:hAnsi="Arial" w:cs="Arial"/>
          <w:lang w:val="es-MX"/>
        </w:rPr>
        <w:t xml:space="preserve">En cumplimiento al acuerdo emitido por el Comité de Transparencia de la Fiscalía General del Estado –FGE, en el </w:t>
      </w:r>
      <w:r w:rsidR="0042221D">
        <w:rPr>
          <w:rFonts w:ascii="Arial" w:hAnsi="Arial" w:cs="Arial"/>
          <w:b/>
          <w:lang w:val="es-MX"/>
        </w:rPr>
        <w:t>octavo</w:t>
      </w:r>
      <w:r w:rsidRPr="00C906D0">
        <w:rPr>
          <w:rFonts w:ascii="Arial" w:hAnsi="Arial" w:cs="Arial"/>
          <w:lang w:val="es-MX"/>
        </w:rPr>
        <w:t xml:space="preserve"> </w:t>
      </w:r>
      <w:r w:rsidR="00C90D83" w:rsidRPr="00C906D0">
        <w:rPr>
          <w:rFonts w:ascii="Arial" w:hAnsi="Arial" w:cs="Arial"/>
          <w:lang w:val="es-MX"/>
        </w:rPr>
        <w:t xml:space="preserve">punto </w:t>
      </w:r>
      <w:r w:rsidRPr="00C906D0">
        <w:rPr>
          <w:rFonts w:ascii="Arial" w:hAnsi="Arial" w:cs="Arial"/>
          <w:lang w:val="es-MX"/>
        </w:rPr>
        <w:t xml:space="preserve">del orden del día, de la </w:t>
      </w:r>
      <w:r w:rsidR="00C90D83" w:rsidRPr="00C906D0">
        <w:rPr>
          <w:rFonts w:ascii="Arial" w:hAnsi="Arial" w:cs="Arial"/>
          <w:b/>
          <w:lang w:val="es-MX"/>
        </w:rPr>
        <w:t>décima</w:t>
      </w:r>
      <w:r w:rsidR="00095DC5" w:rsidRPr="00C906D0">
        <w:rPr>
          <w:rFonts w:ascii="Arial" w:hAnsi="Arial" w:cs="Arial"/>
          <w:b/>
          <w:lang w:val="es-MX"/>
        </w:rPr>
        <w:t xml:space="preserve"> </w:t>
      </w:r>
      <w:r w:rsidR="0042221D">
        <w:rPr>
          <w:rFonts w:ascii="Arial" w:hAnsi="Arial" w:cs="Arial"/>
          <w:b/>
          <w:lang w:val="es-MX"/>
        </w:rPr>
        <w:t>segunda</w:t>
      </w:r>
      <w:r w:rsidRPr="00C906D0">
        <w:rPr>
          <w:rFonts w:ascii="Arial" w:hAnsi="Arial" w:cs="Arial"/>
          <w:b/>
          <w:lang w:val="es-MX"/>
        </w:rPr>
        <w:t xml:space="preserve"> </w:t>
      </w:r>
      <w:r w:rsidRPr="00C906D0">
        <w:rPr>
          <w:rFonts w:ascii="Arial" w:hAnsi="Arial" w:cs="Arial"/>
          <w:lang w:val="es-MX"/>
        </w:rPr>
        <w:t xml:space="preserve">sesión ordinaria, en términos de lo dispuesto por los artículos 51, 52 fracción II, 127 de la Ley de Transparencia y Acceso a la Información Pública del Estado de San Luis Potosí -LTAIPSLP- (publicada en el Periódico Oficial del Estado el 9 de mayo del año 2016, se procede a emitir la siguiente Resolución.  </w:t>
      </w:r>
    </w:p>
    <w:p w14:paraId="0FF721B2" w14:textId="77777777" w:rsidR="00EE2AB2" w:rsidRPr="00C906D0" w:rsidRDefault="00EE2AB2" w:rsidP="001F7332">
      <w:pPr>
        <w:spacing w:line="276" w:lineRule="auto"/>
        <w:jc w:val="both"/>
        <w:rPr>
          <w:rFonts w:ascii="Arial" w:hAnsi="Arial" w:cs="Arial"/>
          <w:lang w:val="es-MX"/>
        </w:rPr>
      </w:pPr>
    </w:p>
    <w:p w14:paraId="51BE0F5F" w14:textId="77777777" w:rsidR="003A0D63" w:rsidRPr="00C906D0" w:rsidRDefault="003A0D63" w:rsidP="001F7332">
      <w:pPr>
        <w:spacing w:line="276" w:lineRule="auto"/>
        <w:jc w:val="both"/>
        <w:rPr>
          <w:rFonts w:ascii="Arial" w:hAnsi="Arial" w:cs="Arial"/>
          <w:lang w:val="es-MX"/>
        </w:rPr>
      </w:pPr>
    </w:p>
    <w:p w14:paraId="69A8C248" w14:textId="0A4B24AD" w:rsidR="004F640E" w:rsidRPr="00C906D0" w:rsidRDefault="004F640E" w:rsidP="001F7332">
      <w:pPr>
        <w:spacing w:line="276" w:lineRule="auto"/>
        <w:jc w:val="center"/>
        <w:rPr>
          <w:rFonts w:ascii="Arial" w:hAnsi="Arial" w:cs="Arial"/>
          <w:b/>
          <w:lang w:val="es-MX"/>
        </w:rPr>
      </w:pPr>
      <w:r w:rsidRPr="00C906D0">
        <w:rPr>
          <w:rFonts w:ascii="Arial" w:hAnsi="Arial" w:cs="Arial"/>
          <w:b/>
          <w:lang w:val="es-MX"/>
        </w:rPr>
        <w:t>RESULTANDO</w:t>
      </w:r>
    </w:p>
    <w:p w14:paraId="1FE1DF16" w14:textId="77777777" w:rsidR="00342CCD" w:rsidRPr="00C906D0" w:rsidRDefault="00342CCD" w:rsidP="001F7332">
      <w:pPr>
        <w:spacing w:line="276" w:lineRule="auto"/>
        <w:jc w:val="both"/>
        <w:rPr>
          <w:rFonts w:ascii="Arial" w:hAnsi="Arial" w:cs="Arial"/>
          <w:b/>
          <w:lang w:val="es-MX"/>
        </w:rPr>
      </w:pPr>
    </w:p>
    <w:p w14:paraId="0ECFC51F" w14:textId="77777777" w:rsidR="000950BB" w:rsidRPr="00C906D0" w:rsidRDefault="000950BB" w:rsidP="001F7332">
      <w:pPr>
        <w:spacing w:line="276" w:lineRule="auto"/>
        <w:jc w:val="both"/>
        <w:rPr>
          <w:rFonts w:ascii="Arial" w:hAnsi="Arial" w:cs="Arial"/>
          <w:b/>
          <w:lang w:val="es-MX"/>
        </w:rPr>
      </w:pPr>
    </w:p>
    <w:p w14:paraId="1E8F2047" w14:textId="2473AAE9" w:rsidR="00BB6845" w:rsidRPr="00C906D0" w:rsidRDefault="00BB6845" w:rsidP="001F7332">
      <w:pPr>
        <w:spacing w:line="276" w:lineRule="auto"/>
        <w:rPr>
          <w:rFonts w:ascii="Arial" w:hAnsi="Arial" w:cs="Arial"/>
          <w:b/>
          <w:lang w:val="es-MX"/>
        </w:rPr>
      </w:pPr>
      <w:r w:rsidRPr="00C906D0">
        <w:rPr>
          <w:rFonts w:ascii="Arial" w:hAnsi="Arial" w:cs="Arial"/>
          <w:b/>
          <w:lang w:val="es-MX"/>
        </w:rPr>
        <w:t>ANTECEDENTES</w:t>
      </w:r>
    </w:p>
    <w:p w14:paraId="2FBF486D" w14:textId="77777777" w:rsidR="00804391" w:rsidRPr="00C906D0" w:rsidRDefault="00804391" w:rsidP="001F7332">
      <w:pPr>
        <w:spacing w:line="276" w:lineRule="auto"/>
        <w:jc w:val="both"/>
        <w:rPr>
          <w:rFonts w:ascii="Arial" w:hAnsi="Arial" w:cs="Arial"/>
          <w:b/>
          <w:lang w:val="es-MX"/>
        </w:rPr>
      </w:pPr>
    </w:p>
    <w:p w14:paraId="41731D43" w14:textId="07CD5B07" w:rsidR="004F640E" w:rsidRPr="00C906D0" w:rsidRDefault="004F640E" w:rsidP="001F7332">
      <w:pPr>
        <w:spacing w:line="276" w:lineRule="auto"/>
        <w:jc w:val="both"/>
        <w:rPr>
          <w:rFonts w:ascii="Arial" w:hAnsi="Arial" w:cs="Arial"/>
          <w:lang w:val="es-MX"/>
        </w:rPr>
      </w:pPr>
      <w:r w:rsidRPr="00C906D0">
        <w:rPr>
          <w:rFonts w:ascii="Arial" w:hAnsi="Arial" w:cs="Arial"/>
          <w:b/>
          <w:lang w:val="es-MX"/>
        </w:rPr>
        <w:t>I</w:t>
      </w:r>
      <w:r w:rsidR="00137B6F" w:rsidRPr="00C906D0">
        <w:rPr>
          <w:rFonts w:ascii="Arial" w:hAnsi="Arial" w:cs="Arial"/>
          <w:lang w:val="es-MX"/>
        </w:rPr>
        <w:t>.</w:t>
      </w:r>
      <w:r w:rsidRPr="00C906D0">
        <w:rPr>
          <w:rFonts w:ascii="Arial" w:hAnsi="Arial" w:cs="Arial"/>
          <w:lang w:val="es-MX"/>
        </w:rPr>
        <w:t xml:space="preserve"> Con fundamento en lo dispue</w:t>
      </w:r>
      <w:r w:rsidR="00D14C84" w:rsidRPr="00C906D0">
        <w:rPr>
          <w:rFonts w:ascii="Arial" w:hAnsi="Arial" w:cs="Arial"/>
          <w:lang w:val="es-MX"/>
        </w:rPr>
        <w:t>sto por el artículo 129, fracció</w:t>
      </w:r>
      <w:r w:rsidRPr="00C906D0">
        <w:rPr>
          <w:rFonts w:ascii="Arial" w:hAnsi="Arial" w:cs="Arial"/>
          <w:lang w:val="es-MX"/>
        </w:rPr>
        <w:t>n</w:t>
      </w:r>
      <w:r w:rsidR="00D14C84" w:rsidRPr="00C906D0">
        <w:rPr>
          <w:rFonts w:ascii="Arial" w:hAnsi="Arial" w:cs="Arial"/>
          <w:lang w:val="es-MX"/>
        </w:rPr>
        <w:t xml:space="preserve"> </w:t>
      </w:r>
      <w:r w:rsidR="007F0778" w:rsidRPr="00C906D0">
        <w:rPr>
          <w:rFonts w:ascii="Arial" w:hAnsi="Arial" w:cs="Arial"/>
          <w:lang w:val="es-MX"/>
        </w:rPr>
        <w:t xml:space="preserve">XII </w:t>
      </w:r>
      <w:r w:rsidRPr="00C906D0">
        <w:rPr>
          <w:rFonts w:ascii="Arial" w:hAnsi="Arial" w:cs="Arial"/>
          <w:lang w:val="es-MX"/>
        </w:rPr>
        <w:t>de</w:t>
      </w:r>
      <w:r w:rsidR="00EE2AB2" w:rsidRPr="00C906D0">
        <w:rPr>
          <w:rFonts w:ascii="Arial" w:hAnsi="Arial" w:cs="Arial"/>
          <w:lang w:val="es-MX"/>
        </w:rPr>
        <w:t xml:space="preserve"> la</w:t>
      </w:r>
      <w:r w:rsidR="00C90D83" w:rsidRPr="00C906D0">
        <w:rPr>
          <w:rFonts w:ascii="Arial" w:hAnsi="Arial" w:cs="Arial"/>
          <w:lang w:val="es-MX"/>
        </w:rPr>
        <w:t xml:space="preserve"> </w:t>
      </w:r>
      <w:r w:rsidR="00262F6F" w:rsidRPr="00C906D0">
        <w:rPr>
          <w:rFonts w:ascii="Arial" w:hAnsi="Arial" w:cs="Arial"/>
          <w:lang w:val="es-MX"/>
        </w:rPr>
        <w:t>-LTAIPSLP-</w:t>
      </w:r>
      <w:r w:rsidR="0006789D" w:rsidRPr="00C906D0">
        <w:rPr>
          <w:rFonts w:ascii="Arial" w:hAnsi="Arial" w:cs="Arial"/>
          <w:lang w:val="es-MX"/>
        </w:rPr>
        <w:t xml:space="preserve">, </w:t>
      </w:r>
      <w:r w:rsidR="00EE2AB2" w:rsidRPr="00C906D0">
        <w:rPr>
          <w:rFonts w:ascii="Arial" w:hAnsi="Arial" w:cs="Arial"/>
          <w:lang w:val="es-MX"/>
        </w:rPr>
        <w:t xml:space="preserve">el </w:t>
      </w:r>
      <w:r w:rsidR="0042221D">
        <w:rPr>
          <w:rFonts w:ascii="Arial" w:hAnsi="Arial" w:cs="Arial"/>
          <w:lang w:val="es-MX"/>
        </w:rPr>
        <w:t xml:space="preserve">Contador </w:t>
      </w:r>
      <w:r w:rsidR="0042221D" w:rsidRPr="0042221D">
        <w:rPr>
          <w:rFonts w:ascii="Arial" w:hAnsi="Arial" w:cs="Arial"/>
          <w:b/>
          <w:lang w:val="es-MX"/>
        </w:rPr>
        <w:t>Público César Isidro Cruz</w:t>
      </w:r>
      <w:r w:rsidR="00053722" w:rsidRPr="00C906D0">
        <w:rPr>
          <w:rFonts w:ascii="Arial" w:hAnsi="Arial" w:cs="Arial"/>
          <w:lang w:val="es-MX"/>
        </w:rPr>
        <w:t xml:space="preserve"> Director </w:t>
      </w:r>
      <w:r w:rsidR="0042221D">
        <w:rPr>
          <w:rFonts w:ascii="Arial" w:hAnsi="Arial" w:cs="Arial"/>
          <w:lang w:val="es-MX"/>
        </w:rPr>
        <w:t>General de Administración</w:t>
      </w:r>
      <w:r w:rsidR="00E8769E" w:rsidRPr="00C906D0">
        <w:rPr>
          <w:rFonts w:ascii="Arial" w:hAnsi="Arial" w:cs="Arial"/>
          <w:lang w:val="es-MX"/>
        </w:rPr>
        <w:t>, turnó</w:t>
      </w:r>
      <w:r w:rsidRPr="00C906D0">
        <w:rPr>
          <w:rFonts w:ascii="Arial" w:hAnsi="Arial" w:cs="Arial"/>
          <w:lang w:val="es-MX"/>
        </w:rPr>
        <w:t xml:space="preserve"> mediante oficio </w:t>
      </w:r>
      <w:r w:rsidR="00C811EB">
        <w:rPr>
          <w:rFonts w:ascii="Arial" w:hAnsi="Arial" w:cs="Arial"/>
          <w:b/>
          <w:lang w:val="es-MX"/>
        </w:rPr>
        <w:t>DGA/DRH/7023/2022</w:t>
      </w:r>
      <w:r w:rsidR="003C17BE" w:rsidRPr="00C906D0">
        <w:rPr>
          <w:rFonts w:ascii="Arial" w:hAnsi="Arial" w:cs="Arial"/>
          <w:lang w:val="es-MX"/>
        </w:rPr>
        <w:t xml:space="preserve"> </w:t>
      </w:r>
      <w:r w:rsidR="001F71C9" w:rsidRPr="00C906D0">
        <w:rPr>
          <w:rFonts w:ascii="Arial" w:hAnsi="Arial" w:cs="Arial"/>
          <w:lang w:val="es-MX"/>
        </w:rPr>
        <w:t>el</w:t>
      </w:r>
      <w:r w:rsidR="009C36F2" w:rsidRPr="00C906D0">
        <w:rPr>
          <w:rFonts w:ascii="Arial" w:hAnsi="Arial" w:cs="Arial"/>
          <w:lang w:val="es-MX"/>
        </w:rPr>
        <w:t xml:space="preserve"> </w:t>
      </w:r>
      <w:r w:rsidR="00E1239C" w:rsidRPr="00C906D0">
        <w:rPr>
          <w:rFonts w:ascii="Arial" w:hAnsi="Arial" w:cs="Arial"/>
          <w:b/>
          <w:lang w:val="es-MX"/>
        </w:rPr>
        <w:t>0</w:t>
      </w:r>
      <w:r w:rsidR="0042221D">
        <w:rPr>
          <w:rFonts w:ascii="Arial" w:hAnsi="Arial" w:cs="Arial"/>
          <w:b/>
          <w:lang w:val="es-MX"/>
        </w:rPr>
        <w:t>6</w:t>
      </w:r>
      <w:r w:rsidR="009F7723" w:rsidRPr="00C906D0">
        <w:rPr>
          <w:rFonts w:ascii="Arial" w:hAnsi="Arial" w:cs="Arial"/>
          <w:b/>
          <w:lang w:val="es-MX"/>
        </w:rPr>
        <w:t xml:space="preserve"> de </w:t>
      </w:r>
      <w:r w:rsidR="0042221D">
        <w:rPr>
          <w:rFonts w:ascii="Arial" w:hAnsi="Arial" w:cs="Arial"/>
          <w:b/>
          <w:lang w:val="es-MX"/>
        </w:rPr>
        <w:t>diciembre</w:t>
      </w:r>
      <w:r w:rsidR="00342CCD" w:rsidRPr="00C906D0">
        <w:rPr>
          <w:rFonts w:ascii="Arial" w:hAnsi="Arial" w:cs="Arial"/>
          <w:b/>
          <w:lang w:val="es-MX"/>
        </w:rPr>
        <w:t xml:space="preserve"> </w:t>
      </w:r>
      <w:r w:rsidR="007F0778" w:rsidRPr="00C906D0">
        <w:rPr>
          <w:rFonts w:ascii="Arial" w:hAnsi="Arial" w:cs="Arial"/>
          <w:b/>
          <w:lang w:val="es-MX"/>
        </w:rPr>
        <w:t>202</w:t>
      </w:r>
      <w:r w:rsidR="00554106" w:rsidRPr="00C906D0">
        <w:rPr>
          <w:rFonts w:ascii="Arial" w:hAnsi="Arial" w:cs="Arial"/>
          <w:b/>
          <w:lang w:val="es-MX"/>
        </w:rPr>
        <w:t>2</w:t>
      </w:r>
      <w:r w:rsidR="00122709" w:rsidRPr="00C906D0">
        <w:rPr>
          <w:rFonts w:ascii="Arial" w:hAnsi="Arial" w:cs="Arial"/>
          <w:lang w:val="es-MX"/>
        </w:rPr>
        <w:t xml:space="preserve"> el acuerdo de reserva </w:t>
      </w:r>
      <w:r w:rsidR="001456F5">
        <w:rPr>
          <w:rFonts w:ascii="Arial" w:hAnsi="Arial" w:cs="Arial"/>
          <w:lang w:val="es-MX"/>
        </w:rPr>
        <w:t xml:space="preserve">total </w:t>
      </w:r>
      <w:r w:rsidR="0042221D">
        <w:rPr>
          <w:rFonts w:ascii="Arial" w:hAnsi="Arial" w:cs="Arial"/>
          <w:b/>
          <w:lang w:val="es-MX"/>
        </w:rPr>
        <w:t>AR/36/2022</w:t>
      </w:r>
      <w:r w:rsidRPr="00C906D0">
        <w:rPr>
          <w:rFonts w:ascii="Arial" w:hAnsi="Arial" w:cs="Arial"/>
          <w:lang w:val="es-MX"/>
        </w:rPr>
        <w:t xml:space="preserve"> emitido </w:t>
      </w:r>
      <w:r w:rsidR="00053722" w:rsidRPr="00C906D0">
        <w:rPr>
          <w:rFonts w:ascii="Arial" w:hAnsi="Arial" w:cs="Arial"/>
          <w:lang w:val="es-MX"/>
        </w:rPr>
        <w:t xml:space="preserve">el </w:t>
      </w:r>
      <w:r w:rsidR="0042221D">
        <w:rPr>
          <w:rFonts w:ascii="Arial" w:hAnsi="Arial" w:cs="Arial"/>
          <w:b/>
          <w:lang w:val="es-MX"/>
        </w:rPr>
        <w:t>06</w:t>
      </w:r>
      <w:r w:rsidR="00053722" w:rsidRPr="00C906D0">
        <w:rPr>
          <w:rFonts w:ascii="Arial" w:hAnsi="Arial" w:cs="Arial"/>
          <w:b/>
          <w:lang w:val="es-MX"/>
        </w:rPr>
        <w:t xml:space="preserve"> de </w:t>
      </w:r>
      <w:r w:rsidR="0042221D">
        <w:rPr>
          <w:rFonts w:ascii="Arial" w:hAnsi="Arial" w:cs="Arial"/>
          <w:b/>
          <w:lang w:val="es-MX"/>
        </w:rPr>
        <w:t>diciembre</w:t>
      </w:r>
      <w:r w:rsidR="00053722" w:rsidRPr="00C906D0">
        <w:rPr>
          <w:rFonts w:ascii="Arial" w:hAnsi="Arial" w:cs="Arial"/>
          <w:b/>
          <w:lang w:val="es-MX"/>
        </w:rPr>
        <w:t xml:space="preserve"> 2022</w:t>
      </w:r>
      <w:r w:rsidR="00053722" w:rsidRPr="00C906D0">
        <w:rPr>
          <w:rFonts w:ascii="Arial" w:hAnsi="Arial" w:cs="Arial"/>
          <w:lang w:val="es-MX"/>
        </w:rPr>
        <w:t xml:space="preserve"> </w:t>
      </w:r>
      <w:r w:rsidRPr="00C906D0">
        <w:rPr>
          <w:rFonts w:ascii="Arial" w:hAnsi="Arial" w:cs="Arial"/>
          <w:lang w:val="es-MX"/>
        </w:rPr>
        <w:t>con motivo de la</w:t>
      </w:r>
      <w:r w:rsidR="007F0778" w:rsidRPr="00C906D0">
        <w:rPr>
          <w:rFonts w:ascii="Arial" w:hAnsi="Arial" w:cs="Arial"/>
          <w:lang w:val="es-MX"/>
        </w:rPr>
        <w:t xml:space="preserve"> </w:t>
      </w:r>
      <w:r w:rsidR="00D14C84" w:rsidRPr="00C906D0">
        <w:rPr>
          <w:rFonts w:ascii="Arial" w:hAnsi="Arial" w:cs="Arial"/>
          <w:lang w:val="es-MX"/>
        </w:rPr>
        <w:t>rec</w:t>
      </w:r>
      <w:r w:rsidR="00095DC5" w:rsidRPr="00C906D0">
        <w:rPr>
          <w:rFonts w:ascii="Arial" w:hAnsi="Arial" w:cs="Arial"/>
          <w:lang w:val="es-MX"/>
        </w:rPr>
        <w:t>epción de la solicitud UT-SI-</w:t>
      </w:r>
      <w:r w:rsidR="00C811EB">
        <w:rPr>
          <w:rFonts w:ascii="Arial" w:hAnsi="Arial" w:cs="Arial"/>
          <w:lang w:val="es-MX"/>
        </w:rPr>
        <w:t>278</w:t>
      </w:r>
      <w:r w:rsidR="00D14C84" w:rsidRPr="00C906D0">
        <w:rPr>
          <w:rFonts w:ascii="Arial" w:hAnsi="Arial" w:cs="Arial"/>
          <w:lang w:val="es-MX"/>
        </w:rPr>
        <w:t>-</w:t>
      </w:r>
      <w:r w:rsidR="00057070">
        <w:rPr>
          <w:rFonts w:ascii="Arial" w:hAnsi="Arial" w:cs="Arial"/>
          <w:lang w:val="es-MX"/>
        </w:rPr>
        <w:t>00416221</w:t>
      </w:r>
      <w:r w:rsidR="00D14C84" w:rsidRPr="00C906D0">
        <w:rPr>
          <w:rFonts w:ascii="Arial" w:hAnsi="Arial" w:cs="Arial"/>
          <w:lang w:val="es-MX"/>
        </w:rPr>
        <w:t>-202</w:t>
      </w:r>
      <w:r w:rsidR="00057070">
        <w:rPr>
          <w:rFonts w:ascii="Arial" w:hAnsi="Arial" w:cs="Arial"/>
          <w:lang w:val="es-MX"/>
        </w:rPr>
        <w:t>1 resultando ser el antecedente del Recurso de Revisión RR-664/2021-3</w:t>
      </w:r>
      <w:r w:rsidR="00D14C84" w:rsidRPr="00C906D0">
        <w:rPr>
          <w:rFonts w:ascii="Arial" w:hAnsi="Arial" w:cs="Arial"/>
          <w:lang w:val="es-MX"/>
        </w:rPr>
        <w:t xml:space="preserve">. </w:t>
      </w:r>
    </w:p>
    <w:p w14:paraId="48B1293A" w14:textId="77777777" w:rsidR="00DB2030" w:rsidRPr="00C906D0" w:rsidRDefault="00DB2030" w:rsidP="001F7332">
      <w:pPr>
        <w:spacing w:line="276" w:lineRule="auto"/>
        <w:jc w:val="both"/>
        <w:rPr>
          <w:rFonts w:ascii="Arial" w:hAnsi="Arial" w:cs="Arial"/>
          <w:lang w:val="es-MX"/>
        </w:rPr>
      </w:pPr>
    </w:p>
    <w:p w14:paraId="63B9DB00" w14:textId="2FC10B0D" w:rsidR="00E974C6" w:rsidRPr="00C906D0" w:rsidRDefault="00E974C6" w:rsidP="001F7332">
      <w:pPr>
        <w:spacing w:line="276" w:lineRule="auto"/>
        <w:jc w:val="both"/>
        <w:rPr>
          <w:rFonts w:ascii="Arial" w:hAnsi="Arial" w:cs="Arial"/>
          <w:lang w:val="es-MX"/>
        </w:rPr>
      </w:pPr>
      <w:r w:rsidRPr="00C906D0">
        <w:rPr>
          <w:rFonts w:ascii="Arial" w:hAnsi="Arial" w:cs="Arial"/>
          <w:b/>
          <w:lang w:val="es-MX"/>
        </w:rPr>
        <w:t>II.</w:t>
      </w:r>
      <w:r w:rsidRPr="00C906D0">
        <w:rPr>
          <w:rFonts w:ascii="Arial" w:hAnsi="Arial" w:cs="Arial"/>
          <w:lang w:val="es-MX"/>
        </w:rPr>
        <w:t xml:space="preserve"> Se procedió a su desahogo en la </w:t>
      </w:r>
      <w:r w:rsidR="00C90D83" w:rsidRPr="00C906D0">
        <w:rPr>
          <w:rFonts w:ascii="Arial" w:hAnsi="Arial" w:cs="Arial"/>
          <w:b/>
          <w:lang w:val="es-MX"/>
        </w:rPr>
        <w:t>décima</w:t>
      </w:r>
      <w:r w:rsidR="00095DC5" w:rsidRPr="00C906D0">
        <w:rPr>
          <w:rFonts w:ascii="Arial" w:hAnsi="Arial" w:cs="Arial"/>
          <w:b/>
          <w:lang w:val="es-MX"/>
        </w:rPr>
        <w:t xml:space="preserve"> </w:t>
      </w:r>
      <w:r w:rsidR="00057070">
        <w:rPr>
          <w:rFonts w:ascii="Arial" w:hAnsi="Arial" w:cs="Arial"/>
          <w:b/>
          <w:lang w:val="es-MX"/>
        </w:rPr>
        <w:t>segunda</w:t>
      </w:r>
      <w:r w:rsidRPr="00C906D0">
        <w:rPr>
          <w:rFonts w:ascii="Arial" w:hAnsi="Arial" w:cs="Arial"/>
          <w:b/>
          <w:lang w:val="es-MX"/>
        </w:rPr>
        <w:t xml:space="preserve"> </w:t>
      </w:r>
      <w:r w:rsidRPr="00C906D0">
        <w:rPr>
          <w:rFonts w:ascii="Arial" w:hAnsi="Arial" w:cs="Arial"/>
          <w:lang w:val="es-MX"/>
        </w:rPr>
        <w:t xml:space="preserve">sesión ordinaria </w:t>
      </w:r>
      <w:r w:rsidRPr="00C906D0">
        <w:rPr>
          <w:rFonts w:ascii="Arial" w:hAnsi="Arial" w:cs="Arial"/>
          <w:b/>
          <w:lang w:val="es-MX"/>
        </w:rPr>
        <w:t>2022</w:t>
      </w:r>
      <w:r w:rsidRPr="00C906D0">
        <w:rPr>
          <w:rFonts w:ascii="Arial" w:hAnsi="Arial" w:cs="Arial"/>
          <w:lang w:val="es-MX"/>
        </w:rPr>
        <w:t xml:space="preserve"> programada por el Comité de Transparencia a efecto de proceder a emitir su determinación sobre la confirmación,</w:t>
      </w:r>
      <w:r w:rsidR="00122709" w:rsidRPr="00C906D0">
        <w:rPr>
          <w:rFonts w:ascii="Arial" w:hAnsi="Arial" w:cs="Arial"/>
          <w:lang w:val="es-MX"/>
        </w:rPr>
        <w:t xml:space="preserve"> modificación o revocación del acuerdo de reserva </w:t>
      </w:r>
      <w:r w:rsidR="00CC6EF2">
        <w:rPr>
          <w:rFonts w:ascii="Arial" w:hAnsi="Arial" w:cs="Arial"/>
          <w:lang w:val="es-MX"/>
        </w:rPr>
        <w:t>total</w:t>
      </w:r>
      <w:r w:rsidRPr="00C906D0">
        <w:rPr>
          <w:rFonts w:ascii="Arial" w:hAnsi="Arial" w:cs="Arial"/>
          <w:lang w:val="es-MX"/>
        </w:rPr>
        <w:t xml:space="preserve"> </w:t>
      </w:r>
      <w:r w:rsidR="00057070">
        <w:rPr>
          <w:rFonts w:ascii="Arial" w:hAnsi="Arial" w:cs="Arial"/>
          <w:b/>
          <w:lang w:val="es-MX"/>
        </w:rPr>
        <w:t>AR/36/2022</w:t>
      </w:r>
      <w:r w:rsidRPr="00C906D0">
        <w:rPr>
          <w:rFonts w:ascii="Arial" w:hAnsi="Arial" w:cs="Arial"/>
          <w:lang w:val="es-MX"/>
        </w:rPr>
        <w:t>.</w:t>
      </w:r>
    </w:p>
    <w:p w14:paraId="535D94BC" w14:textId="27901BFA" w:rsidR="00A21527" w:rsidRPr="00C906D0" w:rsidRDefault="00A21527" w:rsidP="001F7332">
      <w:pPr>
        <w:spacing w:line="276" w:lineRule="auto"/>
        <w:jc w:val="both"/>
        <w:rPr>
          <w:rFonts w:ascii="Arial" w:hAnsi="Arial" w:cs="Arial"/>
          <w:lang w:val="es-MX"/>
        </w:rPr>
      </w:pPr>
    </w:p>
    <w:p w14:paraId="5E8DFE77" w14:textId="77777777" w:rsidR="003D6E37" w:rsidRPr="00C906D0" w:rsidRDefault="003D6E37" w:rsidP="001F7332">
      <w:pPr>
        <w:spacing w:line="276" w:lineRule="auto"/>
        <w:jc w:val="both"/>
        <w:rPr>
          <w:rFonts w:ascii="Arial" w:hAnsi="Arial" w:cs="Arial"/>
          <w:lang w:val="es-MX"/>
        </w:rPr>
      </w:pPr>
    </w:p>
    <w:p w14:paraId="14086073" w14:textId="0C6B4ED4" w:rsidR="004F640E" w:rsidRPr="00C906D0" w:rsidRDefault="00885156" w:rsidP="001F7332">
      <w:pPr>
        <w:spacing w:line="276" w:lineRule="auto"/>
        <w:rPr>
          <w:rFonts w:ascii="Arial" w:hAnsi="Arial" w:cs="Arial"/>
          <w:b/>
          <w:lang w:val="es-MX"/>
        </w:rPr>
      </w:pPr>
      <w:r w:rsidRPr="00C906D0">
        <w:rPr>
          <w:rFonts w:ascii="Arial" w:hAnsi="Arial" w:cs="Arial"/>
          <w:b/>
          <w:lang w:val="es-MX"/>
        </w:rPr>
        <w:t>CONSIDERANDO</w:t>
      </w:r>
    </w:p>
    <w:p w14:paraId="3619B2EF" w14:textId="77777777" w:rsidR="00342CCD" w:rsidRPr="00C906D0" w:rsidRDefault="00342CCD" w:rsidP="001F7332">
      <w:pPr>
        <w:spacing w:line="276" w:lineRule="auto"/>
        <w:jc w:val="both"/>
        <w:rPr>
          <w:rFonts w:ascii="Arial" w:hAnsi="Arial" w:cs="Arial"/>
          <w:lang w:val="es-MX"/>
        </w:rPr>
      </w:pPr>
    </w:p>
    <w:p w14:paraId="355A15D9" w14:textId="77777777" w:rsidR="006C0831" w:rsidRPr="00C906D0" w:rsidRDefault="00885156" w:rsidP="001F7332">
      <w:pPr>
        <w:spacing w:line="276" w:lineRule="auto"/>
        <w:jc w:val="both"/>
        <w:rPr>
          <w:rFonts w:ascii="Arial" w:hAnsi="Arial" w:cs="Arial"/>
          <w:lang w:val="es-MX"/>
        </w:rPr>
      </w:pPr>
      <w:r w:rsidRPr="00C906D0">
        <w:rPr>
          <w:rFonts w:ascii="Arial" w:hAnsi="Arial" w:cs="Arial"/>
          <w:b/>
          <w:lang w:val="es-MX"/>
        </w:rPr>
        <w:t>PRIMERO.</w:t>
      </w:r>
      <w:r w:rsidR="00BB6845" w:rsidRPr="00C906D0">
        <w:rPr>
          <w:rFonts w:ascii="Arial" w:hAnsi="Arial" w:cs="Arial"/>
          <w:lang w:val="es-MX"/>
        </w:rPr>
        <w:t xml:space="preserve"> </w:t>
      </w:r>
      <w:r w:rsidR="00BB6845" w:rsidRPr="00C906D0">
        <w:rPr>
          <w:rFonts w:ascii="Arial" w:hAnsi="Arial" w:cs="Arial"/>
          <w:b/>
          <w:lang w:val="es-MX"/>
        </w:rPr>
        <w:t>Competencia.</w:t>
      </w:r>
      <w:r w:rsidR="004F640E" w:rsidRPr="00C906D0">
        <w:rPr>
          <w:rFonts w:ascii="Arial" w:hAnsi="Arial" w:cs="Arial"/>
          <w:lang w:val="es-MX"/>
        </w:rPr>
        <w:t xml:space="preserve"> </w:t>
      </w:r>
    </w:p>
    <w:p w14:paraId="311ECE90" w14:textId="3692DD07" w:rsidR="006C25A9" w:rsidRPr="00C906D0" w:rsidRDefault="00BB6845" w:rsidP="001F7332">
      <w:pPr>
        <w:spacing w:line="276" w:lineRule="auto"/>
        <w:jc w:val="both"/>
        <w:rPr>
          <w:rFonts w:ascii="Arial" w:hAnsi="Arial" w:cs="Arial"/>
          <w:lang w:val="es-MX"/>
        </w:rPr>
      </w:pPr>
      <w:r w:rsidRPr="00C906D0">
        <w:rPr>
          <w:rFonts w:ascii="Arial" w:hAnsi="Arial" w:cs="Arial"/>
          <w:lang w:val="es-MX"/>
        </w:rPr>
        <w:lastRenderedPageBreak/>
        <w:t>E</w:t>
      </w:r>
      <w:r w:rsidR="004F640E" w:rsidRPr="00C906D0">
        <w:rPr>
          <w:rFonts w:ascii="Arial" w:hAnsi="Arial" w:cs="Arial"/>
          <w:lang w:val="es-MX"/>
        </w:rPr>
        <w:t xml:space="preserve">ste Comité de Transparencia de la </w:t>
      </w:r>
      <w:r w:rsidR="00FF0343" w:rsidRPr="00C906D0">
        <w:rPr>
          <w:rFonts w:ascii="Arial" w:hAnsi="Arial" w:cs="Arial"/>
          <w:lang w:val="es-MX"/>
        </w:rPr>
        <w:t xml:space="preserve">Fiscalía General del Estado </w:t>
      </w:r>
      <w:r w:rsidR="004F640E" w:rsidRPr="00C906D0">
        <w:rPr>
          <w:rFonts w:ascii="Arial" w:hAnsi="Arial" w:cs="Arial"/>
          <w:lang w:val="es-MX"/>
        </w:rPr>
        <w:t xml:space="preserve">de San Luis Potosí; es competente para determinar sobre la confirmación, modificación o </w:t>
      </w:r>
      <w:r w:rsidR="009F7723" w:rsidRPr="00C906D0">
        <w:rPr>
          <w:rFonts w:ascii="Arial" w:hAnsi="Arial" w:cs="Arial"/>
          <w:lang w:val="es-MX"/>
        </w:rPr>
        <w:t>revocación</w:t>
      </w:r>
      <w:r w:rsidR="00122709" w:rsidRPr="00C906D0">
        <w:rPr>
          <w:rFonts w:ascii="Arial" w:hAnsi="Arial" w:cs="Arial"/>
          <w:lang w:val="es-MX"/>
        </w:rPr>
        <w:t xml:space="preserve"> del acuerdo de reserva </w:t>
      </w:r>
      <w:r w:rsidR="00CC6EF2">
        <w:rPr>
          <w:rFonts w:ascii="Arial" w:hAnsi="Arial" w:cs="Arial"/>
          <w:lang w:val="es-MX"/>
        </w:rPr>
        <w:t>total</w:t>
      </w:r>
      <w:r w:rsidR="004F640E" w:rsidRPr="00C906D0">
        <w:rPr>
          <w:rFonts w:ascii="Arial" w:hAnsi="Arial" w:cs="Arial"/>
          <w:lang w:val="es-MX"/>
        </w:rPr>
        <w:t xml:space="preserve"> </w:t>
      </w:r>
      <w:r w:rsidR="00CC6EF2">
        <w:rPr>
          <w:rFonts w:ascii="Arial" w:hAnsi="Arial" w:cs="Arial"/>
          <w:b/>
          <w:lang w:val="es-MX"/>
        </w:rPr>
        <w:t>AR/36/2022</w:t>
      </w:r>
      <w:r w:rsidR="004F640E" w:rsidRPr="00C906D0">
        <w:rPr>
          <w:rFonts w:ascii="Arial" w:hAnsi="Arial" w:cs="Arial"/>
          <w:lang w:val="es-MX"/>
        </w:rPr>
        <w:t xml:space="preserve">, que se somete a consideración en términos de lo dispuesto por los artículos 51, 52, fracción II de la </w:t>
      </w:r>
      <w:r w:rsidRPr="00C906D0">
        <w:rPr>
          <w:rFonts w:ascii="Arial" w:hAnsi="Arial" w:cs="Arial"/>
          <w:lang w:val="es-MX"/>
        </w:rPr>
        <w:t xml:space="preserve">-LTAIPSLP-, </w:t>
      </w:r>
      <w:r w:rsidR="004F640E" w:rsidRPr="00C906D0">
        <w:rPr>
          <w:rFonts w:ascii="Arial" w:hAnsi="Arial" w:cs="Arial"/>
          <w:lang w:val="es-MX"/>
        </w:rPr>
        <w:t xml:space="preserve">y el artículo </w:t>
      </w:r>
      <w:r w:rsidR="00440E63" w:rsidRPr="00C906D0">
        <w:rPr>
          <w:rFonts w:ascii="Arial" w:hAnsi="Arial" w:cs="Arial"/>
          <w:lang w:val="es-MX"/>
        </w:rPr>
        <w:t xml:space="preserve">Tercero del </w:t>
      </w:r>
      <w:r w:rsidR="00440E63" w:rsidRPr="00C906D0">
        <w:rPr>
          <w:rFonts w:ascii="Arial" w:hAnsi="Arial" w:cs="Arial"/>
          <w:b/>
        </w:rPr>
        <w:t>“</w:t>
      </w:r>
      <w:r w:rsidR="00440E63" w:rsidRPr="00C906D0">
        <w:rPr>
          <w:rFonts w:ascii="Arial" w:hAnsi="Arial" w:cs="Arial"/>
        </w:rPr>
        <w:t>Acuerdo General número AG/011/2020 del Fiscal General del Estado de San Luis Potosí</w:t>
      </w:r>
      <w:r w:rsidR="003003C1" w:rsidRPr="00C906D0">
        <w:rPr>
          <w:rFonts w:ascii="Arial" w:hAnsi="Arial" w:cs="Arial"/>
        </w:rPr>
        <w:t>”</w:t>
      </w:r>
      <w:r w:rsidR="00440E63" w:rsidRPr="00C906D0">
        <w:rPr>
          <w:rFonts w:ascii="Arial" w:hAnsi="Arial" w:cs="Arial"/>
        </w:rPr>
        <w:t xml:space="preserve">, </w:t>
      </w:r>
      <w:r w:rsidR="003003C1" w:rsidRPr="00C906D0">
        <w:rPr>
          <w:rFonts w:ascii="Arial" w:hAnsi="Arial" w:cs="Arial"/>
        </w:rPr>
        <w:t>por el que se crea el Comité de Transparencia de la Fiscalía General del Estado de San Luis Potosí, así como los lineamientos para su funcionamiento.</w:t>
      </w:r>
    </w:p>
    <w:p w14:paraId="012DCBBB" w14:textId="77777777" w:rsidR="00DB2030" w:rsidRDefault="00DB2030" w:rsidP="001F7332">
      <w:pPr>
        <w:spacing w:line="276" w:lineRule="auto"/>
        <w:jc w:val="both"/>
        <w:rPr>
          <w:rFonts w:ascii="Arial" w:hAnsi="Arial" w:cs="Arial"/>
          <w:b/>
          <w:lang w:val="es-MX"/>
        </w:rPr>
      </w:pPr>
    </w:p>
    <w:p w14:paraId="56D2CB3D" w14:textId="77777777" w:rsidR="00757C0B" w:rsidRPr="00C906D0" w:rsidRDefault="00757C0B" w:rsidP="001F7332">
      <w:pPr>
        <w:spacing w:line="276" w:lineRule="auto"/>
        <w:jc w:val="both"/>
        <w:rPr>
          <w:rFonts w:ascii="Arial" w:hAnsi="Arial" w:cs="Arial"/>
          <w:b/>
          <w:lang w:val="es-MX"/>
        </w:rPr>
      </w:pPr>
    </w:p>
    <w:p w14:paraId="03E745D3" w14:textId="59406D25" w:rsidR="00134A88" w:rsidRPr="00C906D0" w:rsidRDefault="00885156" w:rsidP="001F7332">
      <w:pPr>
        <w:spacing w:line="276" w:lineRule="auto"/>
        <w:jc w:val="both"/>
        <w:rPr>
          <w:rFonts w:ascii="Arial" w:hAnsi="Arial" w:cs="Arial"/>
          <w:lang w:val="es-MX"/>
        </w:rPr>
      </w:pPr>
      <w:r w:rsidRPr="00C906D0">
        <w:rPr>
          <w:rFonts w:ascii="Arial" w:hAnsi="Arial" w:cs="Arial"/>
          <w:b/>
          <w:lang w:val="es-MX"/>
        </w:rPr>
        <w:t>SEGUNDO.</w:t>
      </w:r>
      <w:r w:rsidR="00BB6845" w:rsidRPr="00C906D0">
        <w:rPr>
          <w:rFonts w:ascii="Arial" w:hAnsi="Arial" w:cs="Arial"/>
          <w:b/>
          <w:lang w:val="es-MX"/>
        </w:rPr>
        <w:t xml:space="preserve"> Análisis de fondo. </w:t>
      </w:r>
    </w:p>
    <w:p w14:paraId="29C9F291" w14:textId="1C73336B" w:rsidR="00814012" w:rsidRPr="00C906D0" w:rsidRDefault="00A80CA3" w:rsidP="001F7332">
      <w:pPr>
        <w:spacing w:line="276" w:lineRule="auto"/>
        <w:jc w:val="both"/>
        <w:rPr>
          <w:rFonts w:ascii="Arial" w:hAnsi="Arial" w:cs="Arial"/>
          <w:lang w:val="es-MX"/>
        </w:rPr>
      </w:pPr>
      <w:r w:rsidRPr="00C906D0">
        <w:rPr>
          <w:rFonts w:ascii="Arial" w:hAnsi="Arial" w:cs="Arial"/>
          <w:lang w:val="es-MX"/>
        </w:rPr>
        <w:t xml:space="preserve">Del </w:t>
      </w:r>
      <w:r w:rsidR="004B475C" w:rsidRPr="00C906D0">
        <w:rPr>
          <w:rFonts w:ascii="Arial" w:hAnsi="Arial" w:cs="Arial"/>
          <w:lang w:val="es-MX"/>
        </w:rPr>
        <w:t xml:space="preserve">acuerdo de reserva </w:t>
      </w:r>
      <w:r w:rsidR="001456F5">
        <w:rPr>
          <w:rFonts w:ascii="Arial" w:hAnsi="Arial" w:cs="Arial"/>
          <w:lang w:val="es-MX"/>
        </w:rPr>
        <w:t>total</w:t>
      </w:r>
      <w:r w:rsidR="004F640E" w:rsidRPr="00C906D0">
        <w:rPr>
          <w:rFonts w:ascii="Arial" w:hAnsi="Arial" w:cs="Arial"/>
          <w:lang w:val="es-MX"/>
        </w:rPr>
        <w:t xml:space="preserve"> </w:t>
      </w:r>
      <w:r w:rsidR="00CC6EF2">
        <w:rPr>
          <w:rFonts w:ascii="Arial" w:hAnsi="Arial" w:cs="Arial"/>
          <w:b/>
          <w:lang w:val="es-MX"/>
        </w:rPr>
        <w:t>AR/36/2022</w:t>
      </w:r>
      <w:r w:rsidR="004F640E" w:rsidRPr="00C906D0">
        <w:rPr>
          <w:rFonts w:ascii="Arial" w:hAnsi="Arial" w:cs="Arial"/>
          <w:lang w:val="es-MX"/>
        </w:rPr>
        <w:t xml:space="preserve">, se advierte que el mismo contiene los requisitos mínimos establecidos por el artículo 128 de </w:t>
      </w:r>
      <w:r w:rsidR="00EE2AB2" w:rsidRPr="00C906D0">
        <w:rPr>
          <w:rFonts w:ascii="Arial" w:hAnsi="Arial" w:cs="Arial"/>
          <w:lang w:val="es-MX"/>
        </w:rPr>
        <w:t>–LTAIPSLP-,</w:t>
      </w:r>
      <w:r w:rsidR="004F640E" w:rsidRPr="00C906D0">
        <w:rPr>
          <w:rFonts w:ascii="Arial" w:hAnsi="Arial" w:cs="Arial"/>
          <w:lang w:val="es-MX"/>
        </w:rPr>
        <w:t xml:space="preserve"> y que a sabed son: </w:t>
      </w:r>
    </w:p>
    <w:p w14:paraId="68BF92D9" w14:textId="77777777" w:rsidR="00814012" w:rsidRPr="00C906D0" w:rsidRDefault="00814012" w:rsidP="001F7332">
      <w:pPr>
        <w:spacing w:line="276" w:lineRule="auto"/>
        <w:jc w:val="both"/>
        <w:rPr>
          <w:rFonts w:ascii="Arial" w:hAnsi="Arial" w:cs="Arial"/>
          <w:lang w:val="es-MX"/>
        </w:rPr>
      </w:pPr>
    </w:p>
    <w:p w14:paraId="4095B24F" w14:textId="26349AE2"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La fuente y el archivo donde se encuentra la información;</w:t>
      </w:r>
    </w:p>
    <w:p w14:paraId="6E50761A" w14:textId="00F2F318"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La fundamentación y motivación del acuerdo;</w:t>
      </w:r>
    </w:p>
    <w:p w14:paraId="49AFF3BA" w14:textId="535A59F2"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 xml:space="preserve">El documento, la parte o las partes de los mismos, que se reservan; </w:t>
      </w:r>
    </w:p>
    <w:p w14:paraId="1D8DA5AE" w14:textId="602902EE"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 xml:space="preserve">El plazo por el que se reserva la información; </w:t>
      </w:r>
    </w:p>
    <w:p w14:paraId="16BD088E" w14:textId="24119C76"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La designación de la autoridad responsable de su protección;</w:t>
      </w:r>
    </w:p>
    <w:p w14:paraId="26947860" w14:textId="278CAF6D"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 xml:space="preserve">Número de identificación del acuerdo de reserva; </w:t>
      </w:r>
    </w:p>
    <w:p w14:paraId="5C5877EA" w14:textId="1D930E28" w:rsidR="00814012"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 xml:space="preserve">La aplicación de la prueba del daño; </w:t>
      </w:r>
    </w:p>
    <w:p w14:paraId="6BEB46DC" w14:textId="04E5F236" w:rsidR="004F640E" w:rsidRPr="00C906D0" w:rsidRDefault="004F640E" w:rsidP="001F7332">
      <w:pPr>
        <w:pStyle w:val="Prrafodelista"/>
        <w:numPr>
          <w:ilvl w:val="0"/>
          <w:numId w:val="5"/>
        </w:numPr>
        <w:spacing w:line="276" w:lineRule="auto"/>
        <w:jc w:val="both"/>
        <w:rPr>
          <w:rFonts w:ascii="Arial" w:hAnsi="Arial" w:cs="Arial"/>
          <w:lang w:val="es-MX"/>
        </w:rPr>
      </w:pPr>
      <w:r w:rsidRPr="00C906D0">
        <w:rPr>
          <w:rFonts w:ascii="Arial" w:hAnsi="Arial" w:cs="Arial"/>
          <w:lang w:val="es-MX"/>
        </w:rPr>
        <w:t>Fecha del acuerdo de clasificación.</w:t>
      </w:r>
    </w:p>
    <w:p w14:paraId="526E007F" w14:textId="1DFAAB79" w:rsidR="00DB2030" w:rsidRPr="00C906D0" w:rsidRDefault="00DB2030" w:rsidP="001F7332">
      <w:pPr>
        <w:spacing w:line="276" w:lineRule="auto"/>
        <w:jc w:val="both"/>
        <w:rPr>
          <w:rFonts w:ascii="Arial" w:hAnsi="Arial" w:cs="Arial"/>
          <w:lang w:val="es-MX"/>
        </w:rPr>
      </w:pPr>
    </w:p>
    <w:p w14:paraId="3490FA34" w14:textId="34074DAC" w:rsidR="00B5198B" w:rsidRPr="00C906D0" w:rsidRDefault="00B5198B" w:rsidP="001F7332">
      <w:pPr>
        <w:spacing w:line="276" w:lineRule="auto"/>
        <w:jc w:val="both"/>
        <w:rPr>
          <w:rFonts w:ascii="Arial" w:hAnsi="Arial" w:cs="Arial"/>
          <w:lang w:val="es-MX"/>
        </w:rPr>
      </w:pPr>
      <w:r w:rsidRPr="00C906D0">
        <w:rPr>
          <w:rFonts w:ascii="Arial" w:hAnsi="Arial" w:cs="Arial"/>
          <w:lang w:val="es-MX"/>
        </w:rPr>
        <w:t xml:space="preserve">Por lo que se entra al estudio de los requisitos señalados con antelación en los siguientes términos: </w:t>
      </w:r>
    </w:p>
    <w:p w14:paraId="03E80E0A" w14:textId="77777777" w:rsidR="003A0D63" w:rsidRDefault="003A0D63" w:rsidP="001F7332">
      <w:pPr>
        <w:spacing w:line="276" w:lineRule="auto"/>
        <w:jc w:val="both"/>
        <w:rPr>
          <w:rFonts w:ascii="Arial" w:hAnsi="Arial" w:cs="Arial"/>
          <w:lang w:val="es-MX"/>
        </w:rPr>
      </w:pPr>
    </w:p>
    <w:p w14:paraId="56F004B4" w14:textId="77777777" w:rsidR="00757C0B" w:rsidRPr="00C906D0" w:rsidRDefault="00757C0B" w:rsidP="001F7332">
      <w:pPr>
        <w:spacing w:line="276" w:lineRule="auto"/>
        <w:jc w:val="both"/>
        <w:rPr>
          <w:rFonts w:ascii="Arial" w:hAnsi="Arial" w:cs="Arial"/>
          <w:lang w:val="es-MX"/>
        </w:rPr>
      </w:pPr>
    </w:p>
    <w:p w14:paraId="2E4679D2" w14:textId="070E5338"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I.</w:t>
      </w:r>
      <w:r w:rsidRPr="00C906D0">
        <w:rPr>
          <w:rFonts w:ascii="Arial" w:hAnsi="Arial" w:cs="Arial"/>
          <w:b/>
          <w:lang w:val="es-MX"/>
        </w:rPr>
        <w:tab/>
        <w:t>La fuente y el archivo donde se encuentra la información:</w:t>
      </w:r>
    </w:p>
    <w:p w14:paraId="34CA70FD" w14:textId="77777777" w:rsidR="00C1092F" w:rsidRPr="00C906D0" w:rsidRDefault="00C1092F" w:rsidP="00C1092F">
      <w:pPr>
        <w:jc w:val="both"/>
        <w:rPr>
          <w:rFonts w:ascii="Arial" w:hAnsi="Arial" w:cs="Arial"/>
        </w:rPr>
      </w:pPr>
    </w:p>
    <w:p w14:paraId="4D58CFE4" w14:textId="4B05CE55" w:rsidR="00C1092F" w:rsidRPr="00C906D0" w:rsidRDefault="00F90293" w:rsidP="00C1092F">
      <w:pPr>
        <w:jc w:val="both"/>
        <w:rPr>
          <w:rFonts w:ascii="Arial" w:hAnsi="Arial" w:cs="Arial"/>
        </w:rPr>
      </w:pPr>
      <w:r>
        <w:rPr>
          <w:rFonts w:ascii="Arial" w:hAnsi="Arial" w:cs="Arial"/>
          <w:b/>
        </w:rPr>
        <w:t>La f</w:t>
      </w:r>
      <w:r w:rsidR="00C1092F" w:rsidRPr="00C906D0">
        <w:rPr>
          <w:rFonts w:ascii="Arial" w:hAnsi="Arial" w:cs="Arial"/>
          <w:b/>
        </w:rPr>
        <w:t>uente</w:t>
      </w:r>
      <w:r w:rsidR="00C1092F" w:rsidRPr="00C906D0">
        <w:rPr>
          <w:rFonts w:ascii="Arial" w:hAnsi="Arial" w:cs="Arial"/>
        </w:rPr>
        <w:t xml:space="preserve">. </w:t>
      </w:r>
      <w:r>
        <w:rPr>
          <w:rFonts w:ascii="Arial" w:hAnsi="Arial" w:cs="Arial"/>
        </w:rPr>
        <w:t>Se encuentra en la</w:t>
      </w:r>
      <w:r w:rsidR="00C1092F" w:rsidRPr="00C906D0">
        <w:rPr>
          <w:rFonts w:ascii="Arial" w:hAnsi="Arial" w:cs="Arial"/>
        </w:rPr>
        <w:t xml:space="preserve"> información </w:t>
      </w:r>
      <w:r w:rsidR="00CC6EF2">
        <w:rPr>
          <w:rFonts w:ascii="Arial" w:hAnsi="Arial" w:cs="Arial"/>
        </w:rPr>
        <w:t>que resguarda el Director General de Administración</w:t>
      </w:r>
      <w:r w:rsidR="00C1092F" w:rsidRPr="00C906D0">
        <w:rPr>
          <w:rFonts w:ascii="Arial" w:hAnsi="Arial" w:cs="Arial"/>
        </w:rPr>
        <w:t xml:space="preserve">. </w:t>
      </w:r>
    </w:p>
    <w:p w14:paraId="0E677AE0" w14:textId="77777777" w:rsidR="00CC6EF2" w:rsidRDefault="00CC6EF2" w:rsidP="00C1092F">
      <w:pPr>
        <w:jc w:val="both"/>
        <w:rPr>
          <w:rFonts w:ascii="Arial" w:hAnsi="Arial" w:cs="Arial"/>
          <w:b/>
        </w:rPr>
      </w:pPr>
    </w:p>
    <w:p w14:paraId="632C47C6" w14:textId="38C96587" w:rsidR="00C1092F" w:rsidRPr="00C906D0" w:rsidRDefault="00C1092F" w:rsidP="00C1092F">
      <w:pPr>
        <w:jc w:val="both"/>
        <w:rPr>
          <w:rFonts w:ascii="Arial" w:hAnsi="Arial" w:cs="Arial"/>
        </w:rPr>
      </w:pPr>
      <w:r w:rsidRPr="00C906D0">
        <w:rPr>
          <w:rFonts w:ascii="Arial" w:hAnsi="Arial" w:cs="Arial"/>
          <w:b/>
        </w:rPr>
        <w:t>El archivo</w:t>
      </w:r>
      <w:r w:rsidRPr="00C906D0">
        <w:rPr>
          <w:rFonts w:ascii="Arial" w:hAnsi="Arial" w:cs="Arial"/>
        </w:rPr>
        <w:t xml:space="preserve">. </w:t>
      </w:r>
      <w:r w:rsidR="00F90293">
        <w:rPr>
          <w:rFonts w:ascii="Arial" w:hAnsi="Arial" w:cs="Arial"/>
        </w:rPr>
        <w:t>E</w:t>
      </w:r>
      <w:r w:rsidR="00F90293" w:rsidRPr="00F90293">
        <w:rPr>
          <w:rFonts w:ascii="Arial" w:hAnsi="Arial" w:cs="Arial"/>
        </w:rPr>
        <w:t>l número total del estado de fuerza del personal con nombramiento de policía y la cantidad numérica de policías de investigación que contiene la Fiscalía Especializada en Derechos Humanos con estudios en esa materia de esta Fiscalía General del Estado.</w:t>
      </w:r>
    </w:p>
    <w:p w14:paraId="2B1A879C" w14:textId="77777777" w:rsidR="00095DC5" w:rsidRDefault="00095DC5" w:rsidP="00C1092F">
      <w:pPr>
        <w:jc w:val="both"/>
        <w:rPr>
          <w:rFonts w:ascii="Arial" w:hAnsi="Arial" w:cs="Arial"/>
        </w:rPr>
      </w:pPr>
    </w:p>
    <w:p w14:paraId="50F15EE8" w14:textId="77777777" w:rsidR="00757C0B" w:rsidRPr="00C906D0" w:rsidRDefault="00757C0B" w:rsidP="00C1092F">
      <w:pPr>
        <w:jc w:val="both"/>
        <w:rPr>
          <w:rFonts w:ascii="Arial" w:hAnsi="Arial" w:cs="Arial"/>
        </w:rPr>
      </w:pPr>
    </w:p>
    <w:p w14:paraId="0BBBE341" w14:textId="2102C4FE"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II.</w:t>
      </w:r>
      <w:r w:rsidRPr="00C906D0">
        <w:rPr>
          <w:rFonts w:ascii="Arial" w:hAnsi="Arial" w:cs="Arial"/>
          <w:b/>
          <w:lang w:val="es-MX"/>
        </w:rPr>
        <w:tab/>
        <w:t>La fundamentación y motivación del acuerdo</w:t>
      </w:r>
      <w:r w:rsidR="00581A7F" w:rsidRPr="00C906D0">
        <w:rPr>
          <w:rFonts w:ascii="Arial" w:hAnsi="Arial" w:cs="Arial"/>
          <w:b/>
          <w:lang w:val="es-MX"/>
        </w:rPr>
        <w:t>.</w:t>
      </w:r>
    </w:p>
    <w:p w14:paraId="39AAD8CC" w14:textId="77777777" w:rsidR="001A58C6" w:rsidRDefault="001A58C6" w:rsidP="001F7332">
      <w:pPr>
        <w:spacing w:line="276" w:lineRule="auto"/>
        <w:jc w:val="both"/>
        <w:rPr>
          <w:rFonts w:ascii="Arial" w:hAnsi="Arial" w:cs="Arial"/>
        </w:rPr>
      </w:pPr>
    </w:p>
    <w:p w14:paraId="6A4BE5AB" w14:textId="44E2BC03" w:rsidR="001A58C6" w:rsidRPr="001A58C6" w:rsidRDefault="001A58C6" w:rsidP="001F7332">
      <w:pPr>
        <w:spacing w:line="276" w:lineRule="auto"/>
        <w:jc w:val="both"/>
        <w:rPr>
          <w:rFonts w:ascii="Arial" w:hAnsi="Arial" w:cs="Arial"/>
          <w:b/>
        </w:rPr>
      </w:pPr>
      <w:r>
        <w:rPr>
          <w:rFonts w:ascii="Arial" w:hAnsi="Arial" w:cs="Arial"/>
          <w:b/>
        </w:rPr>
        <w:t>FUNDAMENTACIÓN</w:t>
      </w:r>
    </w:p>
    <w:p w14:paraId="7CB6CFF9" w14:textId="77777777" w:rsidR="001A58C6" w:rsidRDefault="001A58C6" w:rsidP="001F7332">
      <w:pPr>
        <w:spacing w:line="276" w:lineRule="auto"/>
        <w:jc w:val="both"/>
        <w:rPr>
          <w:rFonts w:ascii="Arial" w:hAnsi="Arial" w:cs="Arial"/>
        </w:rPr>
      </w:pPr>
    </w:p>
    <w:p w14:paraId="15973ECD" w14:textId="4E1607BA" w:rsidR="00C1092F" w:rsidRPr="00C906D0" w:rsidRDefault="00B502A7" w:rsidP="001F7332">
      <w:pPr>
        <w:spacing w:line="276" w:lineRule="auto"/>
        <w:jc w:val="both"/>
        <w:rPr>
          <w:rFonts w:ascii="Arial" w:hAnsi="Arial" w:cs="Arial"/>
        </w:rPr>
      </w:pPr>
      <w:r w:rsidRPr="00C906D0">
        <w:rPr>
          <w:rFonts w:ascii="Arial" w:hAnsi="Arial" w:cs="Arial"/>
        </w:rPr>
        <w:t>Es correcta la fundamenta</w:t>
      </w:r>
      <w:r w:rsidR="00EE2AB2" w:rsidRPr="00C906D0">
        <w:rPr>
          <w:rFonts w:ascii="Arial" w:hAnsi="Arial" w:cs="Arial"/>
        </w:rPr>
        <w:t>ción y motivación que realiza el Director</w:t>
      </w:r>
      <w:r w:rsidR="00C1092F" w:rsidRPr="00C906D0">
        <w:rPr>
          <w:rFonts w:ascii="Arial" w:hAnsi="Arial" w:cs="Arial"/>
        </w:rPr>
        <w:t xml:space="preserve"> </w:t>
      </w:r>
      <w:r w:rsidR="00F90293">
        <w:rPr>
          <w:rFonts w:ascii="Arial" w:hAnsi="Arial" w:cs="Arial"/>
        </w:rPr>
        <w:t>General de Administración</w:t>
      </w:r>
      <w:r w:rsidRPr="00C906D0">
        <w:rPr>
          <w:rFonts w:ascii="Arial" w:hAnsi="Arial" w:cs="Arial"/>
        </w:rPr>
        <w:t>, al sustentar su acuerdo</w:t>
      </w:r>
      <w:r w:rsidR="007D6D72" w:rsidRPr="00C906D0">
        <w:rPr>
          <w:rFonts w:ascii="Arial" w:hAnsi="Arial" w:cs="Arial"/>
        </w:rPr>
        <w:t xml:space="preserve"> en </w:t>
      </w:r>
      <w:r w:rsidR="00311032" w:rsidRPr="00C906D0">
        <w:rPr>
          <w:rFonts w:ascii="Arial" w:hAnsi="Arial" w:cs="Arial"/>
        </w:rPr>
        <w:t>los</w:t>
      </w:r>
      <w:r w:rsidR="007D6D72" w:rsidRPr="00C906D0">
        <w:rPr>
          <w:rFonts w:ascii="Arial" w:hAnsi="Arial" w:cs="Arial"/>
        </w:rPr>
        <w:t xml:space="preserve"> artículo</w:t>
      </w:r>
      <w:r w:rsidR="00311032" w:rsidRPr="00C906D0">
        <w:rPr>
          <w:rFonts w:ascii="Arial" w:hAnsi="Arial" w:cs="Arial"/>
        </w:rPr>
        <w:t>s</w:t>
      </w:r>
      <w:r w:rsidR="007D6D72" w:rsidRPr="00C906D0">
        <w:rPr>
          <w:rFonts w:ascii="Arial" w:hAnsi="Arial" w:cs="Arial"/>
        </w:rPr>
        <w:t xml:space="preserve"> </w:t>
      </w:r>
      <w:r w:rsidR="007D6D72" w:rsidRPr="00C906D0">
        <w:rPr>
          <w:rFonts w:ascii="Arial" w:hAnsi="Arial" w:cs="Arial"/>
          <w:lang w:val="es-ES"/>
        </w:rPr>
        <w:t xml:space="preserve">120 fracción I, </w:t>
      </w:r>
      <w:r w:rsidR="007D6D72" w:rsidRPr="00C906D0">
        <w:rPr>
          <w:rFonts w:ascii="Arial" w:hAnsi="Arial" w:cs="Arial"/>
        </w:rPr>
        <w:t>129 fracci</w:t>
      </w:r>
      <w:r w:rsidR="00C1092F" w:rsidRPr="00C906D0">
        <w:rPr>
          <w:rFonts w:ascii="Arial" w:hAnsi="Arial" w:cs="Arial"/>
        </w:rPr>
        <w:t xml:space="preserve">ón </w:t>
      </w:r>
      <w:r w:rsidR="007D6D72" w:rsidRPr="00C906D0">
        <w:rPr>
          <w:rFonts w:ascii="Arial" w:hAnsi="Arial" w:cs="Arial"/>
          <w:lang w:val="es-MX"/>
        </w:rPr>
        <w:t>XII</w:t>
      </w:r>
      <w:r w:rsidR="007D6D72" w:rsidRPr="00C906D0">
        <w:rPr>
          <w:rFonts w:ascii="Arial" w:hAnsi="Arial" w:cs="Arial"/>
        </w:rPr>
        <w:t xml:space="preserve"> de la </w:t>
      </w:r>
      <w:r w:rsidR="00B5198B" w:rsidRPr="00C906D0">
        <w:rPr>
          <w:rFonts w:ascii="Arial" w:hAnsi="Arial" w:cs="Arial"/>
        </w:rPr>
        <w:t>–LTAIPSLP-</w:t>
      </w:r>
      <w:r w:rsidR="007D6D72" w:rsidRPr="00C906D0">
        <w:rPr>
          <w:rFonts w:ascii="Arial" w:hAnsi="Arial" w:cs="Arial"/>
        </w:rPr>
        <w:t xml:space="preserve">, </w:t>
      </w:r>
      <w:r w:rsidR="00C1092F" w:rsidRPr="00C906D0">
        <w:rPr>
          <w:rFonts w:ascii="Arial" w:hAnsi="Arial" w:cs="Arial"/>
        </w:rPr>
        <w:t>concatenado al Lineamiento Trigésimo segundo</w:t>
      </w:r>
      <w:r w:rsidR="00053722" w:rsidRPr="00C906D0">
        <w:rPr>
          <w:rFonts w:ascii="Arial" w:hAnsi="Arial" w:cs="Arial"/>
        </w:rPr>
        <w:t>,</w:t>
      </w:r>
      <w:r w:rsidR="00C1092F" w:rsidRPr="00C906D0">
        <w:rPr>
          <w:rFonts w:ascii="Arial" w:hAnsi="Arial" w:cs="Arial"/>
        </w:rPr>
        <w:t xml:space="preserve"> de los Lineamientos Generales en Materia de Clasificación y Desclasificación de Información, así como para la Elaboración de Versiones Pública, y artículos 105, 106, y 218 del Código Nacional de Procedimientos Penales</w:t>
      </w:r>
      <w:r w:rsidR="00053722" w:rsidRPr="00C906D0">
        <w:rPr>
          <w:rFonts w:ascii="Arial" w:hAnsi="Arial" w:cs="Arial"/>
        </w:rPr>
        <w:t>.</w:t>
      </w:r>
      <w:r w:rsidR="00C1092F" w:rsidRPr="00C906D0">
        <w:rPr>
          <w:rFonts w:ascii="Arial" w:hAnsi="Arial" w:cs="Arial"/>
        </w:rPr>
        <w:t xml:space="preserve"> </w:t>
      </w:r>
    </w:p>
    <w:p w14:paraId="351C6B95" w14:textId="77777777" w:rsidR="005F1893" w:rsidRPr="00C906D0" w:rsidRDefault="005F1893" w:rsidP="005F1893">
      <w:pPr>
        <w:autoSpaceDE w:val="0"/>
        <w:autoSpaceDN w:val="0"/>
        <w:adjustRightInd w:val="0"/>
        <w:ind w:firstLine="360"/>
        <w:jc w:val="both"/>
        <w:rPr>
          <w:rFonts w:ascii="Arial" w:hAnsi="Arial" w:cs="Arial"/>
        </w:rPr>
      </w:pPr>
    </w:p>
    <w:p w14:paraId="6C9A0914" w14:textId="77777777" w:rsidR="00B67C0A" w:rsidRPr="00C906D0" w:rsidRDefault="00B67C0A" w:rsidP="00B67C0A">
      <w:pPr>
        <w:autoSpaceDE w:val="0"/>
        <w:autoSpaceDN w:val="0"/>
        <w:adjustRightInd w:val="0"/>
        <w:jc w:val="both"/>
        <w:rPr>
          <w:rFonts w:ascii="Arial" w:hAnsi="Arial" w:cs="Arial"/>
        </w:rPr>
      </w:pPr>
      <w:r w:rsidRPr="00C906D0">
        <w:rPr>
          <w:rFonts w:ascii="Arial" w:hAnsi="Arial" w:cs="Arial"/>
        </w:rPr>
        <w:t>Efectivamente toda persona tiene derecho al acceso a la información, y este derecho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 sin embargo resulta necesario entender que la relación entre el derecho a la información y sus límites, en cuanto se fundamentan en otros bienes constitucionalmente tutelados, no se da en términos absolutos de todo o nada, sino que su interacción es de carácter ponderativo, es por ello que si se reconoce que ningún derecho humano tiene el carácter de absoluto, entonces debe igualmente reconocerse que ninguno de sus límites puede plantearse en dichos términos, por lo que la relación entre ambos extremos debe plantearse en los mismos términos de equilibrio.</w:t>
      </w:r>
    </w:p>
    <w:p w14:paraId="03AF294F" w14:textId="77777777" w:rsidR="00B67C0A" w:rsidRPr="00C906D0" w:rsidRDefault="00B67C0A" w:rsidP="00B67C0A">
      <w:pPr>
        <w:autoSpaceDE w:val="0"/>
        <w:autoSpaceDN w:val="0"/>
        <w:adjustRightInd w:val="0"/>
        <w:jc w:val="both"/>
        <w:rPr>
          <w:rFonts w:ascii="Arial" w:hAnsi="Arial" w:cs="Arial"/>
        </w:rPr>
      </w:pPr>
    </w:p>
    <w:p w14:paraId="63BBE93A" w14:textId="3B7229B7" w:rsidR="00B67C0A" w:rsidRPr="00C906D0" w:rsidRDefault="00B67C0A" w:rsidP="00B67C0A">
      <w:pPr>
        <w:autoSpaceDE w:val="0"/>
        <w:autoSpaceDN w:val="0"/>
        <w:adjustRightInd w:val="0"/>
        <w:jc w:val="both"/>
        <w:rPr>
          <w:rFonts w:ascii="Arial" w:hAnsi="Arial" w:cs="Arial"/>
        </w:rPr>
      </w:pPr>
      <w:r w:rsidRPr="00C906D0">
        <w:rPr>
          <w:rFonts w:ascii="Arial" w:hAnsi="Arial" w:cs="Arial"/>
        </w:rPr>
        <w:t xml:space="preserve">En estricto apego a los artículos 6°, apartado A, Fracción II, y 16, segundo párrafo de la Constitución Política de los Estados Unidos Mexicanos y a la Ley de Transparencia y Acceso a la Información Pública, reglamenta el ejercicio del derecho a la información pública y señala que debe considerarse información pública: “la que es creada, administrada o en posesión de los sujetos obligados, exceptuando la clasificada como reservada o confidencial.” </w:t>
      </w:r>
    </w:p>
    <w:p w14:paraId="0480B4D0" w14:textId="77777777" w:rsidR="00C906D0" w:rsidRPr="00C906D0" w:rsidRDefault="00C906D0" w:rsidP="00B67C0A">
      <w:pPr>
        <w:spacing w:line="276" w:lineRule="auto"/>
        <w:jc w:val="both"/>
        <w:rPr>
          <w:rFonts w:ascii="Arial" w:hAnsi="Arial" w:cs="Arial"/>
        </w:rPr>
      </w:pPr>
    </w:p>
    <w:p w14:paraId="541DE37A" w14:textId="0635748D" w:rsidR="00B67C0A" w:rsidRPr="00C906D0" w:rsidRDefault="00B67C0A" w:rsidP="00B67C0A">
      <w:pPr>
        <w:spacing w:line="276" w:lineRule="auto"/>
        <w:jc w:val="both"/>
        <w:rPr>
          <w:rFonts w:ascii="Arial" w:hAnsi="Arial" w:cs="Arial"/>
        </w:rPr>
      </w:pPr>
      <w:r w:rsidRPr="00C906D0">
        <w:rPr>
          <w:rFonts w:ascii="Arial" w:hAnsi="Arial" w:cs="Arial"/>
        </w:rPr>
        <w:t>Por ello, la Ley de Transparencia y Acceso a la Información Pública –LTAIPSLP-, reglamenta el ejercicio del derecho a la información pública y señala que debe considerarse información pública: “la que es creada, administrada o en posesión de los sujetos obligados, exceptuando la clasificada como reservada o confidencial.”</w:t>
      </w:r>
    </w:p>
    <w:p w14:paraId="0E4E6221" w14:textId="77777777" w:rsidR="00B67C0A" w:rsidRPr="00C906D0" w:rsidRDefault="00B67C0A" w:rsidP="00B67C0A">
      <w:pPr>
        <w:spacing w:line="276" w:lineRule="auto"/>
        <w:jc w:val="both"/>
        <w:rPr>
          <w:rFonts w:ascii="Arial" w:hAnsi="Arial" w:cs="Arial"/>
        </w:rPr>
      </w:pPr>
      <w:r w:rsidRPr="00C906D0">
        <w:rPr>
          <w:rFonts w:ascii="Arial" w:hAnsi="Arial" w:cs="Arial"/>
        </w:rPr>
        <w:t>La citada –LTAIPSLP- en su artículo 120 señala los momentos en los que se puede realizar la clasificación de información, y en el caso aplica el supuesto establecido en la fracción I, es decir, cuando se reciba una solicitud de acceso a la información.</w:t>
      </w:r>
    </w:p>
    <w:p w14:paraId="70174515" w14:textId="77777777" w:rsidR="00B67C0A" w:rsidRPr="00C906D0" w:rsidRDefault="00B67C0A" w:rsidP="00B67C0A">
      <w:pPr>
        <w:spacing w:line="276" w:lineRule="auto"/>
        <w:jc w:val="both"/>
        <w:rPr>
          <w:rFonts w:ascii="Arial" w:hAnsi="Arial" w:cs="Arial"/>
        </w:rPr>
      </w:pPr>
    </w:p>
    <w:p w14:paraId="47C22034" w14:textId="38D12F97" w:rsidR="00B67C0A" w:rsidRPr="00C906D0" w:rsidRDefault="00B67C0A" w:rsidP="00B67C0A">
      <w:pPr>
        <w:spacing w:line="276" w:lineRule="auto"/>
        <w:jc w:val="both"/>
        <w:rPr>
          <w:rFonts w:ascii="Arial" w:hAnsi="Arial" w:cs="Arial"/>
        </w:rPr>
      </w:pPr>
      <w:r w:rsidRPr="00C906D0">
        <w:rPr>
          <w:rFonts w:ascii="Arial" w:hAnsi="Arial" w:cs="Arial"/>
        </w:rPr>
        <w:t>La fundamentación, se encuentra en el artículo 129 fracci</w:t>
      </w:r>
      <w:r w:rsidR="00C45E17">
        <w:rPr>
          <w:rFonts w:ascii="Arial" w:hAnsi="Arial" w:cs="Arial"/>
        </w:rPr>
        <w:t xml:space="preserve">ones I, IV, VI, y XII </w:t>
      </w:r>
      <w:r w:rsidRPr="00C906D0">
        <w:rPr>
          <w:rFonts w:ascii="Arial" w:hAnsi="Arial" w:cs="Arial"/>
        </w:rPr>
        <w:t xml:space="preserve">de la –LTAIPSLP-, el cual establece que se considera información reservada, </w:t>
      </w:r>
      <w:r w:rsidR="00C45E17">
        <w:rPr>
          <w:rFonts w:ascii="Arial" w:hAnsi="Arial" w:cs="Arial"/>
        </w:rPr>
        <w:t>la que comprometa la seguridad pública, pueda poner en riesgo la vida, seguridad o salud de una persona, la que obstruya la prevención o persecución de un delito, y la que por disposición expresa de una Ley tenga ese carácter,</w:t>
      </w:r>
      <w:r w:rsidRPr="00C906D0">
        <w:rPr>
          <w:rFonts w:ascii="Arial" w:hAnsi="Arial" w:cs="Arial"/>
        </w:rPr>
        <w:t xml:space="preserve"> concatenado a lo establecido por Código Nacional de Procedimientos Penales, el cual señala en lo que interesa que: </w:t>
      </w:r>
    </w:p>
    <w:p w14:paraId="7D5A422E" w14:textId="77777777" w:rsidR="00B67C0A" w:rsidRPr="00C906D0" w:rsidRDefault="00B67C0A" w:rsidP="00B67C0A">
      <w:pPr>
        <w:spacing w:line="276" w:lineRule="auto"/>
        <w:jc w:val="both"/>
        <w:rPr>
          <w:rFonts w:ascii="Arial" w:hAnsi="Arial" w:cs="Arial"/>
        </w:rPr>
      </w:pPr>
    </w:p>
    <w:p w14:paraId="0AA9D002" w14:textId="77777777" w:rsidR="00B67C0A" w:rsidRPr="00C906D0" w:rsidRDefault="00B67C0A" w:rsidP="00B67C0A">
      <w:pPr>
        <w:spacing w:line="276" w:lineRule="auto"/>
        <w:jc w:val="both"/>
        <w:rPr>
          <w:rFonts w:ascii="Arial" w:hAnsi="Arial" w:cs="Arial"/>
        </w:rPr>
      </w:pPr>
      <w:r w:rsidRPr="00C906D0">
        <w:rPr>
          <w:rFonts w:ascii="Arial" w:hAnsi="Arial" w:cs="Arial"/>
        </w:rPr>
        <w:t>Artículo 105. Sujetos de procedimiento penal</w:t>
      </w:r>
    </w:p>
    <w:p w14:paraId="2F9D826B" w14:textId="77777777" w:rsidR="00B67C0A" w:rsidRPr="00C906D0" w:rsidRDefault="00B67C0A" w:rsidP="00B67C0A">
      <w:pPr>
        <w:spacing w:line="276" w:lineRule="auto"/>
        <w:jc w:val="both"/>
        <w:rPr>
          <w:rFonts w:ascii="Arial" w:hAnsi="Arial" w:cs="Arial"/>
        </w:rPr>
      </w:pPr>
      <w:r w:rsidRPr="00C906D0">
        <w:rPr>
          <w:rFonts w:ascii="Arial" w:hAnsi="Arial" w:cs="Arial"/>
        </w:rPr>
        <w:t>Son sujetos del procedimiento penal los siguientes:</w:t>
      </w:r>
    </w:p>
    <w:p w14:paraId="48A1045C" w14:textId="77777777" w:rsidR="00B67C0A" w:rsidRPr="00C906D0" w:rsidRDefault="00B67C0A" w:rsidP="00B67C0A">
      <w:pPr>
        <w:spacing w:line="276" w:lineRule="auto"/>
        <w:jc w:val="both"/>
        <w:rPr>
          <w:rFonts w:ascii="Arial" w:hAnsi="Arial" w:cs="Arial"/>
        </w:rPr>
      </w:pPr>
      <w:r w:rsidRPr="00C906D0">
        <w:rPr>
          <w:rFonts w:ascii="Arial" w:hAnsi="Arial" w:cs="Arial"/>
        </w:rPr>
        <w:t>I. La víctima u ofendido;</w:t>
      </w:r>
    </w:p>
    <w:p w14:paraId="64310DD1" w14:textId="77777777" w:rsidR="00B67C0A" w:rsidRPr="00C906D0" w:rsidRDefault="00B67C0A" w:rsidP="00B67C0A">
      <w:pPr>
        <w:spacing w:line="276" w:lineRule="auto"/>
        <w:jc w:val="both"/>
        <w:rPr>
          <w:rFonts w:ascii="Arial" w:hAnsi="Arial" w:cs="Arial"/>
        </w:rPr>
      </w:pPr>
      <w:r w:rsidRPr="00C906D0">
        <w:rPr>
          <w:rFonts w:ascii="Arial" w:hAnsi="Arial" w:cs="Arial"/>
        </w:rPr>
        <w:t>II. El Asesor jurídico;</w:t>
      </w:r>
    </w:p>
    <w:p w14:paraId="48EC074E" w14:textId="77777777" w:rsidR="00B67C0A" w:rsidRPr="00C906D0" w:rsidRDefault="00B67C0A" w:rsidP="00B67C0A">
      <w:pPr>
        <w:spacing w:line="276" w:lineRule="auto"/>
        <w:jc w:val="both"/>
        <w:rPr>
          <w:rFonts w:ascii="Arial" w:hAnsi="Arial" w:cs="Arial"/>
        </w:rPr>
      </w:pPr>
      <w:r w:rsidRPr="00C906D0">
        <w:rPr>
          <w:rFonts w:ascii="Arial" w:hAnsi="Arial" w:cs="Arial"/>
        </w:rPr>
        <w:t>III. El imputado;</w:t>
      </w:r>
    </w:p>
    <w:p w14:paraId="21E12942" w14:textId="77777777" w:rsidR="00B67C0A" w:rsidRPr="00C906D0" w:rsidRDefault="00B67C0A" w:rsidP="00B67C0A">
      <w:pPr>
        <w:spacing w:line="276" w:lineRule="auto"/>
        <w:jc w:val="both"/>
        <w:rPr>
          <w:rFonts w:ascii="Arial" w:hAnsi="Arial" w:cs="Arial"/>
        </w:rPr>
      </w:pPr>
      <w:r w:rsidRPr="00C906D0">
        <w:rPr>
          <w:rFonts w:ascii="Arial" w:hAnsi="Arial" w:cs="Arial"/>
        </w:rPr>
        <w:t>IV. El Defensor;</w:t>
      </w:r>
    </w:p>
    <w:p w14:paraId="55F88E5C" w14:textId="77777777" w:rsidR="00B67C0A" w:rsidRPr="00C906D0" w:rsidRDefault="00B67C0A" w:rsidP="00B67C0A">
      <w:pPr>
        <w:spacing w:line="276" w:lineRule="auto"/>
        <w:jc w:val="both"/>
        <w:rPr>
          <w:rFonts w:ascii="Arial" w:hAnsi="Arial" w:cs="Arial"/>
        </w:rPr>
      </w:pPr>
      <w:r w:rsidRPr="00C906D0">
        <w:rPr>
          <w:rFonts w:ascii="Arial" w:hAnsi="Arial" w:cs="Arial"/>
        </w:rPr>
        <w:t>V. El Ministerio Público;</w:t>
      </w:r>
    </w:p>
    <w:p w14:paraId="3B7A40E7" w14:textId="77777777" w:rsidR="00B67C0A" w:rsidRPr="00C45E17" w:rsidRDefault="00B67C0A" w:rsidP="00B67C0A">
      <w:pPr>
        <w:spacing w:line="276" w:lineRule="auto"/>
        <w:jc w:val="both"/>
        <w:rPr>
          <w:rFonts w:ascii="Arial" w:hAnsi="Arial" w:cs="Arial"/>
          <w:b/>
        </w:rPr>
      </w:pPr>
      <w:r w:rsidRPr="00C45E17">
        <w:rPr>
          <w:rFonts w:ascii="Arial" w:hAnsi="Arial" w:cs="Arial"/>
          <w:b/>
        </w:rPr>
        <w:t>VI. La Policía;</w:t>
      </w:r>
    </w:p>
    <w:p w14:paraId="5C18C3D2" w14:textId="77777777" w:rsidR="00B67C0A" w:rsidRPr="00C906D0" w:rsidRDefault="00B67C0A" w:rsidP="00B67C0A">
      <w:pPr>
        <w:spacing w:line="276" w:lineRule="auto"/>
        <w:jc w:val="both"/>
        <w:rPr>
          <w:rFonts w:ascii="Arial" w:hAnsi="Arial" w:cs="Arial"/>
        </w:rPr>
      </w:pPr>
      <w:r w:rsidRPr="00C906D0">
        <w:rPr>
          <w:rFonts w:ascii="Arial" w:hAnsi="Arial" w:cs="Arial"/>
        </w:rPr>
        <w:t>VII. El Órgano jurisdiccional, y</w:t>
      </w:r>
    </w:p>
    <w:p w14:paraId="76D8D47C" w14:textId="77777777" w:rsidR="00B67C0A" w:rsidRPr="00C906D0" w:rsidRDefault="00B67C0A" w:rsidP="00B67C0A">
      <w:pPr>
        <w:spacing w:line="276" w:lineRule="auto"/>
        <w:jc w:val="both"/>
        <w:rPr>
          <w:rFonts w:ascii="Arial" w:hAnsi="Arial" w:cs="Arial"/>
        </w:rPr>
      </w:pPr>
      <w:r w:rsidRPr="00C906D0">
        <w:rPr>
          <w:rFonts w:ascii="Arial" w:hAnsi="Arial" w:cs="Arial"/>
        </w:rPr>
        <w:t>VIII. La autoridad de supervisión de medidas cautelares y de la suspensión condicional del proceso.</w:t>
      </w:r>
    </w:p>
    <w:p w14:paraId="775C9F8A" w14:textId="77777777" w:rsidR="00B67C0A" w:rsidRPr="00C906D0" w:rsidRDefault="00B67C0A" w:rsidP="00B67C0A">
      <w:pPr>
        <w:spacing w:line="276" w:lineRule="auto"/>
        <w:jc w:val="both"/>
        <w:rPr>
          <w:rFonts w:ascii="Arial" w:hAnsi="Arial" w:cs="Arial"/>
        </w:rPr>
      </w:pPr>
      <w:r w:rsidRPr="00C906D0">
        <w:rPr>
          <w:rFonts w:ascii="Arial" w:hAnsi="Arial" w:cs="Arial"/>
        </w:rPr>
        <w:t>….</w:t>
      </w:r>
    </w:p>
    <w:p w14:paraId="37617322" w14:textId="77777777" w:rsidR="00B67C0A" w:rsidRPr="00C906D0" w:rsidRDefault="00B67C0A" w:rsidP="00B67C0A">
      <w:pPr>
        <w:spacing w:line="276" w:lineRule="auto"/>
        <w:jc w:val="both"/>
        <w:rPr>
          <w:rFonts w:ascii="Arial" w:hAnsi="Arial" w:cs="Arial"/>
        </w:rPr>
      </w:pPr>
    </w:p>
    <w:p w14:paraId="308ABEE3" w14:textId="77777777" w:rsidR="00B67C0A" w:rsidRPr="00C906D0" w:rsidRDefault="00B67C0A" w:rsidP="00B67C0A">
      <w:pPr>
        <w:spacing w:line="276" w:lineRule="auto"/>
        <w:jc w:val="both"/>
        <w:rPr>
          <w:rFonts w:ascii="Arial" w:hAnsi="Arial" w:cs="Arial"/>
        </w:rPr>
      </w:pPr>
      <w:r w:rsidRPr="00C906D0">
        <w:rPr>
          <w:rFonts w:ascii="Arial" w:hAnsi="Arial" w:cs="Arial"/>
        </w:rPr>
        <w:t>Artículo 106. Reserva sobre la identidad</w:t>
      </w:r>
    </w:p>
    <w:p w14:paraId="55C9D4A5" w14:textId="77777777" w:rsidR="00B67C0A" w:rsidRPr="00C906D0" w:rsidRDefault="00B67C0A" w:rsidP="00B67C0A">
      <w:pPr>
        <w:spacing w:line="276" w:lineRule="auto"/>
        <w:jc w:val="both"/>
        <w:rPr>
          <w:rFonts w:ascii="Arial" w:hAnsi="Arial" w:cs="Arial"/>
        </w:rPr>
      </w:pPr>
      <w:r w:rsidRPr="00C906D0">
        <w:rPr>
          <w:rFonts w:ascii="Arial" w:hAnsi="Arial" w:cs="Arial"/>
        </w:rPr>
        <w:t>En ningún caso se podrá hacer referencia o comunicar a terceros no legitimados la información confidencial relativa a los datos personales de los sujetos del procedimiento penal o de cualquier persona relacionada o mencionada en éste.</w:t>
      </w:r>
    </w:p>
    <w:p w14:paraId="3AEF910A" w14:textId="77777777" w:rsidR="00B67C0A" w:rsidRPr="00C906D0" w:rsidRDefault="00B67C0A" w:rsidP="00B67C0A">
      <w:pPr>
        <w:spacing w:line="276" w:lineRule="auto"/>
        <w:jc w:val="both"/>
        <w:rPr>
          <w:rFonts w:ascii="Arial" w:hAnsi="Arial" w:cs="Arial"/>
        </w:rPr>
      </w:pPr>
      <w:r w:rsidRPr="00C906D0">
        <w:rPr>
          <w:rFonts w:ascii="Arial" w:hAnsi="Arial" w:cs="Arial"/>
        </w:rPr>
        <w:t>Toda violación al deber de reserva por parte de los servidores públicos, será sancionada por la legislación aplicable.</w:t>
      </w:r>
    </w:p>
    <w:p w14:paraId="139BF0F8" w14:textId="77777777" w:rsidR="00B67C0A" w:rsidRPr="00C906D0" w:rsidRDefault="00B67C0A" w:rsidP="00B67C0A">
      <w:pPr>
        <w:spacing w:line="276" w:lineRule="auto"/>
        <w:jc w:val="both"/>
        <w:rPr>
          <w:rFonts w:ascii="Arial" w:hAnsi="Arial" w:cs="Arial"/>
        </w:rPr>
      </w:pPr>
      <w:r w:rsidRPr="00C906D0">
        <w:rPr>
          <w:rFonts w:ascii="Arial" w:hAnsi="Arial" w:cs="Arial"/>
        </w:rPr>
        <w:t>…</w:t>
      </w:r>
    </w:p>
    <w:p w14:paraId="7C734041" w14:textId="77777777" w:rsidR="00B67C0A" w:rsidRPr="00C906D0" w:rsidRDefault="00B67C0A" w:rsidP="00B67C0A">
      <w:pPr>
        <w:spacing w:line="276" w:lineRule="auto"/>
        <w:jc w:val="both"/>
        <w:rPr>
          <w:rFonts w:ascii="Arial" w:hAnsi="Arial" w:cs="Arial"/>
        </w:rPr>
      </w:pPr>
      <w:r w:rsidRPr="00C906D0">
        <w:rPr>
          <w:rFonts w:ascii="Arial" w:hAnsi="Arial" w:cs="Arial"/>
        </w:rPr>
        <w:t>Artículo 218. Reserva de los actos de investigación</w:t>
      </w:r>
    </w:p>
    <w:p w14:paraId="6C74F9C4" w14:textId="0979761F" w:rsidR="00B67C0A" w:rsidRPr="00C906D0" w:rsidRDefault="00B67C0A" w:rsidP="00B67C0A">
      <w:pPr>
        <w:spacing w:line="276" w:lineRule="auto"/>
        <w:jc w:val="both"/>
        <w:rPr>
          <w:rFonts w:ascii="Arial" w:hAnsi="Arial" w:cs="Arial"/>
        </w:rPr>
      </w:pPr>
      <w:r w:rsidRPr="00C906D0">
        <w:rPr>
          <w:rFonts w:ascii="Arial" w:hAnsi="Arial" w:cs="Arial"/>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51BB0A59" w14:textId="5E9ED3A8" w:rsidR="00DB2030" w:rsidRPr="00C906D0" w:rsidRDefault="00B67C0A" w:rsidP="00B67C0A">
      <w:pPr>
        <w:spacing w:line="276" w:lineRule="auto"/>
        <w:jc w:val="both"/>
        <w:rPr>
          <w:rFonts w:ascii="Arial" w:hAnsi="Arial" w:cs="Arial"/>
        </w:rPr>
      </w:pPr>
      <w:r w:rsidRPr="00C906D0">
        <w:rPr>
          <w:rFonts w:ascii="Arial" w:hAnsi="Arial" w:cs="Arial"/>
        </w:rPr>
        <w:t>…</w:t>
      </w:r>
    </w:p>
    <w:p w14:paraId="13B53398" w14:textId="77777777" w:rsidR="00B67C0A" w:rsidRDefault="00B67C0A" w:rsidP="00B67C0A">
      <w:pPr>
        <w:spacing w:line="276" w:lineRule="auto"/>
        <w:jc w:val="both"/>
        <w:rPr>
          <w:rFonts w:ascii="Arial" w:hAnsi="Arial" w:cs="Arial"/>
        </w:rPr>
      </w:pPr>
    </w:p>
    <w:p w14:paraId="04E843A5" w14:textId="5843BCB2" w:rsidR="001A58C6" w:rsidRDefault="001A58C6" w:rsidP="00B67C0A">
      <w:pPr>
        <w:spacing w:line="276" w:lineRule="auto"/>
        <w:jc w:val="both"/>
        <w:rPr>
          <w:rFonts w:ascii="Arial" w:hAnsi="Arial" w:cs="Arial"/>
        </w:rPr>
      </w:pPr>
      <w:r>
        <w:rPr>
          <w:rFonts w:ascii="Arial" w:hAnsi="Arial" w:cs="Arial"/>
        </w:rPr>
        <w:t>Sirve de precedente la:</w:t>
      </w:r>
    </w:p>
    <w:p w14:paraId="5D77CEC1" w14:textId="77777777" w:rsidR="001A58C6" w:rsidRDefault="001A58C6" w:rsidP="00B67C0A">
      <w:pPr>
        <w:spacing w:line="276" w:lineRule="auto"/>
        <w:jc w:val="both"/>
        <w:rPr>
          <w:rFonts w:ascii="Arial" w:hAnsi="Arial" w:cs="Arial"/>
        </w:rPr>
      </w:pPr>
    </w:p>
    <w:p w14:paraId="0205AF4F" w14:textId="77777777" w:rsidR="001A58C6" w:rsidRPr="002C725E" w:rsidRDefault="001A58C6" w:rsidP="00757C0B">
      <w:pPr>
        <w:pStyle w:val="Prrafodelista"/>
        <w:ind w:left="1134" w:right="1892"/>
        <w:jc w:val="both"/>
        <w:rPr>
          <w:rFonts w:ascii="Arial" w:hAnsi="Arial" w:cs="Arial"/>
          <w:b/>
          <w:sz w:val="22"/>
          <w:szCs w:val="22"/>
          <w:lang w:val="es-MX"/>
        </w:rPr>
      </w:pPr>
      <w:r w:rsidRPr="002C725E">
        <w:rPr>
          <w:rFonts w:ascii="Arial" w:hAnsi="Arial" w:cs="Arial"/>
          <w:b/>
          <w:sz w:val="22"/>
          <w:szCs w:val="22"/>
          <w:lang w:val="es-MX"/>
        </w:rPr>
        <w:t xml:space="preserve">RESOLUCIÓN DE LA SUPREMA CORTE DE JUSTICIA DE LA NACIÓN EMITIDA EL 12 DE </w:t>
      </w:r>
      <w:r>
        <w:rPr>
          <w:rFonts w:ascii="Arial" w:hAnsi="Arial" w:cs="Arial"/>
          <w:b/>
          <w:sz w:val="22"/>
          <w:szCs w:val="22"/>
          <w:lang w:val="es-MX"/>
        </w:rPr>
        <w:t>MAYO</w:t>
      </w:r>
      <w:r w:rsidRPr="002C725E">
        <w:rPr>
          <w:rFonts w:ascii="Arial" w:hAnsi="Arial" w:cs="Arial"/>
          <w:b/>
          <w:sz w:val="22"/>
          <w:szCs w:val="22"/>
          <w:lang w:val="es-MX"/>
        </w:rPr>
        <w:t xml:space="preserve"> 2022 DENTRO DE LA CONTROVERSIA CONSTITUCIONAL NÚMERO 325/2019. EL PLENO DE LA SCJN INVALIDA LA RESOLUCIÓN DEL INAI DONDE ORDENABA ENTREGAR INFORMACIÓN RELATIVA AL NOMBRE Y EL CARGO DEL PERSONAL DE DIVERSAS SUBPROCURADURÍAS DE LA FISCALÍA GENERAL DE LA REPÚBLICA</w:t>
      </w:r>
    </w:p>
    <w:p w14:paraId="2F23268B" w14:textId="77777777" w:rsidR="001A58C6" w:rsidRPr="002C725E" w:rsidRDefault="001A58C6" w:rsidP="00757C0B">
      <w:pPr>
        <w:pStyle w:val="Texto"/>
        <w:spacing w:after="0" w:line="240" w:lineRule="auto"/>
        <w:ind w:left="1134" w:right="1892" w:firstLine="0"/>
        <w:rPr>
          <w:rFonts w:eastAsiaTheme="minorEastAsia"/>
          <w:i/>
          <w:sz w:val="16"/>
          <w:szCs w:val="16"/>
          <w:lang w:val="es-MX"/>
        </w:rPr>
      </w:pPr>
    </w:p>
    <w:p w14:paraId="728A68DA" w14:textId="05455CF8" w:rsidR="001A58C6" w:rsidRPr="002C725E" w:rsidRDefault="001A58C6" w:rsidP="00757C0B">
      <w:pPr>
        <w:pStyle w:val="Texto"/>
        <w:spacing w:after="0" w:line="240" w:lineRule="auto"/>
        <w:ind w:left="1134" w:right="2034"/>
        <w:rPr>
          <w:rFonts w:eastAsiaTheme="minorEastAsia"/>
          <w:sz w:val="16"/>
          <w:szCs w:val="16"/>
          <w:lang w:val="es-MX"/>
        </w:rPr>
      </w:pPr>
      <w:r w:rsidRPr="002C725E">
        <w:rPr>
          <w:rFonts w:eastAsiaTheme="minorEastAsia"/>
          <w:sz w:val="16"/>
          <w:szCs w:val="16"/>
          <w:lang w:val="es-MX"/>
        </w:rPr>
        <w:t xml:space="preserve">Comunicado que se puede consultar en la siguiente liga:  </w:t>
      </w:r>
      <w:hyperlink r:id="rId9" w:history="1">
        <w:r w:rsidR="00757C0B" w:rsidRPr="00AE242A">
          <w:rPr>
            <w:rStyle w:val="Hipervnculo"/>
            <w:rFonts w:eastAsiaTheme="minorEastAsia"/>
            <w:sz w:val="16"/>
            <w:szCs w:val="16"/>
            <w:lang w:val="es-MX"/>
          </w:rPr>
          <w:t>https://www.internet2.scjn.gob.mx/red2/comunicados/noticia.asp?id=6898</w:t>
        </w:r>
      </w:hyperlink>
      <w:r w:rsidRPr="002C725E">
        <w:rPr>
          <w:rFonts w:eastAsiaTheme="minorEastAsia"/>
          <w:sz w:val="16"/>
          <w:szCs w:val="16"/>
          <w:lang w:val="es-MX"/>
        </w:rPr>
        <w:t xml:space="preserve"> </w:t>
      </w:r>
    </w:p>
    <w:p w14:paraId="42E5798B" w14:textId="77777777" w:rsidR="001A58C6" w:rsidRPr="002C725E" w:rsidRDefault="001A58C6" w:rsidP="001A58C6">
      <w:pPr>
        <w:pStyle w:val="Texto"/>
        <w:spacing w:after="0" w:line="240" w:lineRule="auto"/>
        <w:ind w:left="1134" w:right="2034" w:firstLine="0"/>
        <w:rPr>
          <w:rFonts w:eastAsiaTheme="minorEastAsia"/>
          <w:i/>
          <w:sz w:val="16"/>
          <w:szCs w:val="16"/>
          <w:lang w:val="es-MX"/>
        </w:rPr>
      </w:pPr>
    </w:p>
    <w:p w14:paraId="78749732" w14:textId="77777777" w:rsidR="001A58C6" w:rsidRPr="002C725E" w:rsidRDefault="001A58C6" w:rsidP="001A58C6">
      <w:pPr>
        <w:pStyle w:val="Texto"/>
        <w:ind w:left="1134" w:right="2034"/>
        <w:rPr>
          <w:rFonts w:eastAsiaTheme="minorEastAsia"/>
          <w:i/>
          <w:sz w:val="16"/>
          <w:szCs w:val="16"/>
          <w:lang w:val="es-MX"/>
        </w:rPr>
      </w:pPr>
      <w:r w:rsidRPr="002C725E">
        <w:rPr>
          <w:rFonts w:eastAsiaTheme="minorEastAsia"/>
          <w:i/>
          <w:sz w:val="16"/>
          <w:szCs w:val="16"/>
          <w:lang w:val="es-MX"/>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2BD940DE" w14:textId="77777777" w:rsidR="001A58C6" w:rsidRPr="002C725E" w:rsidRDefault="001A58C6" w:rsidP="001A58C6">
      <w:pPr>
        <w:pStyle w:val="Texto"/>
        <w:ind w:left="1134" w:right="2034"/>
        <w:rPr>
          <w:rFonts w:eastAsiaTheme="minorEastAsia"/>
          <w:i/>
          <w:sz w:val="16"/>
          <w:szCs w:val="16"/>
          <w:lang w:val="es-MX"/>
        </w:rPr>
      </w:pPr>
    </w:p>
    <w:p w14:paraId="489A471C" w14:textId="77777777" w:rsidR="001A58C6" w:rsidRPr="002C725E" w:rsidRDefault="001A58C6" w:rsidP="001A58C6">
      <w:pPr>
        <w:pStyle w:val="Texto"/>
        <w:ind w:left="1134" w:right="2034"/>
        <w:rPr>
          <w:rFonts w:eastAsiaTheme="minorEastAsia"/>
          <w:i/>
          <w:sz w:val="16"/>
          <w:szCs w:val="16"/>
          <w:lang w:val="es-MX"/>
        </w:rPr>
      </w:pPr>
      <w:r w:rsidRPr="002C725E">
        <w:rPr>
          <w:rFonts w:eastAsiaTheme="minorEastAsia"/>
          <w:i/>
          <w:sz w:val="16"/>
          <w:szCs w:val="16"/>
          <w:lang w:val="es-MX"/>
        </w:rPr>
        <w:t>Lo anterior al determinar que la mencionada resolución incidía negativamente en el ejercicio de la esfera competencial constitucional que la FGR tiene conferida en los artículos 21 y 102 de la Constitución General, por las siguientes razones:</w:t>
      </w:r>
    </w:p>
    <w:p w14:paraId="61A6DB6E" w14:textId="77777777" w:rsidR="001A58C6" w:rsidRPr="002C725E" w:rsidRDefault="001A58C6" w:rsidP="001A58C6">
      <w:pPr>
        <w:pStyle w:val="Texto"/>
        <w:ind w:left="1134" w:right="2034"/>
        <w:rPr>
          <w:rFonts w:eastAsiaTheme="minorEastAsia"/>
          <w:i/>
          <w:sz w:val="16"/>
          <w:szCs w:val="16"/>
          <w:lang w:val="es-MX"/>
        </w:rPr>
      </w:pPr>
    </w:p>
    <w:p w14:paraId="593CF821" w14:textId="77777777" w:rsidR="001A58C6" w:rsidRPr="002C725E" w:rsidRDefault="001A58C6" w:rsidP="001A58C6">
      <w:pPr>
        <w:pStyle w:val="Texto"/>
        <w:ind w:left="1134" w:right="2034"/>
        <w:rPr>
          <w:rFonts w:eastAsiaTheme="minorEastAsia"/>
          <w:i/>
          <w:sz w:val="16"/>
          <w:szCs w:val="16"/>
          <w:lang w:val="es-MX"/>
        </w:rPr>
      </w:pPr>
      <w:r w:rsidRPr="002C725E">
        <w:rPr>
          <w:rFonts w:eastAsiaTheme="minorEastAsia"/>
          <w:i/>
          <w:sz w:val="16"/>
          <w:szCs w:val="16"/>
          <w:lang w:val="es-MX"/>
        </w:rPr>
        <w:t>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Ministerios Públicos de la Federación están sujetos a cambios de adscripción.</w:t>
      </w:r>
    </w:p>
    <w:p w14:paraId="1307FCC8" w14:textId="77777777" w:rsidR="001A58C6" w:rsidRPr="002C725E" w:rsidRDefault="001A58C6" w:rsidP="001A58C6">
      <w:pPr>
        <w:pStyle w:val="Texto"/>
        <w:ind w:left="1134" w:right="2034"/>
        <w:rPr>
          <w:rFonts w:eastAsiaTheme="minorEastAsia"/>
          <w:i/>
          <w:sz w:val="16"/>
          <w:szCs w:val="16"/>
          <w:lang w:val="es-MX"/>
        </w:rPr>
      </w:pPr>
    </w:p>
    <w:p w14:paraId="3479429F" w14:textId="77777777" w:rsidR="001A58C6" w:rsidRPr="002C725E" w:rsidRDefault="001A58C6" w:rsidP="001A58C6">
      <w:pPr>
        <w:pStyle w:val="Texto"/>
        <w:ind w:left="1134" w:right="2034"/>
        <w:rPr>
          <w:rFonts w:eastAsiaTheme="minorEastAsia"/>
          <w:i/>
          <w:sz w:val="16"/>
          <w:szCs w:val="16"/>
          <w:lang w:val="es-MX"/>
        </w:rPr>
      </w:pPr>
      <w:r w:rsidRPr="002C725E">
        <w:rPr>
          <w:rFonts w:eastAsiaTheme="minorEastAsia"/>
          <w:i/>
          <w:sz w:val="16"/>
          <w:szCs w:val="16"/>
          <w:lang w:val="es-MX"/>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2AFDAFEB" w14:textId="77777777" w:rsidR="001A58C6" w:rsidRPr="002C725E" w:rsidRDefault="001A58C6" w:rsidP="001A58C6">
      <w:pPr>
        <w:pStyle w:val="Texto"/>
        <w:ind w:left="1134" w:right="2034"/>
        <w:rPr>
          <w:rFonts w:eastAsiaTheme="minorEastAsia"/>
          <w:i/>
          <w:sz w:val="16"/>
          <w:szCs w:val="16"/>
          <w:lang w:val="es-MX"/>
        </w:rPr>
      </w:pPr>
    </w:p>
    <w:p w14:paraId="6152A243" w14:textId="77777777" w:rsidR="001A58C6" w:rsidRPr="002C725E" w:rsidRDefault="001A58C6" w:rsidP="001A58C6">
      <w:pPr>
        <w:pStyle w:val="Texto"/>
        <w:ind w:left="1134" w:right="2034"/>
        <w:rPr>
          <w:rFonts w:eastAsiaTheme="minorEastAsia"/>
          <w:i/>
          <w:sz w:val="16"/>
          <w:szCs w:val="16"/>
          <w:lang w:val="es-MX"/>
        </w:rPr>
      </w:pPr>
      <w:r w:rsidRPr="002C725E">
        <w:rPr>
          <w:rFonts w:eastAsiaTheme="minorEastAsia"/>
          <w:i/>
          <w:sz w:val="16"/>
          <w:szCs w:val="16"/>
          <w:lang w:val="es-MX"/>
        </w:rPr>
        <w:t>3. Se acreditó con evidencia suficiente la existencia de la relación causal general entre entregar los nombres y cargos de los Agentes del Ministerio Público Federal y la afectación que ello traería a la seguridad pública.</w:t>
      </w:r>
    </w:p>
    <w:p w14:paraId="3A27C0A7" w14:textId="77777777" w:rsidR="001A58C6" w:rsidRPr="002C725E" w:rsidRDefault="001A58C6" w:rsidP="001A58C6">
      <w:pPr>
        <w:pStyle w:val="Texto"/>
        <w:ind w:left="1134" w:right="2034"/>
        <w:rPr>
          <w:rFonts w:eastAsiaTheme="minorEastAsia"/>
          <w:i/>
          <w:sz w:val="16"/>
          <w:szCs w:val="16"/>
          <w:lang w:val="es-MX"/>
        </w:rPr>
      </w:pPr>
    </w:p>
    <w:p w14:paraId="2216981E" w14:textId="77777777" w:rsidR="001A58C6" w:rsidRPr="002C725E" w:rsidRDefault="001A58C6" w:rsidP="001A58C6">
      <w:pPr>
        <w:pStyle w:val="Texto"/>
        <w:ind w:left="1134" w:right="2034"/>
        <w:rPr>
          <w:rFonts w:eastAsiaTheme="minorEastAsia"/>
          <w:i/>
          <w:sz w:val="16"/>
          <w:szCs w:val="16"/>
          <w:lang w:val="es-MX"/>
        </w:rPr>
      </w:pPr>
      <w:r w:rsidRPr="002C725E">
        <w:rPr>
          <w:rFonts w:eastAsiaTheme="minorEastAsia"/>
          <w:i/>
          <w:sz w:val="16"/>
          <w:szCs w:val="16"/>
          <w:lang w:val="es-MX"/>
        </w:rPr>
        <w:t>Además, el Pleno de la SCJN invalidó la resolución del INAI donde ordenó a la FGR la entrega de los nombres y cargos del personal administrativo adscrito a la Subprocuraduría Especializada en Investigación de Delincuencia Organizada (SEIDO), en virtud de que aun cuando dicho personal no realiza tareas sustantivas, sí tiene acceso a información relativa a ésta, como son operativos, turnos de asuntos, armamento, imputados y víctimas, entre otros.</w:t>
      </w:r>
    </w:p>
    <w:p w14:paraId="57D67B62" w14:textId="77777777" w:rsidR="001A58C6" w:rsidRPr="002C725E" w:rsidRDefault="001A58C6" w:rsidP="001A58C6">
      <w:pPr>
        <w:pStyle w:val="Texto"/>
        <w:ind w:left="1134" w:right="2034"/>
        <w:rPr>
          <w:rFonts w:eastAsiaTheme="minorEastAsia"/>
          <w:i/>
          <w:sz w:val="16"/>
          <w:szCs w:val="16"/>
          <w:lang w:val="es-MX"/>
        </w:rPr>
      </w:pPr>
    </w:p>
    <w:p w14:paraId="5A483930" w14:textId="77777777" w:rsidR="001A58C6" w:rsidRPr="002A72D6" w:rsidRDefault="001A58C6" w:rsidP="001A58C6">
      <w:pPr>
        <w:pStyle w:val="Texto"/>
        <w:spacing w:after="0" w:line="240" w:lineRule="auto"/>
        <w:ind w:left="1134" w:right="2034" w:firstLine="0"/>
        <w:rPr>
          <w:rFonts w:eastAsiaTheme="minorEastAsia"/>
          <w:i/>
          <w:sz w:val="16"/>
          <w:szCs w:val="16"/>
          <w:lang w:val="es-MX"/>
        </w:rPr>
      </w:pPr>
      <w:r w:rsidRPr="002C725E">
        <w:rPr>
          <w:rFonts w:eastAsiaTheme="minorEastAsia"/>
          <w:i/>
          <w:sz w:val="16"/>
          <w:szCs w:val="16"/>
          <w:lang w:val="es-MX"/>
        </w:rPr>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1FC6D76F" w14:textId="77777777" w:rsidR="001A58C6" w:rsidRDefault="001A58C6" w:rsidP="001A58C6">
      <w:pPr>
        <w:pStyle w:val="Texto"/>
        <w:spacing w:after="0" w:line="240" w:lineRule="auto"/>
        <w:ind w:left="1134" w:right="2034" w:firstLine="0"/>
        <w:rPr>
          <w:rFonts w:eastAsiaTheme="minorEastAsia"/>
          <w:i/>
          <w:sz w:val="24"/>
          <w:szCs w:val="24"/>
          <w:lang w:val="es-MX"/>
        </w:rPr>
      </w:pPr>
    </w:p>
    <w:p w14:paraId="2A436D81" w14:textId="77777777" w:rsidR="001A58C6" w:rsidRPr="000A3227" w:rsidRDefault="001A58C6" w:rsidP="001A58C6">
      <w:pPr>
        <w:pStyle w:val="Texto"/>
        <w:spacing w:after="0" w:line="240" w:lineRule="auto"/>
        <w:ind w:left="1134" w:right="2034" w:firstLine="0"/>
        <w:rPr>
          <w:rFonts w:eastAsiaTheme="minorEastAsia"/>
          <w:i/>
          <w:sz w:val="24"/>
          <w:szCs w:val="24"/>
          <w:lang w:val="es-MX"/>
        </w:rPr>
      </w:pPr>
    </w:p>
    <w:p w14:paraId="07A1F93C" w14:textId="77777777" w:rsidR="001A58C6" w:rsidRPr="001A58C6" w:rsidRDefault="001A58C6" w:rsidP="00B67C0A">
      <w:pPr>
        <w:spacing w:line="276" w:lineRule="auto"/>
        <w:jc w:val="both"/>
        <w:rPr>
          <w:rFonts w:ascii="Arial" w:hAnsi="Arial" w:cs="Arial"/>
          <w:lang w:val="es-ES"/>
        </w:rPr>
      </w:pPr>
    </w:p>
    <w:p w14:paraId="71B0975E" w14:textId="77777777" w:rsidR="001A58C6" w:rsidRPr="001A58C6" w:rsidRDefault="001A58C6" w:rsidP="001A58C6">
      <w:pPr>
        <w:spacing w:line="276" w:lineRule="auto"/>
        <w:jc w:val="both"/>
        <w:rPr>
          <w:rFonts w:ascii="Arial" w:hAnsi="Arial" w:cs="Arial"/>
          <w:b/>
          <w:lang w:val="es-ES"/>
        </w:rPr>
      </w:pPr>
      <w:r w:rsidRPr="001A58C6">
        <w:rPr>
          <w:rFonts w:ascii="Arial" w:hAnsi="Arial" w:cs="Arial"/>
          <w:b/>
          <w:lang w:val="es-ES"/>
        </w:rPr>
        <w:t>MOTIVACIÓN.</w:t>
      </w:r>
    </w:p>
    <w:p w14:paraId="1EABD661" w14:textId="77777777" w:rsidR="001A58C6" w:rsidRPr="001A58C6" w:rsidRDefault="001A58C6" w:rsidP="001A58C6">
      <w:pPr>
        <w:spacing w:line="276" w:lineRule="auto"/>
        <w:jc w:val="both"/>
        <w:rPr>
          <w:rFonts w:ascii="Arial" w:hAnsi="Arial" w:cs="Arial"/>
          <w:lang w:val="es-ES"/>
        </w:rPr>
      </w:pPr>
    </w:p>
    <w:p w14:paraId="414C0A00"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Ante la recepción de recurso de revisión RR-664/2021-3 que tiene como antecedente la solicitud de información registrada con el número UT-SI-278-00416221-2021022 y para estar en condiciones de dar atención a la misma, se acuerda una RESERVA TOTAL en relación a lo siguiente:</w:t>
      </w:r>
    </w:p>
    <w:p w14:paraId="1D2875C6" w14:textId="77777777" w:rsidR="001A58C6" w:rsidRPr="001A58C6" w:rsidRDefault="001A58C6" w:rsidP="001A58C6">
      <w:pPr>
        <w:spacing w:line="276" w:lineRule="auto"/>
        <w:jc w:val="both"/>
        <w:rPr>
          <w:rFonts w:ascii="Arial" w:hAnsi="Arial" w:cs="Arial"/>
          <w:lang w:val="es-ES"/>
        </w:rPr>
      </w:pPr>
    </w:p>
    <w:p w14:paraId="343AE341"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Se considera que el número total del estado de fuerza del personal con nombramiento de policía y la cantidad numérica de policías de investigación que contiene la Fiscalía Especializada en Derechos Humanos con estudios en esa materia, es información pública.</w:t>
      </w:r>
    </w:p>
    <w:p w14:paraId="23C73E61"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Esto es así, porque como lo refiere el artículo 17 bis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14:paraId="2DB0C557" w14:textId="77777777" w:rsidR="001A58C6" w:rsidRPr="001A58C6" w:rsidRDefault="001A58C6" w:rsidP="001A58C6">
      <w:pPr>
        <w:spacing w:line="276" w:lineRule="auto"/>
        <w:jc w:val="both"/>
        <w:rPr>
          <w:rFonts w:ascii="Arial" w:hAnsi="Arial" w:cs="Arial"/>
          <w:lang w:val="es-ES"/>
        </w:rPr>
      </w:pPr>
    </w:p>
    <w:p w14:paraId="718F53A0"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Por ello, la Ley de Transparencia y Acceso a la Información Pública, emitida en el Periódico Oficial del Estado el 9 de mayo del año 2016, reglamenta el ejercicio del derecho a la información pública y señala que debe considerarse Información pública y/o información pública de oficio: “la que es creada, administrada o en posesión de los sujetos obligados, exceptuando la clasificada como reservada o confidencial.”</w:t>
      </w:r>
    </w:p>
    <w:p w14:paraId="228803BC" w14:textId="77777777" w:rsidR="001A58C6" w:rsidRPr="001A58C6" w:rsidRDefault="001A58C6" w:rsidP="001A58C6">
      <w:pPr>
        <w:spacing w:line="276" w:lineRule="auto"/>
        <w:jc w:val="both"/>
        <w:rPr>
          <w:rFonts w:ascii="Arial" w:hAnsi="Arial" w:cs="Arial"/>
          <w:lang w:val="es-ES"/>
        </w:rPr>
      </w:pPr>
    </w:p>
    <w:p w14:paraId="5703F845"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14:paraId="4E585904" w14:textId="77777777" w:rsidR="001A58C6" w:rsidRPr="001A58C6" w:rsidRDefault="001A58C6" w:rsidP="001A58C6">
      <w:pPr>
        <w:spacing w:line="276" w:lineRule="auto"/>
        <w:jc w:val="both"/>
        <w:rPr>
          <w:rFonts w:ascii="Arial" w:hAnsi="Arial" w:cs="Arial"/>
          <w:lang w:val="es-ES"/>
        </w:rPr>
      </w:pPr>
    </w:p>
    <w:p w14:paraId="2E5BC226"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 xml:space="preserve">Así, la misma ley de Transparencia y Acceso a la Información Pública precisa el momento en que puede clasificarse la información como reservada en el artículo 120, fracción I.  </w:t>
      </w:r>
    </w:p>
    <w:p w14:paraId="11340187" w14:textId="77777777" w:rsidR="001A58C6" w:rsidRPr="001A58C6" w:rsidRDefault="001A58C6" w:rsidP="001A58C6">
      <w:pPr>
        <w:spacing w:line="276" w:lineRule="auto"/>
        <w:jc w:val="both"/>
        <w:rPr>
          <w:rFonts w:ascii="Arial" w:hAnsi="Arial" w:cs="Arial"/>
          <w:lang w:val="es-ES"/>
        </w:rPr>
      </w:pPr>
    </w:p>
    <w:p w14:paraId="132B43BB"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En el caso que nos ocupa, y en referencia a recurso de revisión RR-664/2021-3, se considera que se está ante información cuya publicación puede comprometer, por un lado, la seguridad y vida de los servidores públicos operativos y por el otro la conducción jurídica de la investigación y el ejercicio de la acción penal respecto de los delitos de su competencia, esto último como función imperante en esta institución.</w:t>
      </w:r>
    </w:p>
    <w:p w14:paraId="7DD20C6F" w14:textId="77777777" w:rsidR="001A58C6" w:rsidRPr="001A58C6" w:rsidRDefault="001A58C6" w:rsidP="001A58C6">
      <w:pPr>
        <w:spacing w:line="276" w:lineRule="auto"/>
        <w:jc w:val="both"/>
        <w:rPr>
          <w:rFonts w:ascii="Arial" w:hAnsi="Arial" w:cs="Arial"/>
          <w:lang w:val="es-ES"/>
        </w:rPr>
      </w:pPr>
    </w:p>
    <w:p w14:paraId="7E3404AB" w14:textId="7D1CDA4F" w:rsidR="001A58C6" w:rsidRPr="001A58C6" w:rsidRDefault="001A58C6" w:rsidP="001A58C6">
      <w:pPr>
        <w:spacing w:line="276" w:lineRule="auto"/>
        <w:jc w:val="both"/>
        <w:rPr>
          <w:rFonts w:ascii="Arial" w:hAnsi="Arial" w:cs="Arial"/>
          <w:lang w:val="es-ES"/>
        </w:rPr>
      </w:pPr>
      <w:r w:rsidRPr="001A58C6">
        <w:rPr>
          <w:rFonts w:ascii="Arial" w:hAnsi="Arial" w:cs="Arial"/>
          <w:lang w:val="es-ES"/>
        </w:rPr>
        <w:t xml:space="preserve">Asimismo, en el caso concreto de la información pública del el número total del estado de fuerza del personal con nombramiento de policía y la cantidad numérica de policías de investigación que contiene la Fiscalía Especializada en Derechos Humanos con estudios en esa materia, es procedente puesto que el dar a conocer esta información, permite vincular de forma directa la cantidad de personal operativo de seguridad y custodia, concretamente el personal con nombramiento de policías, con que cuenta la Fiscalía, dejando además en un grave estado de vulnerabilidad a la institución debido a que sería fácilmente determinar la capacidad de reacción de la corporación ante hechos delictivos y la delincuencia organizada, esto debido  a que con antelación se atendió su solicitud informando que se contaba con el cincuenta por ciento del total de los elementos asignados a la Fiscalía de su interés, con capacitación en materia de Derechos Humanos, por lo que resulta fácil la deducción del </w:t>
      </w:r>
      <w:r w:rsidR="00757C0B" w:rsidRPr="001A58C6">
        <w:rPr>
          <w:rFonts w:ascii="Arial" w:hAnsi="Arial" w:cs="Arial"/>
          <w:lang w:val="es-ES"/>
        </w:rPr>
        <w:t>número</w:t>
      </w:r>
      <w:r w:rsidRPr="001A58C6">
        <w:rPr>
          <w:rFonts w:ascii="Arial" w:hAnsi="Arial" w:cs="Arial"/>
          <w:lang w:val="es-ES"/>
        </w:rPr>
        <w:t xml:space="preserve"> que integra, en este caso, la Fiscalía Especializada en Materia de Derechos Humanos, esto además de haber una obstrucción en la persecución de delitos, la vulnerabilidad de la vida de los elementos y la misma seguridad del Estado, por lo que es importante la reserva de la información referente a el número total de los elementos con nombramiento de Policía, y la cantidad numérica de policías de investigación que contiene la Fiscalía Especializada en Derechos Humanos con estudios en esa materia.</w:t>
      </w:r>
    </w:p>
    <w:p w14:paraId="2CA40830" w14:textId="77777777" w:rsidR="001A58C6" w:rsidRPr="001A58C6" w:rsidRDefault="001A58C6" w:rsidP="001A58C6">
      <w:pPr>
        <w:spacing w:line="276" w:lineRule="auto"/>
        <w:jc w:val="both"/>
        <w:rPr>
          <w:rFonts w:ascii="Arial" w:hAnsi="Arial" w:cs="Arial"/>
          <w:lang w:val="es-ES"/>
        </w:rPr>
      </w:pPr>
    </w:p>
    <w:p w14:paraId="060AA6A1"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 xml:space="preserve">Por lo que con fundamento en lo dispuesto por el artículo 129, fracción I, IV, VI, XI y XII de la Ley de Transparencia y Acceso a la Información pública se considera debidamente fundado y motivado reservar la información referente a el número total del estado de fuerza del personal con nombramiento de policía y la cantidad numérica de policías de investigación que contiene la Fiscalía Especializada en Derechos Humanos con estudios en esa materia. </w:t>
      </w:r>
    </w:p>
    <w:p w14:paraId="61A72243" w14:textId="77777777" w:rsidR="001A58C6" w:rsidRPr="001A58C6" w:rsidRDefault="001A58C6" w:rsidP="001A58C6">
      <w:pPr>
        <w:spacing w:line="276" w:lineRule="auto"/>
        <w:jc w:val="both"/>
        <w:rPr>
          <w:rFonts w:ascii="Arial" w:hAnsi="Arial" w:cs="Arial"/>
          <w:lang w:val="es-ES"/>
        </w:rPr>
      </w:pPr>
    </w:p>
    <w:p w14:paraId="63DA51E2" w14:textId="77777777" w:rsidR="001A58C6" w:rsidRPr="001A58C6" w:rsidRDefault="001A58C6" w:rsidP="001A58C6">
      <w:pPr>
        <w:spacing w:line="276" w:lineRule="auto"/>
        <w:jc w:val="both"/>
        <w:rPr>
          <w:rFonts w:ascii="Arial" w:hAnsi="Arial" w:cs="Arial"/>
          <w:lang w:val="es-ES"/>
        </w:rPr>
      </w:pPr>
      <w:r w:rsidRPr="001A58C6">
        <w:rPr>
          <w:rFonts w:ascii="Arial" w:hAnsi="Arial" w:cs="Arial"/>
          <w:lang w:val="es-ES"/>
        </w:rPr>
        <w:t xml:space="preserve">Así mismo, por disposición legal contenida en el Código Nacional de Procedimientos Penales, decretado por el Congreso de la Unión, claramente establece que se considera información reservada los registros de investigación y todo lo que le esté relacionado, por lo que el número total del estado de fuerza del personal con nombramiento de policía y la cantidad numérica de policías de investigación que contiene la Fiscalía Especializada en Derechos Humanos con estudios en esa materia, está vinculado a los registros de investigación, dado que son los policías quienes directamente realizan las investigaciones sobre hechos que pueden constituir delitos, informan sobre los hechos que se le encomiendan, comparecen ante Autoridades Judiciales que los requieren, y cumplimentan mandamientos judiciales. </w:t>
      </w:r>
    </w:p>
    <w:p w14:paraId="70C01E3C" w14:textId="69A97C66" w:rsidR="001A58C6" w:rsidRPr="001A58C6" w:rsidRDefault="001A58C6" w:rsidP="001A58C6">
      <w:pPr>
        <w:spacing w:line="276" w:lineRule="auto"/>
        <w:jc w:val="both"/>
        <w:rPr>
          <w:rFonts w:ascii="Arial" w:hAnsi="Arial" w:cs="Arial"/>
          <w:lang w:val="es-ES"/>
        </w:rPr>
      </w:pPr>
      <w:r w:rsidRPr="001A58C6">
        <w:rPr>
          <w:rFonts w:ascii="Arial" w:hAnsi="Arial" w:cs="Arial"/>
          <w:lang w:val="es-ES"/>
        </w:rPr>
        <w:t>Por su Suprema Corte de Justicia emitió una resolución en la que invalida la entrega de información del personal que realiza tareas sustantivas de investigación y persecución de delitos</w:t>
      </w:r>
      <w:r>
        <w:rPr>
          <w:rFonts w:ascii="Arial" w:hAnsi="Arial" w:cs="Arial"/>
          <w:lang w:val="es-ES"/>
        </w:rPr>
        <w:t>, lo cual sirve de precedente para salvaguardar la vida, seguridad y salud de los Policías adscritos a cierta área  ya que al brindar información que puede ir relacionándose vulnera la seguridad de los elementos pues la delincuencia cuenta con mayores elementos de identificación, y conoce entonces la capacidad de reacción de la Institución lo que pone en grave riesgo a la seguridad pública, causando un daño de imposible reparación.</w:t>
      </w:r>
      <w:r w:rsidRPr="001A58C6">
        <w:rPr>
          <w:rFonts w:ascii="Arial" w:hAnsi="Arial" w:cs="Arial"/>
          <w:lang w:val="es-ES"/>
        </w:rPr>
        <w:t xml:space="preserve">. </w:t>
      </w:r>
    </w:p>
    <w:p w14:paraId="6BE32C0A" w14:textId="77777777" w:rsidR="001A58C6" w:rsidRPr="001A58C6" w:rsidRDefault="001A58C6" w:rsidP="00B67C0A">
      <w:pPr>
        <w:spacing w:line="276" w:lineRule="auto"/>
        <w:jc w:val="both"/>
        <w:rPr>
          <w:rFonts w:ascii="Arial" w:hAnsi="Arial" w:cs="Arial"/>
          <w:lang w:val="es-ES"/>
        </w:rPr>
      </w:pPr>
    </w:p>
    <w:p w14:paraId="7BD56008" w14:textId="7B76699B" w:rsidR="007D6D72" w:rsidRPr="00C906D0" w:rsidRDefault="007D6D72" w:rsidP="001F7332">
      <w:pPr>
        <w:spacing w:line="276" w:lineRule="auto"/>
        <w:jc w:val="both"/>
        <w:rPr>
          <w:rFonts w:ascii="Arial" w:hAnsi="Arial" w:cs="Arial"/>
          <w:b/>
          <w:lang w:val="es-MX"/>
        </w:rPr>
      </w:pPr>
      <w:r w:rsidRPr="00C906D0">
        <w:rPr>
          <w:rFonts w:ascii="Arial" w:hAnsi="Arial" w:cs="Arial"/>
          <w:b/>
          <w:lang w:val="es-MX"/>
        </w:rPr>
        <w:t>III.</w:t>
      </w:r>
      <w:r w:rsidRPr="00C906D0">
        <w:rPr>
          <w:rFonts w:ascii="Arial" w:hAnsi="Arial" w:cs="Arial"/>
          <w:b/>
          <w:lang w:val="es-MX"/>
        </w:rPr>
        <w:tab/>
        <w:t>El documento, la parte o las partes de los mismos, que se reservan.</w:t>
      </w:r>
    </w:p>
    <w:p w14:paraId="5479A575" w14:textId="255EA4A1" w:rsidR="005F1893" w:rsidRPr="00C906D0" w:rsidRDefault="001A58C6" w:rsidP="00804391">
      <w:pPr>
        <w:autoSpaceDE w:val="0"/>
        <w:autoSpaceDN w:val="0"/>
        <w:adjustRightInd w:val="0"/>
        <w:jc w:val="both"/>
        <w:rPr>
          <w:rFonts w:ascii="Arial" w:hAnsi="Arial" w:cs="Arial"/>
        </w:rPr>
      </w:pPr>
      <w:r w:rsidRPr="001A58C6">
        <w:rPr>
          <w:rFonts w:ascii="Arial" w:hAnsi="Arial" w:cs="Arial"/>
        </w:rPr>
        <w:t>De la información pública que señala el número total del estado de fuerza del personal con nombramiento de policía y la cantidad numérica de policías de investigación que contiene la Fiscalía Especializada en Derechos Humanos con estudios en esa materia.</w:t>
      </w:r>
      <w:r w:rsidR="005F1893" w:rsidRPr="00C906D0">
        <w:rPr>
          <w:rFonts w:ascii="Arial" w:hAnsi="Arial" w:cs="Arial"/>
        </w:rPr>
        <w:t xml:space="preserve"> </w:t>
      </w:r>
    </w:p>
    <w:p w14:paraId="59CD6254" w14:textId="77777777" w:rsidR="005F1893" w:rsidRPr="00C906D0" w:rsidRDefault="005F1893" w:rsidP="005F1893">
      <w:pPr>
        <w:autoSpaceDE w:val="0"/>
        <w:autoSpaceDN w:val="0"/>
        <w:adjustRightInd w:val="0"/>
        <w:ind w:firstLine="360"/>
        <w:jc w:val="both"/>
        <w:rPr>
          <w:rFonts w:ascii="Arial" w:hAnsi="Arial" w:cs="Arial"/>
        </w:rPr>
      </w:pPr>
    </w:p>
    <w:p w14:paraId="3E85B709" w14:textId="77777777" w:rsidR="003A0D63" w:rsidRPr="001A58C6" w:rsidRDefault="003A0D63" w:rsidP="00B66D2F">
      <w:pPr>
        <w:pStyle w:val="Default"/>
        <w:spacing w:line="276" w:lineRule="auto"/>
        <w:ind w:left="720"/>
        <w:jc w:val="both"/>
        <w:rPr>
          <w:lang w:val="es-ES_tradnl"/>
        </w:rPr>
      </w:pPr>
    </w:p>
    <w:p w14:paraId="4E817D4E" w14:textId="5999622C"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IV. El plazo por el que se reserva la información:</w:t>
      </w:r>
    </w:p>
    <w:p w14:paraId="148E0B6D" w14:textId="77777777" w:rsidR="005F1893" w:rsidRPr="00C906D0" w:rsidRDefault="005F1893" w:rsidP="00804391">
      <w:pPr>
        <w:autoSpaceDE w:val="0"/>
        <w:autoSpaceDN w:val="0"/>
        <w:adjustRightInd w:val="0"/>
        <w:jc w:val="both"/>
        <w:rPr>
          <w:rFonts w:ascii="Arial" w:hAnsi="Arial" w:cs="Arial"/>
        </w:rPr>
      </w:pPr>
      <w:r w:rsidRPr="00C906D0">
        <w:rPr>
          <w:rFonts w:ascii="Arial" w:hAnsi="Arial" w:cs="Arial"/>
        </w:rPr>
        <w:t>Se podrá dar acceso a la información reservada, en el momento de la emisión de la resolución definitiva que causa estado, como acto decisorio donde se plasma el contenido de las reflexiones y criterios del órgano colegiado en su plenitud, en congruencia con el cúmulo de constancias procesales, y no necesariamente con actos de mera propuesta.</w:t>
      </w:r>
    </w:p>
    <w:p w14:paraId="28590035" w14:textId="77777777" w:rsidR="005F1893" w:rsidRPr="00C906D0" w:rsidRDefault="005F1893" w:rsidP="005F1893">
      <w:pPr>
        <w:autoSpaceDE w:val="0"/>
        <w:autoSpaceDN w:val="0"/>
        <w:adjustRightInd w:val="0"/>
        <w:ind w:firstLine="708"/>
        <w:jc w:val="both"/>
        <w:rPr>
          <w:rFonts w:ascii="Arial" w:hAnsi="Arial" w:cs="Arial"/>
        </w:rPr>
      </w:pPr>
    </w:p>
    <w:p w14:paraId="7969C026" w14:textId="77777777" w:rsidR="005F1893" w:rsidRPr="00C906D0" w:rsidRDefault="005F1893" w:rsidP="00804391">
      <w:pPr>
        <w:autoSpaceDE w:val="0"/>
        <w:autoSpaceDN w:val="0"/>
        <w:adjustRightInd w:val="0"/>
        <w:jc w:val="both"/>
        <w:rPr>
          <w:rFonts w:ascii="Arial" w:hAnsi="Arial" w:cs="Arial"/>
        </w:rPr>
      </w:pPr>
      <w:r w:rsidRPr="00C906D0">
        <w:rPr>
          <w:rFonts w:ascii="Arial" w:hAnsi="Arial" w:cs="Arial"/>
        </w:rPr>
        <w:t>Por lo que, su naturaleza no permite señalar o fijar un periodo concreto, toda vez que será pública, una vez que causé estado la resolución que se llegué a emitir, circunstancia que no puede establecerse con precisión.</w:t>
      </w:r>
    </w:p>
    <w:p w14:paraId="6EB9B83B" w14:textId="77777777" w:rsidR="00095DC5" w:rsidRPr="00C906D0" w:rsidRDefault="00095DC5" w:rsidP="00804391">
      <w:pPr>
        <w:autoSpaceDE w:val="0"/>
        <w:autoSpaceDN w:val="0"/>
        <w:adjustRightInd w:val="0"/>
        <w:jc w:val="both"/>
        <w:rPr>
          <w:rFonts w:ascii="Arial" w:hAnsi="Arial" w:cs="Arial"/>
        </w:rPr>
      </w:pPr>
    </w:p>
    <w:p w14:paraId="5F9556AE" w14:textId="2D384935" w:rsidR="005F1893" w:rsidRPr="00C906D0" w:rsidRDefault="005F1893" w:rsidP="00804391">
      <w:pPr>
        <w:autoSpaceDE w:val="0"/>
        <w:autoSpaceDN w:val="0"/>
        <w:adjustRightInd w:val="0"/>
        <w:jc w:val="both"/>
        <w:rPr>
          <w:rFonts w:ascii="Arial" w:hAnsi="Arial" w:cs="Arial"/>
        </w:rPr>
      </w:pPr>
      <w:r w:rsidRPr="00C906D0">
        <w:rPr>
          <w:rFonts w:ascii="Arial" w:hAnsi="Arial" w:cs="Arial"/>
        </w:rPr>
        <w:t xml:space="preserve">Dicho lo anterior, acorde a lo dispuesto por el artículo 115, antepenúltimo párrafo de la Ley de Transparencia del Estado el plazo por el que se acuerda la reserva </w:t>
      </w:r>
      <w:r w:rsidR="001456F5">
        <w:rPr>
          <w:rFonts w:ascii="Arial" w:hAnsi="Arial" w:cs="Arial"/>
        </w:rPr>
        <w:t>total</w:t>
      </w:r>
      <w:r w:rsidRPr="00C906D0">
        <w:rPr>
          <w:rFonts w:ascii="Arial" w:hAnsi="Arial" w:cs="Arial"/>
        </w:rPr>
        <w:t xml:space="preserve"> es por cinco años contados a partir del </w:t>
      </w:r>
      <w:r w:rsidR="001A58C6">
        <w:rPr>
          <w:rFonts w:ascii="Arial" w:hAnsi="Arial" w:cs="Arial"/>
          <w:b/>
        </w:rPr>
        <w:t>día 06 de diciembre</w:t>
      </w:r>
      <w:r w:rsidR="001A58C6" w:rsidRPr="001A58C6">
        <w:rPr>
          <w:rFonts w:ascii="Arial" w:hAnsi="Arial" w:cs="Arial"/>
          <w:b/>
        </w:rPr>
        <w:t xml:space="preserve"> 2022 </w:t>
      </w:r>
      <w:r w:rsidR="001A58C6">
        <w:rPr>
          <w:rFonts w:ascii="Arial" w:hAnsi="Arial" w:cs="Arial"/>
          <w:b/>
        </w:rPr>
        <w:t>y concluye el 06 de diciembre</w:t>
      </w:r>
      <w:r w:rsidR="001A58C6" w:rsidRPr="001A58C6">
        <w:rPr>
          <w:rFonts w:ascii="Arial" w:hAnsi="Arial" w:cs="Arial"/>
          <w:b/>
        </w:rPr>
        <w:t xml:space="preserve"> 2027</w:t>
      </w:r>
      <w:r w:rsidRPr="00C906D0">
        <w:rPr>
          <w:rFonts w:ascii="Arial" w:hAnsi="Arial" w:cs="Arial"/>
        </w:rPr>
        <w:t>y podrá reservarse por cinco años más, previa solicitud formulada por la autoridad generadora de la información.</w:t>
      </w:r>
    </w:p>
    <w:p w14:paraId="2ACBAFE9" w14:textId="77777777" w:rsidR="003A0D63" w:rsidRDefault="003A0D63" w:rsidP="001F7332">
      <w:pPr>
        <w:spacing w:line="276" w:lineRule="auto"/>
        <w:jc w:val="both"/>
        <w:rPr>
          <w:rFonts w:ascii="Arial" w:hAnsi="Arial" w:cs="Arial"/>
        </w:rPr>
      </w:pPr>
    </w:p>
    <w:p w14:paraId="1385B047" w14:textId="77777777" w:rsidR="00C906D0" w:rsidRPr="00C906D0" w:rsidRDefault="00C906D0" w:rsidP="001F7332">
      <w:pPr>
        <w:spacing w:line="276" w:lineRule="auto"/>
        <w:jc w:val="both"/>
        <w:rPr>
          <w:rFonts w:ascii="Arial" w:hAnsi="Arial" w:cs="Arial"/>
        </w:rPr>
      </w:pPr>
    </w:p>
    <w:p w14:paraId="2E33D8F0" w14:textId="77777777"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V. La designación de la autoridad responsable de su protección:</w:t>
      </w:r>
    </w:p>
    <w:p w14:paraId="0D17DDDB" w14:textId="77777777" w:rsidR="001A58C6" w:rsidRPr="001A58C6" w:rsidRDefault="001A58C6" w:rsidP="001A58C6">
      <w:pPr>
        <w:rPr>
          <w:rFonts w:ascii="Arial" w:hAnsi="Arial" w:cs="Arial"/>
        </w:rPr>
      </w:pPr>
      <w:r w:rsidRPr="001A58C6">
        <w:rPr>
          <w:rFonts w:ascii="Arial" w:hAnsi="Arial" w:cs="Arial"/>
        </w:rPr>
        <w:t>Es responsable de su Protección la Dirección de Recursos Humanos de la Dirección General de Administración.</w:t>
      </w:r>
    </w:p>
    <w:p w14:paraId="47CFE32C" w14:textId="77777777"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VI. Número de identificación del acuerdo de reserva;</w:t>
      </w:r>
    </w:p>
    <w:p w14:paraId="0C37AAD2" w14:textId="70C9B245" w:rsidR="004F640E" w:rsidRPr="00C906D0" w:rsidRDefault="00D843EF" w:rsidP="001F7332">
      <w:pPr>
        <w:spacing w:line="276" w:lineRule="auto"/>
        <w:jc w:val="both"/>
        <w:rPr>
          <w:rFonts w:ascii="Arial" w:hAnsi="Arial" w:cs="Arial"/>
          <w:b/>
          <w:lang w:val="es-MX"/>
        </w:rPr>
      </w:pPr>
      <w:r w:rsidRPr="00C906D0">
        <w:rPr>
          <w:rFonts w:ascii="Arial" w:hAnsi="Arial" w:cs="Arial"/>
          <w:lang w:val="es-MX"/>
        </w:rPr>
        <w:t>Respecto a la fracción VI d</w:t>
      </w:r>
      <w:r w:rsidR="004F640E" w:rsidRPr="00C906D0">
        <w:rPr>
          <w:rFonts w:ascii="Arial" w:hAnsi="Arial" w:cs="Arial"/>
          <w:lang w:val="es-MX"/>
        </w:rPr>
        <w:t xml:space="preserve">el artículo 128 de la </w:t>
      </w:r>
      <w:r w:rsidR="00E01F09" w:rsidRPr="00C906D0">
        <w:rPr>
          <w:rFonts w:ascii="Arial" w:hAnsi="Arial" w:cs="Arial"/>
          <w:lang w:val="es-MX"/>
        </w:rPr>
        <w:t>–LTAIPSLP-</w:t>
      </w:r>
      <w:r w:rsidR="004F640E" w:rsidRPr="00C906D0">
        <w:rPr>
          <w:rFonts w:ascii="Arial" w:hAnsi="Arial" w:cs="Arial"/>
          <w:lang w:val="es-MX"/>
        </w:rPr>
        <w:t>, se encuent</w:t>
      </w:r>
      <w:r w:rsidRPr="00C906D0">
        <w:rPr>
          <w:rFonts w:ascii="Arial" w:hAnsi="Arial" w:cs="Arial"/>
          <w:lang w:val="es-MX"/>
        </w:rPr>
        <w:t>ra debidamente identificado el A</w:t>
      </w:r>
      <w:r w:rsidR="004F640E" w:rsidRPr="00C906D0">
        <w:rPr>
          <w:rFonts w:ascii="Arial" w:hAnsi="Arial" w:cs="Arial"/>
          <w:lang w:val="es-MX"/>
        </w:rPr>
        <w:t xml:space="preserve">cuerdo de Reserva </w:t>
      </w:r>
      <w:r w:rsidR="001A58C6">
        <w:rPr>
          <w:rFonts w:ascii="Arial" w:hAnsi="Arial" w:cs="Arial"/>
          <w:lang w:val="es-MX"/>
        </w:rPr>
        <w:t>total</w:t>
      </w:r>
      <w:r w:rsidR="004F640E" w:rsidRPr="00C906D0">
        <w:rPr>
          <w:rFonts w:ascii="Arial" w:hAnsi="Arial" w:cs="Arial"/>
          <w:lang w:val="es-MX"/>
        </w:rPr>
        <w:t xml:space="preserve"> con el número </w:t>
      </w:r>
      <w:r w:rsidR="001A58C6">
        <w:rPr>
          <w:rFonts w:ascii="Arial" w:hAnsi="Arial" w:cs="Arial"/>
          <w:b/>
          <w:lang w:val="es-MX"/>
        </w:rPr>
        <w:t>AR/36/2022</w:t>
      </w:r>
      <w:r w:rsidR="00D14C84" w:rsidRPr="00C906D0">
        <w:rPr>
          <w:rFonts w:ascii="Arial" w:hAnsi="Arial" w:cs="Arial"/>
          <w:b/>
          <w:lang w:val="es-MX"/>
        </w:rPr>
        <w:t xml:space="preserve"> </w:t>
      </w:r>
      <w:r w:rsidR="00E716B5" w:rsidRPr="00C906D0">
        <w:rPr>
          <w:rFonts w:ascii="Arial" w:hAnsi="Arial" w:cs="Arial"/>
          <w:lang w:val="es-MX"/>
        </w:rPr>
        <w:t>ante el área que</w:t>
      </w:r>
      <w:r w:rsidR="006214A7" w:rsidRPr="00C906D0">
        <w:rPr>
          <w:rFonts w:ascii="Arial" w:hAnsi="Arial" w:cs="Arial"/>
          <w:lang w:val="es-MX"/>
        </w:rPr>
        <w:t xml:space="preserve"> </w:t>
      </w:r>
      <w:r w:rsidR="00E716B5" w:rsidRPr="00C906D0">
        <w:rPr>
          <w:rFonts w:ascii="Arial" w:hAnsi="Arial" w:cs="Arial"/>
          <w:lang w:val="es-MX"/>
        </w:rPr>
        <w:t>lo emite</w:t>
      </w:r>
      <w:r w:rsidR="00622506" w:rsidRPr="00C906D0">
        <w:rPr>
          <w:rFonts w:ascii="Arial" w:hAnsi="Arial" w:cs="Arial"/>
          <w:lang w:val="es-MX"/>
        </w:rPr>
        <w:t xml:space="preserve">. </w:t>
      </w:r>
    </w:p>
    <w:p w14:paraId="18D61781" w14:textId="77777777" w:rsidR="00C70971" w:rsidRDefault="00C70971" w:rsidP="001F7332">
      <w:pPr>
        <w:spacing w:line="276" w:lineRule="auto"/>
        <w:jc w:val="both"/>
        <w:rPr>
          <w:rFonts w:ascii="Arial" w:hAnsi="Arial" w:cs="Arial"/>
          <w:lang w:val="es-MX"/>
        </w:rPr>
      </w:pPr>
    </w:p>
    <w:p w14:paraId="440C0994" w14:textId="77777777" w:rsidR="00C906D0" w:rsidRPr="00C906D0" w:rsidRDefault="00C906D0" w:rsidP="001F7332">
      <w:pPr>
        <w:spacing w:line="276" w:lineRule="auto"/>
        <w:jc w:val="both"/>
        <w:rPr>
          <w:rFonts w:ascii="Arial" w:hAnsi="Arial" w:cs="Arial"/>
          <w:lang w:val="es-MX"/>
        </w:rPr>
      </w:pPr>
    </w:p>
    <w:p w14:paraId="10D0D2BB" w14:textId="77777777"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VII. La aplicación de la prueba del daño;</w:t>
      </w:r>
    </w:p>
    <w:p w14:paraId="0FFB14BA" w14:textId="038B6359" w:rsidR="004F640E" w:rsidRPr="00C906D0" w:rsidRDefault="004F640E" w:rsidP="001F7332">
      <w:pPr>
        <w:spacing w:line="276" w:lineRule="auto"/>
        <w:jc w:val="both"/>
        <w:rPr>
          <w:rFonts w:ascii="Arial" w:hAnsi="Arial" w:cs="Arial"/>
          <w:lang w:val="es-MX"/>
        </w:rPr>
      </w:pPr>
      <w:r w:rsidRPr="00C906D0">
        <w:rPr>
          <w:rFonts w:ascii="Arial" w:hAnsi="Arial" w:cs="Arial"/>
          <w:lang w:val="es-MX"/>
        </w:rPr>
        <w:t xml:space="preserve">En cuanto a la fracción VII del artículo 128 de la </w:t>
      </w:r>
      <w:r w:rsidR="00E01F09" w:rsidRPr="00C906D0">
        <w:rPr>
          <w:rFonts w:ascii="Arial" w:hAnsi="Arial" w:cs="Arial"/>
          <w:lang w:val="es-MX"/>
        </w:rPr>
        <w:t>–LTAIPSLP-</w:t>
      </w:r>
      <w:r w:rsidRPr="00C906D0">
        <w:rPr>
          <w:rFonts w:ascii="Arial" w:hAnsi="Arial" w:cs="Arial"/>
          <w:lang w:val="es-MX"/>
        </w:rPr>
        <w:t xml:space="preserve"> se considera que realizó la prueba de daño, adminiculándolo con lo establecido </w:t>
      </w:r>
      <w:r w:rsidR="006F6DCF" w:rsidRPr="00C906D0">
        <w:rPr>
          <w:rFonts w:ascii="Arial" w:hAnsi="Arial" w:cs="Arial"/>
          <w:lang w:val="es-MX"/>
        </w:rPr>
        <w:t>en la</w:t>
      </w:r>
      <w:r w:rsidRPr="00C906D0">
        <w:rPr>
          <w:rFonts w:ascii="Arial" w:hAnsi="Arial" w:cs="Arial"/>
          <w:lang w:val="es-MX"/>
        </w:rPr>
        <w:t xml:space="preserve"> fracci</w:t>
      </w:r>
      <w:r w:rsidR="006F6DCF" w:rsidRPr="00C906D0">
        <w:rPr>
          <w:rFonts w:ascii="Arial" w:hAnsi="Arial" w:cs="Arial"/>
          <w:lang w:val="es-MX"/>
        </w:rPr>
        <w:t>ón</w:t>
      </w:r>
      <w:r w:rsidR="000316F8" w:rsidRPr="00C906D0">
        <w:rPr>
          <w:rFonts w:ascii="Arial" w:hAnsi="Arial" w:cs="Arial"/>
          <w:lang w:val="es-MX"/>
        </w:rPr>
        <w:t>,</w:t>
      </w:r>
      <w:r w:rsidRPr="00C906D0">
        <w:rPr>
          <w:rFonts w:ascii="Arial" w:hAnsi="Arial" w:cs="Arial"/>
          <w:lang w:val="es-MX"/>
        </w:rPr>
        <w:t xml:space="preserve"> </w:t>
      </w:r>
      <w:r w:rsidR="00340F4C" w:rsidRPr="00C906D0">
        <w:rPr>
          <w:rFonts w:ascii="Arial" w:hAnsi="Arial" w:cs="Arial"/>
          <w:lang w:val="es-MX"/>
        </w:rPr>
        <w:t>XII</w:t>
      </w:r>
      <w:r w:rsidRPr="00C906D0">
        <w:rPr>
          <w:rFonts w:ascii="Arial" w:hAnsi="Arial" w:cs="Arial"/>
          <w:lang w:val="es-MX"/>
        </w:rPr>
        <w:t xml:space="preserve"> del artículo 129, y a lo señalado por el artículo 118 de la Ley en cita haciendo un análisis de caso por caso como se precisa a continuación:</w:t>
      </w:r>
    </w:p>
    <w:p w14:paraId="12A2D5AF" w14:textId="77777777" w:rsidR="00D07876" w:rsidRPr="00C906D0" w:rsidRDefault="00D07876" w:rsidP="001F7332">
      <w:pPr>
        <w:spacing w:line="276" w:lineRule="auto"/>
        <w:jc w:val="both"/>
        <w:rPr>
          <w:rFonts w:ascii="Arial" w:hAnsi="Arial" w:cs="Arial"/>
          <w:lang w:val="es-MX"/>
        </w:rPr>
      </w:pPr>
    </w:p>
    <w:p w14:paraId="55ACCBB6" w14:textId="5410B8BF" w:rsidR="004F640E" w:rsidRPr="00C906D0" w:rsidRDefault="004F640E" w:rsidP="001F7332">
      <w:pPr>
        <w:spacing w:line="276" w:lineRule="auto"/>
        <w:jc w:val="both"/>
        <w:rPr>
          <w:rFonts w:ascii="Arial" w:hAnsi="Arial" w:cs="Arial"/>
          <w:lang w:val="es-MX"/>
        </w:rPr>
      </w:pPr>
      <w:r w:rsidRPr="00C906D0">
        <w:rPr>
          <w:rFonts w:ascii="Arial" w:hAnsi="Arial" w:cs="Arial"/>
          <w:lang w:val="es-MX"/>
        </w:rPr>
        <w:t>ARTÍCULO 118. En la aplicación de la prueba de daño, el sujeto obligado deberá justificar que:</w:t>
      </w:r>
    </w:p>
    <w:p w14:paraId="610FDC08" w14:textId="32C83BDC" w:rsidR="004F640E" w:rsidRPr="00C906D0" w:rsidRDefault="004F640E" w:rsidP="001F7332">
      <w:pPr>
        <w:spacing w:line="276" w:lineRule="auto"/>
        <w:jc w:val="both"/>
        <w:rPr>
          <w:rFonts w:ascii="Arial" w:hAnsi="Arial" w:cs="Arial"/>
          <w:lang w:val="es-MX"/>
        </w:rPr>
      </w:pPr>
      <w:r w:rsidRPr="00C906D0">
        <w:rPr>
          <w:rFonts w:ascii="Arial" w:hAnsi="Arial" w:cs="Arial"/>
          <w:b/>
          <w:lang w:val="es-MX"/>
        </w:rPr>
        <w:t>I.</w:t>
      </w:r>
      <w:r w:rsidRPr="00C906D0">
        <w:rPr>
          <w:rFonts w:ascii="Arial" w:hAnsi="Arial" w:cs="Arial"/>
          <w:lang w:val="es-MX"/>
        </w:rPr>
        <w:t xml:space="preserve"> La divulgación de la información representa un riesgo real, demostrable e identificable de perjuicio significativo al interés público;</w:t>
      </w:r>
    </w:p>
    <w:p w14:paraId="387913B8" w14:textId="37441509" w:rsidR="004F640E" w:rsidRPr="00C906D0" w:rsidRDefault="004F640E" w:rsidP="001F7332">
      <w:pPr>
        <w:spacing w:line="276" w:lineRule="auto"/>
        <w:jc w:val="both"/>
        <w:rPr>
          <w:rFonts w:ascii="Arial" w:hAnsi="Arial" w:cs="Arial"/>
          <w:lang w:val="es-MX"/>
        </w:rPr>
      </w:pPr>
      <w:r w:rsidRPr="00C906D0">
        <w:rPr>
          <w:rFonts w:ascii="Arial" w:hAnsi="Arial" w:cs="Arial"/>
          <w:b/>
          <w:lang w:val="es-MX"/>
        </w:rPr>
        <w:t>II.</w:t>
      </w:r>
      <w:r w:rsidRPr="00C906D0">
        <w:rPr>
          <w:rFonts w:ascii="Arial" w:hAnsi="Arial" w:cs="Arial"/>
          <w:lang w:val="es-MX"/>
        </w:rPr>
        <w:t xml:space="preserve"> El riesgo de perjuicio que supondría la divulgación supera el interés público general de que se difunda, y</w:t>
      </w:r>
    </w:p>
    <w:p w14:paraId="17F65A81" w14:textId="0BEA1E00" w:rsidR="004F640E" w:rsidRPr="00C906D0" w:rsidRDefault="004F640E" w:rsidP="001F7332">
      <w:pPr>
        <w:spacing w:line="276" w:lineRule="auto"/>
        <w:jc w:val="both"/>
        <w:rPr>
          <w:rFonts w:ascii="Arial" w:hAnsi="Arial" w:cs="Arial"/>
          <w:lang w:val="es-MX"/>
        </w:rPr>
      </w:pPr>
      <w:r w:rsidRPr="00C906D0">
        <w:rPr>
          <w:rFonts w:ascii="Arial" w:hAnsi="Arial" w:cs="Arial"/>
          <w:b/>
          <w:lang w:val="es-MX"/>
        </w:rPr>
        <w:t>III.</w:t>
      </w:r>
      <w:r w:rsidRPr="00C906D0">
        <w:rPr>
          <w:rFonts w:ascii="Arial" w:hAnsi="Arial" w:cs="Arial"/>
          <w:lang w:val="es-MX"/>
        </w:rPr>
        <w:t xml:space="preserve"> La limitación se adecua al principio de proporcionalidad y representa el medio menos restrictivo dispo</w:t>
      </w:r>
      <w:r w:rsidR="0037773A" w:rsidRPr="00C906D0">
        <w:rPr>
          <w:rFonts w:ascii="Arial" w:hAnsi="Arial" w:cs="Arial"/>
          <w:lang w:val="es-MX"/>
        </w:rPr>
        <w:t>nible para evitar el perjuicio.</w:t>
      </w:r>
    </w:p>
    <w:p w14:paraId="57B101A5" w14:textId="2070266D" w:rsidR="00001804" w:rsidRPr="00C906D0" w:rsidRDefault="005D3E7F" w:rsidP="001F7332">
      <w:pPr>
        <w:spacing w:line="276" w:lineRule="auto"/>
        <w:jc w:val="both"/>
        <w:rPr>
          <w:rFonts w:ascii="Arial" w:hAnsi="Arial" w:cs="Arial"/>
          <w:lang w:val="es-MX"/>
        </w:rPr>
      </w:pPr>
      <w:r w:rsidRPr="00C906D0">
        <w:rPr>
          <w:rFonts w:ascii="Arial" w:hAnsi="Arial" w:cs="Arial"/>
          <w:lang w:val="es-MX"/>
        </w:rPr>
        <w:t>L</w:t>
      </w:r>
      <w:r w:rsidR="004F640E" w:rsidRPr="00C906D0">
        <w:rPr>
          <w:rFonts w:ascii="Arial" w:hAnsi="Arial" w:cs="Arial"/>
          <w:lang w:val="es-MX"/>
        </w:rPr>
        <w:t>a Dirección</w:t>
      </w:r>
      <w:r w:rsidR="001816A1" w:rsidRPr="00C906D0">
        <w:rPr>
          <w:rFonts w:ascii="Arial" w:hAnsi="Arial" w:cs="Arial"/>
          <w:lang w:val="es-MX"/>
        </w:rPr>
        <w:t xml:space="preserve"> </w:t>
      </w:r>
      <w:r w:rsidR="006F6DCF" w:rsidRPr="00C906D0">
        <w:rPr>
          <w:rFonts w:ascii="Arial" w:hAnsi="Arial" w:cs="Arial"/>
          <w:lang w:val="es-MX"/>
        </w:rPr>
        <w:t xml:space="preserve">de Desarrollo de sistemas y Tecnología, </w:t>
      </w:r>
      <w:r w:rsidR="004F640E" w:rsidRPr="00C906D0">
        <w:rPr>
          <w:rFonts w:ascii="Arial" w:hAnsi="Arial" w:cs="Arial"/>
          <w:lang w:val="es-MX"/>
        </w:rPr>
        <w:t>adminicula las causales de procedencia de la reserva con las justificaciones en la aplicación de la prueba de daño en las tres hipótesis</w:t>
      </w:r>
      <w:r w:rsidR="00D07876" w:rsidRPr="00C906D0">
        <w:rPr>
          <w:rFonts w:ascii="Arial" w:hAnsi="Arial" w:cs="Arial"/>
          <w:lang w:val="es-MX"/>
        </w:rPr>
        <w:t>.</w:t>
      </w:r>
    </w:p>
    <w:p w14:paraId="5B14B769" w14:textId="5DBF0636" w:rsidR="00001804" w:rsidRDefault="00001804" w:rsidP="001F7332">
      <w:pPr>
        <w:spacing w:line="276" w:lineRule="auto"/>
        <w:jc w:val="both"/>
        <w:rPr>
          <w:rFonts w:ascii="Arial" w:hAnsi="Arial" w:cs="Arial"/>
          <w:lang w:val="es-MX"/>
        </w:rPr>
      </w:pPr>
    </w:p>
    <w:p w14:paraId="1CD84B69" w14:textId="77777777" w:rsidR="00C906D0" w:rsidRPr="00C906D0" w:rsidRDefault="00C906D0" w:rsidP="001F7332">
      <w:pPr>
        <w:spacing w:line="276" w:lineRule="auto"/>
        <w:jc w:val="both"/>
        <w:rPr>
          <w:rFonts w:ascii="Arial" w:hAnsi="Arial" w:cs="Arial"/>
          <w:lang w:val="es-MX"/>
        </w:rPr>
      </w:pPr>
    </w:p>
    <w:p w14:paraId="04922373" w14:textId="77777777" w:rsidR="00620E86" w:rsidRPr="00ED70A6" w:rsidRDefault="00001804" w:rsidP="00757C0B">
      <w:pPr>
        <w:pStyle w:val="Texto"/>
        <w:spacing w:line="276" w:lineRule="auto"/>
        <w:ind w:firstLine="0"/>
        <w:rPr>
          <w:rFonts w:eastAsiaTheme="minorEastAsia"/>
          <w:sz w:val="24"/>
          <w:szCs w:val="24"/>
        </w:rPr>
      </w:pPr>
      <w:r w:rsidRPr="00C906D0">
        <w:rPr>
          <w:b/>
          <w:sz w:val="24"/>
          <w:szCs w:val="24"/>
          <w:lang w:val="es-MX"/>
        </w:rPr>
        <w:t>La divulgación</w:t>
      </w:r>
      <w:r w:rsidRPr="00C906D0">
        <w:rPr>
          <w:sz w:val="24"/>
          <w:szCs w:val="24"/>
          <w:lang w:val="es-MX"/>
        </w:rPr>
        <w:t xml:space="preserve"> </w:t>
      </w:r>
      <w:r w:rsidR="00620E86" w:rsidRPr="00ED70A6">
        <w:rPr>
          <w:rFonts w:eastAsiaTheme="minorEastAsia"/>
          <w:sz w:val="24"/>
          <w:szCs w:val="24"/>
        </w:rPr>
        <w:t>Al hacer pública la información que ahora se reserva,  respecto el número total del estado de fuerza del personal con nombramiento de policía y la cantidad numérica de policías de investigación que contiene la Fiscalía Especializada en Derechos Humanos con estudios en esa materia, quienes forman parte en diversos mandamientos judiciales, averiguaciones previas o carpetas de investigación, vulnera el procedimiento de investigación y se deja, además en un grave estado de vulnerabilidad a la Fiscalía debido a que la delincuencia organizada fácilmente podrían determinar la capacidad de reacción que tiene ante hechos delictivos, al proporcionar en la información pública de oficio relativa a el número total del estado de fuerza del personal con nombramiento de policía y la cantidad numérica de policías de investigación que contiene la Fiscalía Especializada en Derechos Humanos con estudios en esa materia.</w:t>
      </w:r>
    </w:p>
    <w:p w14:paraId="7566B22A" w14:textId="77777777" w:rsidR="00620E86" w:rsidRPr="00ED70A6" w:rsidRDefault="00620E86" w:rsidP="00ED70A6">
      <w:pPr>
        <w:pStyle w:val="Texto"/>
        <w:spacing w:line="276" w:lineRule="auto"/>
        <w:rPr>
          <w:rFonts w:eastAsiaTheme="minorEastAsia"/>
          <w:sz w:val="24"/>
          <w:szCs w:val="24"/>
        </w:rPr>
      </w:pPr>
    </w:p>
    <w:p w14:paraId="7FCDE8B8" w14:textId="77777777" w:rsidR="00620E86" w:rsidRPr="00ED70A6" w:rsidRDefault="00620E86" w:rsidP="00757C0B">
      <w:pPr>
        <w:pStyle w:val="Texto"/>
        <w:spacing w:line="276" w:lineRule="auto"/>
        <w:ind w:firstLine="0"/>
        <w:rPr>
          <w:rFonts w:eastAsiaTheme="minorEastAsia"/>
          <w:sz w:val="24"/>
          <w:szCs w:val="24"/>
        </w:rPr>
      </w:pPr>
      <w:r w:rsidRPr="00ED70A6">
        <w:rPr>
          <w:rFonts w:eastAsiaTheme="minorEastAsia"/>
          <w:sz w:val="24"/>
          <w:szCs w:val="24"/>
        </w:rPr>
        <w:t>El otorgar algún dato que permita conocer el número de elementos operativos con nombramiento de policía con que cuenta la Fiscalía, dejaría al descubierto la capacidad de reacción de la Fiscalía y a su vez una posible evasión o incumplimiento a las leyes penales, e incluso podría exponer la seguridad de víctimas, testigos, servidores públicos operativos como peritos, agentes del ministerio público, agentes facilitadores y policías, en una indagatoria y/o procedimiento judicial.</w:t>
      </w:r>
    </w:p>
    <w:p w14:paraId="1965D79A" w14:textId="77777777" w:rsidR="00620E86" w:rsidRPr="00ED70A6" w:rsidRDefault="00620E86" w:rsidP="00ED70A6">
      <w:pPr>
        <w:pStyle w:val="Texto"/>
        <w:spacing w:line="276" w:lineRule="auto"/>
        <w:rPr>
          <w:rFonts w:eastAsiaTheme="minorEastAsia"/>
          <w:sz w:val="24"/>
          <w:szCs w:val="24"/>
        </w:rPr>
      </w:pPr>
    </w:p>
    <w:p w14:paraId="730CF30D" w14:textId="77777777" w:rsidR="00620E86" w:rsidRPr="00ED70A6" w:rsidRDefault="00620E86" w:rsidP="00757C0B">
      <w:pPr>
        <w:pStyle w:val="Texto"/>
        <w:spacing w:line="276" w:lineRule="auto"/>
        <w:ind w:firstLine="0"/>
        <w:rPr>
          <w:rFonts w:eastAsiaTheme="minorEastAsia"/>
          <w:sz w:val="24"/>
          <w:szCs w:val="24"/>
        </w:rPr>
      </w:pPr>
      <w:r w:rsidRPr="00ED70A6">
        <w:rPr>
          <w:rFonts w:eastAsiaTheme="minorEastAsia"/>
          <w:sz w:val="24"/>
          <w:szCs w:val="24"/>
        </w:rPr>
        <w:t xml:space="preserve">Asimismo, el generar la reserva total de la información y limitar la cantidad de documentos revisables evita en la mayor medida posible la filtración o revelación inadvertida de información sensitiva, que pudiera afectar el procedimiento penal. </w:t>
      </w:r>
    </w:p>
    <w:p w14:paraId="5EABC081" w14:textId="77777777" w:rsidR="00757C0B" w:rsidRDefault="00757C0B" w:rsidP="00757C0B">
      <w:pPr>
        <w:pStyle w:val="Texto"/>
        <w:spacing w:line="276" w:lineRule="auto"/>
        <w:ind w:firstLine="0"/>
        <w:rPr>
          <w:rFonts w:eastAsiaTheme="minorEastAsia"/>
          <w:sz w:val="24"/>
          <w:szCs w:val="24"/>
        </w:rPr>
      </w:pPr>
    </w:p>
    <w:p w14:paraId="318394BA" w14:textId="77777777" w:rsidR="00620E86" w:rsidRPr="00ED70A6" w:rsidRDefault="00620E86" w:rsidP="00757C0B">
      <w:pPr>
        <w:pStyle w:val="Texto"/>
        <w:spacing w:line="276" w:lineRule="auto"/>
        <w:ind w:firstLine="0"/>
        <w:rPr>
          <w:rFonts w:eastAsiaTheme="minorEastAsia"/>
          <w:sz w:val="24"/>
          <w:szCs w:val="24"/>
        </w:rPr>
      </w:pPr>
      <w:r w:rsidRPr="00ED70A6">
        <w:rPr>
          <w:rFonts w:eastAsiaTheme="minorEastAsia"/>
          <w:sz w:val="24"/>
          <w:szCs w:val="24"/>
        </w:rPr>
        <w:t>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w:t>
      </w:r>
    </w:p>
    <w:p w14:paraId="18B0797E" w14:textId="77777777" w:rsidR="001A58C6" w:rsidRPr="00C906D0" w:rsidRDefault="001A58C6" w:rsidP="001A58C6">
      <w:pPr>
        <w:pStyle w:val="Texto"/>
        <w:spacing w:after="0" w:line="240" w:lineRule="auto"/>
        <w:ind w:firstLine="0"/>
      </w:pPr>
    </w:p>
    <w:p w14:paraId="0A97CD64" w14:textId="77777777" w:rsidR="00ED70A6" w:rsidRPr="00ED70A6" w:rsidRDefault="006F6DCF" w:rsidP="00ED70A6">
      <w:pPr>
        <w:spacing w:line="276" w:lineRule="auto"/>
        <w:jc w:val="both"/>
        <w:rPr>
          <w:rFonts w:ascii="Arial" w:hAnsi="Arial" w:cs="Arial"/>
          <w:lang w:val="es-ES"/>
        </w:rPr>
      </w:pPr>
      <w:r w:rsidRPr="00C906D0">
        <w:rPr>
          <w:rFonts w:ascii="Arial" w:hAnsi="Arial" w:cs="Arial"/>
          <w:b/>
          <w:lang w:val="es-ES"/>
        </w:rPr>
        <w:t>El riesgo.</w:t>
      </w:r>
      <w:r w:rsidR="00804391" w:rsidRPr="00C906D0">
        <w:rPr>
          <w:rFonts w:ascii="Arial" w:hAnsi="Arial" w:cs="Arial"/>
          <w:b/>
          <w:lang w:val="es-ES"/>
        </w:rPr>
        <w:t xml:space="preserve"> </w:t>
      </w:r>
      <w:r w:rsidR="00ED70A6" w:rsidRPr="00ED70A6">
        <w:rPr>
          <w:rFonts w:ascii="Arial" w:hAnsi="Arial" w:cs="Arial"/>
          <w:lang w:val="es-ES"/>
        </w:rPr>
        <w:t xml:space="preserve">La información que se reserva del documento elaborado para cumplir la obligación de este sujeto obligado de dar respuesta a las solicitudes de acceso a la información, contenida en la Ley de Transparencia y Acceso a la Información Pública del Estado de San Luis Potosí, consistente en: el número total del estado de fuerza del personal con nombramiento de policía y la cantidad numérica de policías de investigación que contiene la Fiscalía Especializada en Derechos Humanos con estudios en esa materia. </w:t>
      </w:r>
    </w:p>
    <w:p w14:paraId="7CAF38E9" w14:textId="77777777" w:rsidR="00ED70A6" w:rsidRPr="00ED70A6" w:rsidRDefault="00ED70A6" w:rsidP="00ED70A6">
      <w:pPr>
        <w:spacing w:line="276" w:lineRule="auto"/>
        <w:jc w:val="both"/>
        <w:rPr>
          <w:rFonts w:ascii="Arial" w:hAnsi="Arial" w:cs="Arial"/>
          <w:lang w:val="es-ES"/>
        </w:rPr>
      </w:pPr>
    </w:p>
    <w:p w14:paraId="69273CB3" w14:textId="77777777" w:rsidR="00ED70A6" w:rsidRPr="00ED70A6" w:rsidRDefault="00ED70A6" w:rsidP="00ED70A6">
      <w:pPr>
        <w:spacing w:line="276" w:lineRule="auto"/>
        <w:jc w:val="both"/>
        <w:rPr>
          <w:rFonts w:ascii="Arial" w:hAnsi="Arial" w:cs="Arial"/>
          <w:lang w:val="es-ES"/>
        </w:rPr>
      </w:pPr>
      <w:r w:rsidRPr="00ED70A6">
        <w:rPr>
          <w:rFonts w:ascii="Arial" w:hAnsi="Arial" w:cs="Arial"/>
          <w:lang w:val="es-ES"/>
        </w:rPr>
        <w:t xml:space="preserve">En esos término, cabe precisar que existe un riesgo o perjuicio que supera el interés público general, que en el caso lo es, la difusión el número total del estado de fuerza del personal con nombramiento de policía y la cantidad numérica de policías de investigación que contiene la Fiscalía Especializada en Derechos Humanos con estudios en esa materia, pues al dar a conocer esta información se evidencia la capacidad de respuesta de la institución lo que pondría en riesgo las labores de procuración de justicia y puede menoscabar o dificultar las estrategias para combatir la comisión de los delitos y las estrategias de atención; como incluso lo dispone el lineamiento Décimo octavo, Vigésimo tercero, Vigésimo sexto, Trigésimo primero, Trigésimo segundo de los Lineamientos Generales para la clasificación y desclasificación de la información así como la elaboración de versión Pública. </w:t>
      </w:r>
    </w:p>
    <w:p w14:paraId="78C0191E" w14:textId="275BDF72" w:rsidR="00095DC5" w:rsidRPr="00C906D0" w:rsidRDefault="00095DC5" w:rsidP="00ED70A6">
      <w:pPr>
        <w:spacing w:line="276" w:lineRule="auto"/>
        <w:jc w:val="both"/>
        <w:rPr>
          <w:rFonts w:ascii="Arial" w:hAnsi="Arial" w:cs="Arial"/>
          <w:b/>
          <w:lang w:val="es-ES"/>
        </w:rPr>
      </w:pPr>
    </w:p>
    <w:p w14:paraId="5E9CED2E" w14:textId="77777777" w:rsidR="006F6DCF" w:rsidRPr="00C906D0" w:rsidRDefault="006F6DCF" w:rsidP="006F6DCF">
      <w:pPr>
        <w:pStyle w:val="Texto"/>
        <w:spacing w:after="0" w:line="240" w:lineRule="auto"/>
        <w:ind w:firstLine="0"/>
        <w:rPr>
          <w:sz w:val="24"/>
          <w:szCs w:val="24"/>
        </w:rPr>
      </w:pPr>
    </w:p>
    <w:p w14:paraId="08F9EFA1" w14:textId="1307E4E1" w:rsidR="006F6DCF" w:rsidRPr="00C906D0" w:rsidRDefault="006F6DCF" w:rsidP="00804391">
      <w:pPr>
        <w:pStyle w:val="Texto"/>
        <w:spacing w:after="0" w:line="240" w:lineRule="auto"/>
        <w:ind w:firstLine="0"/>
        <w:rPr>
          <w:sz w:val="24"/>
          <w:szCs w:val="24"/>
        </w:rPr>
      </w:pPr>
      <w:r w:rsidRPr="00C906D0">
        <w:rPr>
          <w:b/>
          <w:sz w:val="24"/>
          <w:szCs w:val="24"/>
        </w:rPr>
        <w:t>Medio menos restrictivo</w:t>
      </w:r>
      <w:r w:rsidR="00804391" w:rsidRPr="00C906D0">
        <w:rPr>
          <w:b/>
          <w:sz w:val="24"/>
          <w:szCs w:val="24"/>
        </w:rPr>
        <w:t xml:space="preserve">. </w:t>
      </w:r>
      <w:r w:rsidRPr="00C906D0">
        <w:rPr>
          <w:sz w:val="24"/>
          <w:szCs w:val="24"/>
        </w:rPr>
        <w:t>Se prevé razonablemente que la revelación de la información solicitada transgrede el debido proceso, el cual se encuentra protegido por el Código Nacional de Procedimientos Penales en su artículo 218, el cual establece que “los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64089E27" w14:textId="77777777" w:rsidR="006F6DCF" w:rsidRPr="00C906D0" w:rsidRDefault="006F6DCF" w:rsidP="006F6DCF">
      <w:pPr>
        <w:autoSpaceDE w:val="0"/>
        <w:autoSpaceDN w:val="0"/>
        <w:adjustRightInd w:val="0"/>
        <w:ind w:firstLine="708"/>
        <w:jc w:val="both"/>
        <w:rPr>
          <w:rFonts w:ascii="Arial" w:eastAsia="Times New Roman" w:hAnsi="Arial" w:cs="Arial"/>
          <w:iCs/>
        </w:rPr>
      </w:pPr>
    </w:p>
    <w:p w14:paraId="39A82605" w14:textId="6E35AC83" w:rsidR="006F6DCF" w:rsidRPr="00C906D0" w:rsidRDefault="006F6DCF" w:rsidP="00804391">
      <w:pPr>
        <w:autoSpaceDE w:val="0"/>
        <w:autoSpaceDN w:val="0"/>
        <w:adjustRightInd w:val="0"/>
        <w:jc w:val="both"/>
        <w:rPr>
          <w:rFonts w:ascii="Arial" w:eastAsia="Times New Roman" w:hAnsi="Arial" w:cs="Arial"/>
          <w:iCs/>
        </w:rPr>
      </w:pPr>
      <w:r w:rsidRPr="00C906D0">
        <w:rPr>
          <w:rFonts w:ascii="Arial" w:eastAsia="Times New Roman" w:hAnsi="Arial" w:cs="Arial"/>
          <w:iCs/>
        </w:rPr>
        <w:t xml:space="preserve">Bajo este criterio la reserva de información se considera el medio menos restrictivo disponible para evitar un perjuicio significativo y de imposible reparación para </w:t>
      </w:r>
      <w:r w:rsidR="00757C0B">
        <w:rPr>
          <w:rFonts w:ascii="Arial" w:eastAsia="Times New Roman" w:hAnsi="Arial" w:cs="Arial"/>
          <w:iCs/>
        </w:rPr>
        <w:t xml:space="preserve">la seguridad pública, </w:t>
      </w:r>
      <w:r w:rsidR="00ED70A6">
        <w:rPr>
          <w:rFonts w:ascii="Arial" w:eastAsia="Times New Roman" w:hAnsi="Arial" w:cs="Arial"/>
          <w:iCs/>
        </w:rPr>
        <w:t xml:space="preserve">la vida, seguridad o salud de una persona </w:t>
      </w:r>
      <w:bookmarkStart w:id="0" w:name="_GoBack"/>
      <w:bookmarkEnd w:id="0"/>
      <w:r w:rsidR="00ED70A6">
        <w:rPr>
          <w:rFonts w:ascii="Arial" w:eastAsia="Times New Roman" w:hAnsi="Arial" w:cs="Arial"/>
          <w:iCs/>
        </w:rPr>
        <w:t xml:space="preserve">además de poner en riesgo </w:t>
      </w:r>
      <w:r w:rsidRPr="00C906D0">
        <w:rPr>
          <w:rFonts w:ascii="Arial" w:eastAsia="Times New Roman" w:hAnsi="Arial" w:cs="Arial"/>
          <w:iCs/>
        </w:rPr>
        <w:t>el debido proceso.</w:t>
      </w:r>
    </w:p>
    <w:p w14:paraId="79D9A5FA" w14:textId="200D20AA" w:rsidR="00F9186B" w:rsidRDefault="00F9186B" w:rsidP="001F7332">
      <w:pPr>
        <w:spacing w:line="276" w:lineRule="auto"/>
        <w:jc w:val="both"/>
        <w:rPr>
          <w:rFonts w:ascii="Arial" w:hAnsi="Arial" w:cs="Arial"/>
        </w:rPr>
      </w:pPr>
    </w:p>
    <w:p w14:paraId="76758352" w14:textId="77777777" w:rsidR="00C906D0" w:rsidRPr="00C906D0" w:rsidRDefault="00C906D0" w:rsidP="001F7332">
      <w:pPr>
        <w:spacing w:line="276" w:lineRule="auto"/>
        <w:jc w:val="both"/>
        <w:rPr>
          <w:rFonts w:ascii="Arial" w:hAnsi="Arial" w:cs="Arial"/>
        </w:rPr>
      </w:pPr>
    </w:p>
    <w:p w14:paraId="34FBC863" w14:textId="6EAC3D45" w:rsidR="004F640E" w:rsidRPr="00C906D0" w:rsidRDefault="004F640E" w:rsidP="001F7332">
      <w:pPr>
        <w:spacing w:line="276" w:lineRule="auto"/>
        <w:jc w:val="both"/>
        <w:rPr>
          <w:rFonts w:ascii="Arial" w:hAnsi="Arial" w:cs="Arial"/>
          <w:b/>
          <w:lang w:val="es-MX"/>
        </w:rPr>
      </w:pPr>
      <w:r w:rsidRPr="00C906D0">
        <w:rPr>
          <w:rFonts w:ascii="Arial" w:hAnsi="Arial" w:cs="Arial"/>
          <w:b/>
          <w:lang w:val="es-MX"/>
        </w:rPr>
        <w:t xml:space="preserve">VIII. Fecha del acuerdo de clasificación, </w:t>
      </w:r>
    </w:p>
    <w:p w14:paraId="5A73B028" w14:textId="00E31F14" w:rsidR="006F6DCF" w:rsidRPr="00C906D0" w:rsidRDefault="004F640E" w:rsidP="006F6DCF">
      <w:pPr>
        <w:autoSpaceDE w:val="0"/>
        <w:autoSpaceDN w:val="0"/>
        <w:adjustRightInd w:val="0"/>
        <w:jc w:val="both"/>
        <w:rPr>
          <w:rFonts w:ascii="Arial" w:hAnsi="Arial" w:cs="Arial"/>
        </w:rPr>
      </w:pPr>
      <w:r w:rsidRPr="00C906D0">
        <w:rPr>
          <w:rFonts w:ascii="Arial" w:hAnsi="Arial" w:cs="Arial"/>
          <w:lang w:val="es-MX"/>
        </w:rPr>
        <w:t xml:space="preserve">El Acuerdo de Reserva señala claramente su fecha de expedición que lo es el </w:t>
      </w:r>
      <w:r w:rsidR="00ED70A6">
        <w:rPr>
          <w:rFonts w:ascii="Arial" w:hAnsi="Arial" w:cs="Arial"/>
        </w:rPr>
        <w:t>06</w:t>
      </w:r>
      <w:r w:rsidR="006F6DCF" w:rsidRPr="00C906D0">
        <w:rPr>
          <w:rFonts w:ascii="Arial" w:hAnsi="Arial" w:cs="Arial"/>
        </w:rPr>
        <w:t xml:space="preserve"> de </w:t>
      </w:r>
      <w:r w:rsidR="00ED70A6">
        <w:rPr>
          <w:rFonts w:ascii="Arial" w:hAnsi="Arial" w:cs="Arial"/>
        </w:rPr>
        <w:t>diciembre</w:t>
      </w:r>
      <w:r w:rsidR="006F6DCF" w:rsidRPr="00C906D0">
        <w:rPr>
          <w:rFonts w:ascii="Arial" w:hAnsi="Arial" w:cs="Arial"/>
        </w:rPr>
        <w:t xml:space="preserve"> 2022. </w:t>
      </w:r>
    </w:p>
    <w:p w14:paraId="7D40CE7C" w14:textId="101A4271" w:rsidR="00D07876" w:rsidRDefault="00D07876" w:rsidP="006F6DCF">
      <w:pPr>
        <w:spacing w:line="276" w:lineRule="auto"/>
        <w:jc w:val="both"/>
        <w:rPr>
          <w:rFonts w:ascii="Arial" w:hAnsi="Arial" w:cs="Arial"/>
        </w:rPr>
      </w:pPr>
    </w:p>
    <w:p w14:paraId="153BCF63" w14:textId="77777777" w:rsidR="00C906D0" w:rsidRPr="00C906D0" w:rsidRDefault="00C906D0" w:rsidP="006F6DCF">
      <w:pPr>
        <w:spacing w:line="276" w:lineRule="auto"/>
        <w:jc w:val="both"/>
        <w:rPr>
          <w:rFonts w:ascii="Arial" w:hAnsi="Arial" w:cs="Arial"/>
        </w:rPr>
      </w:pPr>
    </w:p>
    <w:p w14:paraId="2EFFF882" w14:textId="09D168B1" w:rsidR="006C0831" w:rsidRPr="00C906D0" w:rsidRDefault="006C0831" w:rsidP="00D07876">
      <w:pPr>
        <w:autoSpaceDE w:val="0"/>
        <w:autoSpaceDN w:val="0"/>
        <w:adjustRightInd w:val="0"/>
        <w:spacing w:line="276" w:lineRule="auto"/>
        <w:jc w:val="both"/>
        <w:rPr>
          <w:rFonts w:ascii="Arial" w:hAnsi="Arial" w:cs="Arial"/>
        </w:rPr>
      </w:pPr>
      <w:r w:rsidRPr="00C906D0">
        <w:rPr>
          <w:rFonts w:ascii="Arial" w:hAnsi="Arial" w:cs="Arial"/>
          <w:lang w:val="es-MX"/>
        </w:rPr>
        <w:t xml:space="preserve">El Comité de Transparencia en Pleno determinó procedente confirmar el Acuerdo de Reserva </w:t>
      </w:r>
      <w:r w:rsidR="001456F5">
        <w:rPr>
          <w:rFonts w:ascii="Arial" w:hAnsi="Arial" w:cs="Arial"/>
          <w:lang w:val="es-MX"/>
        </w:rPr>
        <w:t>total</w:t>
      </w:r>
      <w:r w:rsidRPr="00C906D0">
        <w:rPr>
          <w:rFonts w:ascii="Arial" w:hAnsi="Arial" w:cs="Arial"/>
          <w:lang w:val="es-MX"/>
        </w:rPr>
        <w:t xml:space="preserve"> </w:t>
      </w:r>
      <w:r w:rsidR="00ED70A6">
        <w:rPr>
          <w:rFonts w:ascii="Arial" w:hAnsi="Arial" w:cs="Arial"/>
          <w:b/>
          <w:lang w:val="es-MX"/>
        </w:rPr>
        <w:t>AR/36/2022</w:t>
      </w:r>
      <w:r w:rsidR="00545219" w:rsidRPr="00C906D0">
        <w:rPr>
          <w:rFonts w:ascii="Arial" w:hAnsi="Arial" w:cs="Arial"/>
          <w:lang w:val="es-MX"/>
        </w:rPr>
        <w:t>, emitido por el</w:t>
      </w:r>
      <w:r w:rsidRPr="00C906D0">
        <w:rPr>
          <w:rFonts w:ascii="Arial" w:hAnsi="Arial" w:cs="Arial"/>
          <w:lang w:val="es-MX"/>
        </w:rPr>
        <w:t xml:space="preserve"> </w:t>
      </w:r>
      <w:r w:rsidR="00545219" w:rsidRPr="00C906D0">
        <w:rPr>
          <w:rFonts w:ascii="Arial" w:hAnsi="Arial" w:cs="Arial"/>
          <w:lang w:val="es-MX"/>
        </w:rPr>
        <w:t xml:space="preserve">Director </w:t>
      </w:r>
      <w:r w:rsidR="00ED70A6">
        <w:rPr>
          <w:rFonts w:ascii="Arial" w:hAnsi="Arial" w:cs="Arial"/>
          <w:lang w:val="es-MX"/>
        </w:rPr>
        <w:t>General de Administración</w:t>
      </w:r>
      <w:r w:rsidRPr="00C906D0">
        <w:rPr>
          <w:rFonts w:ascii="Arial" w:hAnsi="Arial" w:cs="Arial"/>
          <w:lang w:val="es-MX"/>
        </w:rPr>
        <w:t xml:space="preserve">; de fecha </w:t>
      </w:r>
      <w:r w:rsidR="00ED70A6">
        <w:rPr>
          <w:rFonts w:ascii="Arial" w:hAnsi="Arial" w:cs="Arial"/>
          <w:b/>
          <w:lang w:val="es-MX"/>
        </w:rPr>
        <w:t>06</w:t>
      </w:r>
      <w:r w:rsidRPr="00C906D0">
        <w:rPr>
          <w:rFonts w:ascii="Arial" w:hAnsi="Arial" w:cs="Arial"/>
          <w:b/>
          <w:lang w:val="es-MX"/>
        </w:rPr>
        <w:t xml:space="preserve"> de </w:t>
      </w:r>
      <w:r w:rsidR="00ED70A6">
        <w:rPr>
          <w:rFonts w:ascii="Arial" w:hAnsi="Arial" w:cs="Arial"/>
          <w:b/>
          <w:lang w:val="es-MX"/>
        </w:rPr>
        <w:t>diciembre</w:t>
      </w:r>
      <w:r w:rsidRPr="00C906D0">
        <w:rPr>
          <w:rFonts w:ascii="Arial" w:hAnsi="Arial" w:cs="Arial"/>
          <w:b/>
          <w:lang w:val="es-MX"/>
        </w:rPr>
        <w:t xml:space="preserve"> 2022</w:t>
      </w:r>
      <w:r w:rsidRPr="00C906D0">
        <w:rPr>
          <w:rFonts w:ascii="Arial" w:hAnsi="Arial" w:cs="Arial"/>
          <w:lang w:val="es-MX"/>
        </w:rPr>
        <w:t xml:space="preserve">, donde se reserva parcialmente la información correspondiente a </w:t>
      </w:r>
      <w:r w:rsidR="00ED70A6" w:rsidRPr="00F3390F">
        <w:rPr>
          <w:rFonts w:ascii="Arial" w:hAnsi="Arial" w:cs="Arial"/>
          <w:b/>
        </w:rPr>
        <w:t>el número total del estado de fuerza del personal con nombramiento de policía y la cantidad numérica de policías de investigación que contiene la Fiscalía Especializada en Derechos Humanos con estudios en esa materia</w:t>
      </w:r>
      <w:r w:rsidR="006F6DCF" w:rsidRPr="00C906D0">
        <w:rPr>
          <w:rFonts w:ascii="Arial" w:hAnsi="Arial" w:cs="Arial"/>
        </w:rPr>
        <w:t xml:space="preserve">, </w:t>
      </w:r>
      <w:r w:rsidR="00545219" w:rsidRPr="00C906D0">
        <w:rPr>
          <w:rFonts w:ascii="Arial" w:hAnsi="Arial" w:cs="Arial"/>
        </w:rPr>
        <w:t xml:space="preserve">necesario para </w:t>
      </w:r>
      <w:r w:rsidR="006F6DCF" w:rsidRPr="00C906D0">
        <w:rPr>
          <w:rFonts w:ascii="Arial" w:hAnsi="Arial" w:cs="Arial"/>
        </w:rPr>
        <w:t>dar respuesta a la solicit</w:t>
      </w:r>
      <w:r w:rsidR="00ED70A6">
        <w:rPr>
          <w:rFonts w:ascii="Arial" w:hAnsi="Arial" w:cs="Arial"/>
        </w:rPr>
        <w:t>ud de información número UT-SI-278</w:t>
      </w:r>
      <w:r w:rsidR="006F6DCF" w:rsidRPr="00C906D0">
        <w:rPr>
          <w:rFonts w:ascii="Arial" w:hAnsi="Arial" w:cs="Arial"/>
        </w:rPr>
        <w:t>-</w:t>
      </w:r>
      <w:r w:rsidR="00ED70A6">
        <w:rPr>
          <w:rFonts w:ascii="Arial" w:hAnsi="Arial" w:cs="Arial"/>
        </w:rPr>
        <w:t>00416221</w:t>
      </w:r>
      <w:r w:rsidR="006F6DCF" w:rsidRPr="00C906D0">
        <w:rPr>
          <w:rFonts w:ascii="Arial" w:hAnsi="Arial" w:cs="Arial"/>
        </w:rPr>
        <w:t>-202</w:t>
      </w:r>
      <w:r w:rsidR="00ED70A6">
        <w:rPr>
          <w:rFonts w:ascii="Arial" w:hAnsi="Arial" w:cs="Arial"/>
        </w:rPr>
        <w:t>1, siendo esta el antecedente del Recurso de Revisión número RR-664/2021-3</w:t>
      </w:r>
      <w:r w:rsidR="006F6DCF" w:rsidRPr="00C906D0">
        <w:rPr>
          <w:rFonts w:ascii="Arial" w:hAnsi="Arial" w:cs="Arial"/>
        </w:rPr>
        <w:t xml:space="preserve">. </w:t>
      </w:r>
    </w:p>
    <w:p w14:paraId="47622507" w14:textId="77777777" w:rsidR="00EF1BD7" w:rsidRPr="00C906D0" w:rsidRDefault="00EF1BD7" w:rsidP="001F7332">
      <w:pPr>
        <w:spacing w:line="276" w:lineRule="auto"/>
        <w:jc w:val="both"/>
        <w:rPr>
          <w:rFonts w:ascii="Arial" w:hAnsi="Arial" w:cs="Arial"/>
          <w:lang w:val="es-MX"/>
        </w:rPr>
      </w:pPr>
    </w:p>
    <w:p w14:paraId="069F51E5" w14:textId="74F32A85" w:rsidR="0025149A" w:rsidRPr="00C906D0" w:rsidRDefault="0025149A" w:rsidP="001F7332">
      <w:pPr>
        <w:spacing w:line="276" w:lineRule="auto"/>
        <w:jc w:val="both"/>
        <w:rPr>
          <w:rFonts w:ascii="Arial" w:hAnsi="Arial" w:cs="Arial"/>
          <w:lang w:val="es-MX"/>
        </w:rPr>
      </w:pPr>
      <w:r w:rsidRPr="00C906D0">
        <w:rPr>
          <w:rFonts w:ascii="Arial" w:hAnsi="Arial" w:cs="Arial"/>
          <w:lang w:val="es-MX"/>
        </w:rPr>
        <w:t xml:space="preserve">Este Comité de Transparencia </w:t>
      </w:r>
      <w:r w:rsidR="00E4369B" w:rsidRPr="00C906D0">
        <w:rPr>
          <w:rFonts w:ascii="Arial" w:hAnsi="Arial" w:cs="Arial"/>
          <w:lang w:val="es-MX"/>
        </w:rPr>
        <w:t>instruye</w:t>
      </w:r>
      <w:r w:rsidRPr="00C906D0">
        <w:rPr>
          <w:rFonts w:ascii="Arial" w:hAnsi="Arial" w:cs="Arial"/>
          <w:lang w:val="es-MX"/>
        </w:rPr>
        <w:t xml:space="preserve"> a</w:t>
      </w:r>
      <w:r w:rsidR="00E4369B" w:rsidRPr="00C906D0">
        <w:rPr>
          <w:rFonts w:ascii="Arial" w:hAnsi="Arial" w:cs="Arial"/>
          <w:lang w:val="es-MX"/>
        </w:rPr>
        <w:t xml:space="preserve">l Director </w:t>
      </w:r>
      <w:r w:rsidR="00ED70A6">
        <w:rPr>
          <w:rFonts w:ascii="Arial" w:hAnsi="Arial" w:cs="Arial"/>
          <w:lang w:val="es-MX"/>
        </w:rPr>
        <w:t>General de Administración</w:t>
      </w:r>
      <w:r w:rsidR="00E4369B" w:rsidRPr="00C906D0">
        <w:rPr>
          <w:rFonts w:ascii="Arial" w:hAnsi="Arial" w:cs="Arial"/>
          <w:lang w:val="es-MX"/>
        </w:rPr>
        <w:t xml:space="preserve"> </w:t>
      </w:r>
      <w:r w:rsidRPr="00C906D0">
        <w:rPr>
          <w:rFonts w:ascii="Arial" w:hAnsi="Arial" w:cs="Arial"/>
          <w:lang w:val="es-MX"/>
        </w:rPr>
        <w:t xml:space="preserve"> notifique a los Titulares de las diversas áreas de la Institución; qu</w:t>
      </w:r>
      <w:r w:rsidR="008F508A" w:rsidRPr="00C906D0">
        <w:rPr>
          <w:rFonts w:ascii="Arial" w:hAnsi="Arial" w:cs="Arial"/>
          <w:lang w:val="es-MX"/>
        </w:rPr>
        <w:t>e</w:t>
      </w:r>
      <w:r w:rsidRPr="00C906D0">
        <w:rPr>
          <w:rFonts w:ascii="Arial" w:hAnsi="Arial" w:cs="Arial"/>
          <w:lang w:val="es-MX"/>
        </w:rPr>
        <w:t xml:space="preserve"> deberán de proporcionarle la información necesaria a efecto de que cuente con datos que permitan</w:t>
      </w:r>
      <w:r w:rsidR="002E6666" w:rsidRPr="00C906D0">
        <w:rPr>
          <w:rFonts w:ascii="Arial" w:hAnsi="Arial" w:cs="Arial"/>
          <w:lang w:val="es-MX"/>
        </w:rPr>
        <w:t xml:space="preserve"> </w:t>
      </w:r>
      <w:r w:rsidRPr="00C906D0">
        <w:rPr>
          <w:rFonts w:ascii="Arial" w:hAnsi="Arial" w:cs="Arial"/>
          <w:lang w:val="es-MX"/>
        </w:rPr>
        <w:t>establecer claramente si las acciones realizadas deviene</w:t>
      </w:r>
      <w:r w:rsidR="00256AE8" w:rsidRPr="00C906D0">
        <w:rPr>
          <w:rFonts w:ascii="Arial" w:hAnsi="Arial" w:cs="Arial"/>
          <w:lang w:val="es-MX"/>
        </w:rPr>
        <w:t>n</w:t>
      </w:r>
      <w:r w:rsidRPr="00C906D0">
        <w:rPr>
          <w:rFonts w:ascii="Arial" w:hAnsi="Arial" w:cs="Arial"/>
          <w:lang w:val="es-MX"/>
        </w:rPr>
        <w:t xml:space="preserve"> de actos de investigación; así mismo deberán de notificar cuando se trate de delitos que son considerados como de Lesa Humanidad acorde a lo establecido en los</w:t>
      </w:r>
      <w:r w:rsidR="00DA3298" w:rsidRPr="00C906D0">
        <w:rPr>
          <w:rFonts w:ascii="Arial" w:hAnsi="Arial" w:cs="Arial"/>
          <w:lang w:val="es-MX"/>
        </w:rPr>
        <w:t xml:space="preserve"> </w:t>
      </w:r>
      <w:r w:rsidR="002E6666" w:rsidRPr="00C906D0">
        <w:rPr>
          <w:rFonts w:ascii="Arial" w:hAnsi="Arial" w:cs="Arial"/>
          <w:lang w:val="es-MX"/>
        </w:rPr>
        <w:t>a</w:t>
      </w:r>
      <w:r w:rsidRPr="00C906D0">
        <w:rPr>
          <w:rFonts w:ascii="Arial" w:hAnsi="Arial" w:cs="Arial"/>
          <w:lang w:val="es-MX"/>
        </w:rPr>
        <w:t>partados primero y segundo incisos i) del artículo 7 del Estatuto de Roma de la Corte Penal Internacional.</w:t>
      </w:r>
    </w:p>
    <w:p w14:paraId="328FC057" w14:textId="77777777" w:rsidR="00C906D0" w:rsidRPr="00C906D0" w:rsidRDefault="00C906D0" w:rsidP="001F7332">
      <w:pPr>
        <w:spacing w:line="276" w:lineRule="auto"/>
        <w:jc w:val="both"/>
        <w:rPr>
          <w:rFonts w:ascii="Arial" w:hAnsi="Arial" w:cs="Arial"/>
          <w:lang w:val="es-MX"/>
        </w:rPr>
      </w:pPr>
    </w:p>
    <w:p w14:paraId="221CDA4A" w14:textId="671B787E" w:rsidR="0025149A" w:rsidRPr="00C906D0" w:rsidRDefault="0025149A" w:rsidP="001F7332">
      <w:pPr>
        <w:spacing w:line="276" w:lineRule="auto"/>
        <w:jc w:val="both"/>
        <w:rPr>
          <w:rFonts w:ascii="Arial" w:hAnsi="Arial" w:cs="Arial"/>
          <w:lang w:val="es-MX"/>
        </w:rPr>
      </w:pPr>
      <w:r w:rsidRPr="00C906D0">
        <w:rPr>
          <w:rFonts w:ascii="Arial" w:hAnsi="Arial" w:cs="Arial"/>
          <w:lang w:val="es-MX"/>
        </w:rPr>
        <w:t xml:space="preserve">A efecto de que se realice la reserva de la información cuando sea procedente y difundir cuando impliquen acciones de investigación o atención de expedientes donde se investigan hechos o ilícitos considerados como de lesa humanidad. </w:t>
      </w:r>
    </w:p>
    <w:p w14:paraId="02377824" w14:textId="77777777" w:rsidR="008C5A4E" w:rsidRDefault="008C5A4E" w:rsidP="001F7332">
      <w:pPr>
        <w:spacing w:line="276" w:lineRule="auto"/>
        <w:jc w:val="both"/>
        <w:rPr>
          <w:rFonts w:ascii="Arial" w:hAnsi="Arial" w:cs="Arial"/>
          <w:lang w:val="es-MX"/>
        </w:rPr>
      </w:pPr>
    </w:p>
    <w:p w14:paraId="4C37897F" w14:textId="2DCF2C35" w:rsidR="00E16530" w:rsidRPr="00C906D0" w:rsidRDefault="00E16530" w:rsidP="001F7332">
      <w:pPr>
        <w:widowControl w:val="0"/>
        <w:spacing w:line="276" w:lineRule="auto"/>
        <w:jc w:val="both"/>
        <w:rPr>
          <w:rFonts w:ascii="Arial" w:hAnsi="Arial" w:cs="Arial"/>
        </w:rPr>
      </w:pPr>
      <w:r w:rsidRPr="00C906D0">
        <w:rPr>
          <w:rFonts w:ascii="Arial" w:hAnsi="Arial" w:cs="Arial"/>
        </w:rPr>
        <w:t xml:space="preserve">Se instruye </w:t>
      </w:r>
      <w:r w:rsidR="00ED70A6">
        <w:rPr>
          <w:rFonts w:ascii="Arial" w:hAnsi="Arial" w:cs="Arial"/>
        </w:rPr>
        <w:t>al director General de Administración</w:t>
      </w:r>
      <w:r w:rsidRPr="00C906D0">
        <w:rPr>
          <w:rFonts w:ascii="Arial" w:hAnsi="Arial" w:cs="Arial"/>
        </w:rPr>
        <w:t xml:space="preserve"> para que realice las anotaciones corr</w:t>
      </w:r>
      <w:r w:rsidR="00433D8C" w:rsidRPr="00C906D0">
        <w:rPr>
          <w:rFonts w:ascii="Arial" w:hAnsi="Arial" w:cs="Arial"/>
        </w:rPr>
        <w:t>espondientes en los documentos c</w:t>
      </w:r>
      <w:r w:rsidRPr="00C906D0">
        <w:rPr>
          <w:rFonts w:ascii="Arial" w:hAnsi="Arial" w:cs="Arial"/>
        </w:rPr>
        <w:t xml:space="preserve">lasificados como </w:t>
      </w:r>
      <w:r w:rsidR="00E4369B" w:rsidRPr="00C906D0">
        <w:rPr>
          <w:rFonts w:ascii="Arial" w:hAnsi="Arial" w:cs="Arial"/>
        </w:rPr>
        <w:t>Reservados</w:t>
      </w:r>
      <w:r w:rsidRPr="00C906D0">
        <w:rPr>
          <w:rFonts w:ascii="Arial" w:hAnsi="Arial" w:cs="Arial"/>
        </w:rPr>
        <w:t>, de conformidad con el artículo 121 de la LTAIPSLP, concatenado con el lineamiento Quincuagésimo Primero de los Lineamientos Generales en Materia de Clasificación y Desclasificación de la información, así como para la Elaboración de Versiones Públicas, emitidos por el Sistema Nacional de Transparencia y Acceso a la Información Pública y Protección de Datos Personales, publicado en el Diario Oficial de la Federación el 15 de abril de 2016.</w:t>
      </w:r>
    </w:p>
    <w:p w14:paraId="5A6B70E9" w14:textId="77777777" w:rsidR="00C906D0" w:rsidRPr="00C906D0" w:rsidRDefault="00C906D0" w:rsidP="001F7332">
      <w:pPr>
        <w:spacing w:line="276" w:lineRule="auto"/>
        <w:jc w:val="both"/>
        <w:rPr>
          <w:rFonts w:ascii="Arial" w:hAnsi="Arial" w:cs="Arial"/>
        </w:rPr>
      </w:pPr>
    </w:p>
    <w:p w14:paraId="39A4894C" w14:textId="77777777" w:rsidR="00C70971" w:rsidRDefault="004F640E" w:rsidP="00C70971">
      <w:pPr>
        <w:spacing w:line="276" w:lineRule="auto"/>
        <w:jc w:val="both"/>
        <w:rPr>
          <w:rFonts w:ascii="Arial" w:hAnsi="Arial" w:cs="Arial"/>
          <w:lang w:val="es-MX"/>
        </w:rPr>
      </w:pPr>
      <w:r w:rsidRPr="00C906D0">
        <w:rPr>
          <w:rFonts w:ascii="Arial" w:hAnsi="Arial" w:cs="Arial"/>
          <w:lang w:val="es-MX"/>
        </w:rPr>
        <w:t xml:space="preserve">Por lo anteriormente expuesto y fundado por los artículos 51, 52, fracción II y demás relativos aplicables de la </w:t>
      </w:r>
      <w:r w:rsidR="008F508A" w:rsidRPr="00C906D0">
        <w:rPr>
          <w:rFonts w:ascii="Arial" w:hAnsi="Arial" w:cs="Arial"/>
          <w:lang w:val="es-MX"/>
        </w:rPr>
        <w:t xml:space="preserve">–LTAIPSLP- </w:t>
      </w:r>
      <w:r w:rsidRPr="00C906D0">
        <w:rPr>
          <w:rFonts w:ascii="Arial" w:hAnsi="Arial" w:cs="Arial"/>
          <w:lang w:val="es-MX"/>
        </w:rPr>
        <w:t xml:space="preserve">y el artículo </w:t>
      </w:r>
      <w:r w:rsidR="001816A1" w:rsidRPr="00C906D0">
        <w:rPr>
          <w:rFonts w:ascii="Arial" w:hAnsi="Arial" w:cs="Arial"/>
          <w:lang w:val="es-MX"/>
        </w:rPr>
        <w:t>tercero</w:t>
      </w:r>
      <w:r w:rsidRPr="00C906D0">
        <w:rPr>
          <w:rFonts w:ascii="Arial" w:hAnsi="Arial" w:cs="Arial"/>
          <w:lang w:val="es-MX"/>
        </w:rPr>
        <w:t xml:space="preserve"> del </w:t>
      </w:r>
      <w:r w:rsidR="00C71829" w:rsidRPr="00C906D0">
        <w:rPr>
          <w:rFonts w:ascii="Arial" w:hAnsi="Arial" w:cs="Arial"/>
          <w:b/>
        </w:rPr>
        <w:t>“</w:t>
      </w:r>
      <w:r w:rsidR="00C71829" w:rsidRPr="00C906D0">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sidRPr="00C906D0">
        <w:rPr>
          <w:rFonts w:ascii="Arial" w:hAnsi="Arial" w:cs="Arial"/>
          <w:lang w:val="es-MX"/>
        </w:rPr>
        <w:t>se:</w:t>
      </w:r>
    </w:p>
    <w:p w14:paraId="3563FCC1" w14:textId="77777777" w:rsidR="00C906D0" w:rsidRDefault="00C906D0" w:rsidP="00C70971">
      <w:pPr>
        <w:spacing w:line="276" w:lineRule="auto"/>
        <w:jc w:val="both"/>
        <w:rPr>
          <w:rFonts w:ascii="Arial" w:hAnsi="Arial" w:cs="Arial"/>
          <w:lang w:val="es-MX"/>
        </w:rPr>
      </w:pPr>
    </w:p>
    <w:p w14:paraId="257CE7CE" w14:textId="77777777" w:rsidR="00757C0B" w:rsidRPr="00C906D0" w:rsidRDefault="00757C0B" w:rsidP="00C70971">
      <w:pPr>
        <w:spacing w:line="276" w:lineRule="auto"/>
        <w:jc w:val="both"/>
        <w:rPr>
          <w:rFonts w:ascii="Arial" w:hAnsi="Arial" w:cs="Arial"/>
          <w:lang w:val="es-MX"/>
        </w:rPr>
      </w:pPr>
    </w:p>
    <w:p w14:paraId="2DCA6252" w14:textId="7833FDBA" w:rsidR="004F640E" w:rsidRPr="00C906D0" w:rsidRDefault="004F640E" w:rsidP="00C70971">
      <w:pPr>
        <w:spacing w:line="276" w:lineRule="auto"/>
        <w:jc w:val="center"/>
        <w:rPr>
          <w:rFonts w:ascii="Arial" w:hAnsi="Arial" w:cs="Arial"/>
          <w:b/>
          <w:lang w:val="es-MX"/>
        </w:rPr>
      </w:pPr>
      <w:r w:rsidRPr="00C906D0">
        <w:rPr>
          <w:rFonts w:ascii="Arial" w:hAnsi="Arial" w:cs="Arial"/>
          <w:b/>
          <w:lang w:val="es-MX"/>
        </w:rPr>
        <w:t>RESUELVE</w:t>
      </w:r>
      <w:r w:rsidR="00D07876" w:rsidRPr="00C906D0">
        <w:rPr>
          <w:rFonts w:ascii="Arial" w:hAnsi="Arial" w:cs="Arial"/>
          <w:b/>
          <w:lang w:val="es-MX"/>
        </w:rPr>
        <w:t xml:space="preserve"> POR UNANIMIDAD</w:t>
      </w:r>
      <w:r w:rsidRPr="00C906D0">
        <w:rPr>
          <w:rFonts w:ascii="Arial" w:hAnsi="Arial" w:cs="Arial"/>
          <w:b/>
          <w:lang w:val="es-MX"/>
        </w:rPr>
        <w:t>:</w:t>
      </w:r>
    </w:p>
    <w:p w14:paraId="33601F85" w14:textId="77777777" w:rsidR="00804391" w:rsidRDefault="00804391" w:rsidP="001F7332">
      <w:pPr>
        <w:spacing w:line="276" w:lineRule="auto"/>
        <w:jc w:val="center"/>
        <w:rPr>
          <w:rFonts w:ascii="Arial" w:hAnsi="Arial" w:cs="Arial"/>
          <w:b/>
          <w:lang w:val="es-MX"/>
        </w:rPr>
      </w:pPr>
    </w:p>
    <w:p w14:paraId="43D58388" w14:textId="77777777" w:rsidR="00757C0B" w:rsidRPr="00C906D0" w:rsidRDefault="00757C0B" w:rsidP="001F7332">
      <w:pPr>
        <w:spacing w:line="276" w:lineRule="auto"/>
        <w:jc w:val="center"/>
        <w:rPr>
          <w:rFonts w:ascii="Arial" w:hAnsi="Arial" w:cs="Arial"/>
          <w:b/>
          <w:lang w:val="es-MX"/>
        </w:rPr>
      </w:pPr>
    </w:p>
    <w:p w14:paraId="62698C1C" w14:textId="34A2637B" w:rsidR="00EE1B94" w:rsidRPr="00C906D0" w:rsidRDefault="00EE1B94" w:rsidP="001F7332">
      <w:pPr>
        <w:spacing w:line="276" w:lineRule="auto"/>
        <w:jc w:val="both"/>
        <w:rPr>
          <w:rFonts w:ascii="Arial" w:hAnsi="Arial" w:cs="Arial"/>
          <w:lang w:val="es-MX"/>
        </w:rPr>
      </w:pPr>
      <w:r w:rsidRPr="00C906D0">
        <w:rPr>
          <w:rFonts w:ascii="Arial" w:hAnsi="Arial" w:cs="Arial"/>
          <w:b/>
          <w:lang w:val="es-MX"/>
        </w:rPr>
        <w:t>PRIMERO.</w:t>
      </w:r>
      <w:r w:rsidRPr="00C906D0">
        <w:rPr>
          <w:rFonts w:ascii="Arial" w:hAnsi="Arial" w:cs="Arial"/>
          <w:lang w:val="es-MX"/>
        </w:rPr>
        <w:t xml:space="preserve"> Se </w:t>
      </w:r>
      <w:r w:rsidRPr="00C906D0">
        <w:rPr>
          <w:rFonts w:ascii="Arial" w:hAnsi="Arial" w:cs="Arial"/>
          <w:b/>
          <w:lang w:val="es-MX"/>
        </w:rPr>
        <w:t>CONFIRMA</w:t>
      </w:r>
      <w:r w:rsidRPr="00C906D0">
        <w:rPr>
          <w:rFonts w:ascii="Arial" w:hAnsi="Arial" w:cs="Arial"/>
          <w:lang w:val="es-MX"/>
        </w:rPr>
        <w:t xml:space="preserve"> y adopta el acuerdo de reserva </w:t>
      </w:r>
      <w:r w:rsidR="001456F5">
        <w:rPr>
          <w:rFonts w:ascii="Arial" w:hAnsi="Arial" w:cs="Arial"/>
          <w:lang w:val="es-MX"/>
        </w:rPr>
        <w:t>total</w:t>
      </w:r>
      <w:r w:rsidRPr="00C906D0">
        <w:rPr>
          <w:rFonts w:ascii="Arial" w:hAnsi="Arial" w:cs="Arial"/>
          <w:lang w:val="es-MX"/>
        </w:rPr>
        <w:t xml:space="preserve"> </w:t>
      </w:r>
      <w:r w:rsidR="00ED70A6">
        <w:rPr>
          <w:rFonts w:ascii="Arial" w:hAnsi="Arial" w:cs="Arial"/>
          <w:b/>
          <w:lang w:val="es-MX"/>
        </w:rPr>
        <w:t>AR/36/2022</w:t>
      </w:r>
      <w:r w:rsidRPr="00C906D0">
        <w:rPr>
          <w:rFonts w:ascii="Arial" w:hAnsi="Arial" w:cs="Arial"/>
          <w:b/>
          <w:lang w:val="es-MX"/>
        </w:rPr>
        <w:t xml:space="preserve"> </w:t>
      </w:r>
      <w:r w:rsidR="00ED70A6">
        <w:rPr>
          <w:rFonts w:ascii="Arial" w:hAnsi="Arial" w:cs="Arial"/>
          <w:lang w:val="es-MX"/>
        </w:rPr>
        <w:t>de fecha 06</w:t>
      </w:r>
      <w:r w:rsidRPr="00C906D0">
        <w:rPr>
          <w:rFonts w:ascii="Arial" w:hAnsi="Arial" w:cs="Arial"/>
          <w:lang w:val="es-MX"/>
        </w:rPr>
        <w:t xml:space="preserve"> de </w:t>
      </w:r>
      <w:r w:rsidR="00ED70A6">
        <w:rPr>
          <w:rFonts w:ascii="Arial" w:hAnsi="Arial" w:cs="Arial"/>
          <w:lang w:val="es-MX"/>
        </w:rPr>
        <w:t>diciembre</w:t>
      </w:r>
      <w:r w:rsidR="006937A4" w:rsidRPr="00C906D0">
        <w:rPr>
          <w:rFonts w:ascii="Arial" w:hAnsi="Arial" w:cs="Arial"/>
          <w:lang w:val="es-MX"/>
        </w:rPr>
        <w:t xml:space="preserve"> 2022 emitido por el</w:t>
      </w:r>
      <w:r w:rsidRPr="00C906D0">
        <w:rPr>
          <w:rFonts w:ascii="Arial" w:hAnsi="Arial" w:cs="Arial"/>
          <w:lang w:val="es-MX"/>
        </w:rPr>
        <w:t xml:space="preserve"> Director </w:t>
      </w:r>
      <w:r w:rsidR="00ED70A6">
        <w:rPr>
          <w:rFonts w:ascii="Arial" w:hAnsi="Arial" w:cs="Arial"/>
          <w:lang w:val="es-MX"/>
        </w:rPr>
        <w:t>General de Administración</w:t>
      </w:r>
      <w:r w:rsidR="001122B3" w:rsidRPr="00C906D0">
        <w:rPr>
          <w:rFonts w:ascii="Arial" w:hAnsi="Arial" w:cs="Arial"/>
          <w:lang w:val="es-MX"/>
        </w:rPr>
        <w:t xml:space="preserve">. </w:t>
      </w:r>
    </w:p>
    <w:p w14:paraId="09A60B75" w14:textId="77777777" w:rsidR="00804391" w:rsidRPr="00C906D0" w:rsidRDefault="00804391" w:rsidP="001F7332">
      <w:pPr>
        <w:spacing w:line="276" w:lineRule="auto"/>
        <w:jc w:val="both"/>
        <w:rPr>
          <w:rFonts w:ascii="Arial" w:hAnsi="Arial" w:cs="Arial"/>
          <w:b/>
          <w:lang w:val="es-MX"/>
        </w:rPr>
      </w:pPr>
    </w:p>
    <w:p w14:paraId="1FCE0F68" w14:textId="1117F56A" w:rsidR="00EE1B94" w:rsidRPr="00C906D0" w:rsidRDefault="00EE1B94" w:rsidP="001F7332">
      <w:pPr>
        <w:pStyle w:val="Texto"/>
        <w:spacing w:after="0" w:line="276" w:lineRule="auto"/>
        <w:ind w:firstLine="0"/>
        <w:rPr>
          <w:rFonts w:eastAsiaTheme="minorEastAsia"/>
          <w:sz w:val="24"/>
          <w:szCs w:val="24"/>
          <w:lang w:val="es-MX"/>
        </w:rPr>
      </w:pPr>
      <w:r w:rsidRPr="00C906D0">
        <w:rPr>
          <w:b/>
          <w:sz w:val="24"/>
          <w:szCs w:val="24"/>
          <w:lang w:val="es-MX"/>
        </w:rPr>
        <w:t xml:space="preserve">SEGUNDO. </w:t>
      </w:r>
      <w:r w:rsidRPr="00C906D0">
        <w:rPr>
          <w:rFonts w:eastAsiaTheme="minorEastAsia"/>
          <w:sz w:val="24"/>
          <w:szCs w:val="24"/>
          <w:lang w:val="es-MX"/>
        </w:rPr>
        <w:t>Se recomienda a</w:t>
      </w:r>
      <w:r w:rsidR="006937A4" w:rsidRPr="00C906D0">
        <w:rPr>
          <w:rFonts w:eastAsiaTheme="minorEastAsia"/>
          <w:sz w:val="24"/>
          <w:szCs w:val="24"/>
          <w:lang w:val="es-MX"/>
        </w:rPr>
        <w:t>l</w:t>
      </w:r>
      <w:r w:rsidRPr="00C906D0">
        <w:rPr>
          <w:rFonts w:eastAsiaTheme="minorEastAsia"/>
          <w:sz w:val="24"/>
          <w:szCs w:val="24"/>
          <w:lang w:val="es-MX"/>
        </w:rPr>
        <w:t xml:space="preserve"> </w:t>
      </w:r>
      <w:r w:rsidR="00E4369B" w:rsidRPr="00C906D0">
        <w:rPr>
          <w:sz w:val="24"/>
          <w:szCs w:val="24"/>
          <w:lang w:val="es-MX"/>
        </w:rPr>
        <w:t xml:space="preserve">Director </w:t>
      </w:r>
      <w:r w:rsidR="00ED70A6">
        <w:rPr>
          <w:sz w:val="24"/>
          <w:szCs w:val="24"/>
          <w:lang w:val="es-MX"/>
        </w:rPr>
        <w:t>General de Administración</w:t>
      </w:r>
      <w:r w:rsidRPr="00C906D0">
        <w:rPr>
          <w:rFonts w:eastAsiaTheme="minorEastAsia"/>
          <w:sz w:val="24"/>
          <w:szCs w:val="24"/>
          <w:lang w:val="es-MX"/>
        </w:rPr>
        <w:t xml:space="preserve">, realice la reserva de la información cuando sea procedente y difundir cuando impliquen acciones de investigación o atención de expedientes donde se investigan hechos o ilícitos considerados como de lesa humanidad. </w:t>
      </w:r>
    </w:p>
    <w:p w14:paraId="53617ED8" w14:textId="77777777" w:rsidR="00804391" w:rsidRPr="00C906D0" w:rsidRDefault="00804391" w:rsidP="001F7332">
      <w:pPr>
        <w:spacing w:line="276" w:lineRule="auto"/>
        <w:jc w:val="both"/>
        <w:rPr>
          <w:rFonts w:ascii="Arial" w:hAnsi="Arial" w:cs="Arial"/>
          <w:b/>
          <w:lang w:val="es-MX"/>
        </w:rPr>
      </w:pPr>
    </w:p>
    <w:p w14:paraId="758839AF" w14:textId="78B51B5D" w:rsidR="00EE1B94" w:rsidRPr="00C906D0" w:rsidRDefault="00EE1B94" w:rsidP="001F7332">
      <w:pPr>
        <w:spacing w:line="276" w:lineRule="auto"/>
        <w:jc w:val="both"/>
        <w:rPr>
          <w:rFonts w:ascii="Arial" w:hAnsi="Arial" w:cs="Arial"/>
          <w:lang w:val="es-MX"/>
        </w:rPr>
      </w:pPr>
      <w:r w:rsidRPr="00C906D0">
        <w:rPr>
          <w:rFonts w:ascii="Arial" w:hAnsi="Arial" w:cs="Arial"/>
          <w:b/>
          <w:lang w:val="es-MX"/>
        </w:rPr>
        <w:t xml:space="preserve">TERCERO. </w:t>
      </w:r>
      <w:r w:rsidR="006937A4" w:rsidRPr="00C906D0">
        <w:rPr>
          <w:rFonts w:ascii="Arial" w:hAnsi="Arial" w:cs="Arial"/>
          <w:lang w:val="es-MX"/>
        </w:rPr>
        <w:t>El</w:t>
      </w:r>
      <w:r w:rsidRPr="00C906D0">
        <w:rPr>
          <w:rFonts w:ascii="Arial" w:hAnsi="Arial" w:cs="Arial"/>
          <w:lang w:val="es-MX"/>
        </w:rPr>
        <w:t xml:space="preserve"> </w:t>
      </w:r>
      <w:r w:rsidR="00ED70A6">
        <w:rPr>
          <w:rFonts w:ascii="Arial" w:hAnsi="Arial" w:cs="Arial"/>
          <w:lang w:val="es-MX"/>
        </w:rPr>
        <w:t>Director General de Administración</w:t>
      </w:r>
      <w:r w:rsidR="00E4369B" w:rsidRPr="00C906D0">
        <w:rPr>
          <w:rFonts w:ascii="Arial" w:hAnsi="Arial" w:cs="Arial"/>
          <w:lang w:val="es-MX"/>
        </w:rPr>
        <w:t xml:space="preserve"> </w:t>
      </w:r>
      <w:r w:rsidRPr="00C906D0">
        <w:rPr>
          <w:rFonts w:ascii="Arial" w:hAnsi="Arial" w:cs="Arial"/>
          <w:lang w:val="es-MX"/>
        </w:rPr>
        <w:t>notifique al área responsable de su resguardo en términos del artículo 132 de la –LTAIPSLP-.</w:t>
      </w:r>
    </w:p>
    <w:p w14:paraId="44C0B58A" w14:textId="77777777" w:rsidR="00C70971" w:rsidRPr="00C906D0" w:rsidRDefault="00C70971" w:rsidP="001F7332">
      <w:pPr>
        <w:spacing w:line="276" w:lineRule="auto"/>
        <w:jc w:val="both"/>
        <w:rPr>
          <w:rFonts w:ascii="Arial" w:hAnsi="Arial" w:cs="Arial"/>
          <w:b/>
          <w:lang w:val="es-MX"/>
        </w:rPr>
      </w:pPr>
    </w:p>
    <w:p w14:paraId="2ABC47B2" w14:textId="698F0A3C" w:rsidR="00EE1B94" w:rsidRPr="00C906D0" w:rsidRDefault="00EE1B94" w:rsidP="001F7332">
      <w:pPr>
        <w:spacing w:line="276" w:lineRule="auto"/>
        <w:jc w:val="both"/>
        <w:rPr>
          <w:rFonts w:ascii="Arial" w:hAnsi="Arial" w:cs="Arial"/>
          <w:lang w:val="es-MX"/>
        </w:rPr>
      </w:pPr>
      <w:r w:rsidRPr="00C906D0">
        <w:rPr>
          <w:rFonts w:ascii="Arial" w:hAnsi="Arial" w:cs="Arial"/>
          <w:b/>
          <w:lang w:val="es-MX"/>
        </w:rPr>
        <w:t xml:space="preserve">CUARTO. </w:t>
      </w:r>
      <w:r w:rsidR="006937A4" w:rsidRPr="00C906D0">
        <w:rPr>
          <w:rFonts w:ascii="Arial" w:hAnsi="Arial" w:cs="Arial"/>
          <w:lang w:val="es-MX"/>
        </w:rPr>
        <w:t>El</w:t>
      </w:r>
      <w:r w:rsidRPr="00C906D0">
        <w:rPr>
          <w:rFonts w:ascii="Arial" w:hAnsi="Arial" w:cs="Arial"/>
          <w:lang w:val="es-MX"/>
        </w:rPr>
        <w:t xml:space="preserve"> </w:t>
      </w:r>
      <w:r w:rsidR="00E4369B" w:rsidRPr="00C906D0">
        <w:rPr>
          <w:rFonts w:ascii="Arial" w:hAnsi="Arial" w:cs="Arial"/>
          <w:lang w:val="es-MX"/>
        </w:rPr>
        <w:t xml:space="preserve">Director </w:t>
      </w:r>
      <w:r w:rsidR="00ED70A6">
        <w:rPr>
          <w:rFonts w:ascii="Arial" w:hAnsi="Arial" w:cs="Arial"/>
          <w:lang w:val="es-MX"/>
        </w:rPr>
        <w:t>General de Administración</w:t>
      </w:r>
      <w:r w:rsidR="00E4369B" w:rsidRPr="00C906D0">
        <w:rPr>
          <w:rFonts w:ascii="Arial" w:hAnsi="Arial" w:cs="Arial"/>
          <w:lang w:val="es-MX"/>
        </w:rPr>
        <w:t xml:space="preserve"> </w:t>
      </w:r>
      <w:r w:rsidRPr="00C906D0">
        <w:rPr>
          <w:rFonts w:ascii="Arial" w:hAnsi="Arial" w:cs="Arial"/>
          <w:lang w:val="es-MX"/>
        </w:rPr>
        <w:t xml:space="preserve">debe solicitar la desclasificación una vez que hayan fenecido las causas que dieron origen a la reserva o haya concluido el plazo señalado en el acuerdo </w:t>
      </w:r>
      <w:r w:rsidR="00ED70A6">
        <w:rPr>
          <w:rFonts w:ascii="Arial" w:hAnsi="Arial" w:cs="Arial"/>
          <w:b/>
          <w:lang w:val="es-MX"/>
        </w:rPr>
        <w:t>AR/36/2022</w:t>
      </w:r>
      <w:r w:rsidR="00D14C84" w:rsidRPr="00C906D0">
        <w:rPr>
          <w:rFonts w:ascii="Arial" w:hAnsi="Arial" w:cs="Arial"/>
          <w:b/>
          <w:lang w:val="es-MX"/>
        </w:rPr>
        <w:t xml:space="preserve"> </w:t>
      </w:r>
      <w:r w:rsidRPr="00C906D0">
        <w:rPr>
          <w:rFonts w:ascii="Arial" w:hAnsi="Arial" w:cs="Arial"/>
          <w:lang w:val="es-MX"/>
        </w:rPr>
        <w:t xml:space="preserve">en su apartado </w:t>
      </w:r>
      <w:r w:rsidRPr="00C906D0">
        <w:rPr>
          <w:rFonts w:ascii="Arial" w:hAnsi="Arial" w:cs="Arial"/>
          <w:u w:val="single"/>
          <w:lang w:val="es-MX"/>
        </w:rPr>
        <w:t>IV. El plazo por el que se reserva la información</w:t>
      </w:r>
      <w:r w:rsidRPr="00C906D0">
        <w:rPr>
          <w:rFonts w:ascii="Arial" w:hAnsi="Arial" w:cs="Arial"/>
          <w:lang w:val="es-MX"/>
        </w:rPr>
        <w:t>.</w:t>
      </w:r>
    </w:p>
    <w:p w14:paraId="00010FBE" w14:textId="77777777" w:rsidR="00E04FB4" w:rsidRPr="00C906D0" w:rsidRDefault="00E04FB4" w:rsidP="001F7332">
      <w:pPr>
        <w:spacing w:line="276" w:lineRule="auto"/>
        <w:ind w:left="1416" w:hanging="1416"/>
        <w:jc w:val="both"/>
        <w:rPr>
          <w:rFonts w:ascii="Arial" w:hAnsi="Arial" w:cs="Arial"/>
          <w:lang w:val="es-MX"/>
        </w:rPr>
      </w:pPr>
    </w:p>
    <w:p w14:paraId="5B7F4BFA" w14:textId="7039159E" w:rsidR="00EE1B94" w:rsidRPr="00C906D0" w:rsidRDefault="00EE1B94" w:rsidP="001F7332">
      <w:pPr>
        <w:spacing w:line="276" w:lineRule="auto"/>
        <w:jc w:val="both"/>
        <w:rPr>
          <w:rFonts w:ascii="Arial" w:hAnsi="Arial" w:cs="Arial"/>
          <w:lang w:val="es-MX"/>
        </w:rPr>
      </w:pPr>
      <w:r w:rsidRPr="00C906D0">
        <w:rPr>
          <w:rFonts w:ascii="Arial" w:hAnsi="Arial" w:cs="Arial"/>
          <w:b/>
          <w:lang w:val="es-MX"/>
        </w:rPr>
        <w:t xml:space="preserve">QUINTO. </w:t>
      </w:r>
      <w:r w:rsidR="006937A4" w:rsidRPr="00C906D0">
        <w:rPr>
          <w:rFonts w:ascii="Arial" w:hAnsi="Arial" w:cs="Arial"/>
          <w:lang w:val="es-MX"/>
        </w:rPr>
        <w:t>El</w:t>
      </w:r>
      <w:r w:rsidRPr="00C906D0">
        <w:rPr>
          <w:rFonts w:ascii="Arial" w:hAnsi="Arial" w:cs="Arial"/>
          <w:lang w:val="es-MX"/>
        </w:rPr>
        <w:t xml:space="preserve"> </w:t>
      </w:r>
      <w:r w:rsidR="00E4369B" w:rsidRPr="00C906D0">
        <w:rPr>
          <w:rFonts w:ascii="Arial" w:hAnsi="Arial" w:cs="Arial"/>
          <w:lang w:val="es-MX"/>
        </w:rPr>
        <w:t xml:space="preserve">Director </w:t>
      </w:r>
      <w:r w:rsidR="00ED70A6">
        <w:rPr>
          <w:rFonts w:ascii="Arial" w:hAnsi="Arial" w:cs="Arial"/>
          <w:lang w:val="es-MX"/>
        </w:rPr>
        <w:t>General de Administración</w:t>
      </w:r>
      <w:r w:rsidRPr="00C906D0">
        <w:rPr>
          <w:rFonts w:ascii="Arial" w:hAnsi="Arial" w:cs="Arial"/>
          <w:lang w:val="es-MX"/>
        </w:rPr>
        <w:t>, deberá de notificar a las Instituciones y áreas internas de la Fiscalía General del Estado, la presente resolución para los efectos legales y administrativos a que haya lugar.</w:t>
      </w:r>
    </w:p>
    <w:p w14:paraId="43C5990E" w14:textId="77777777" w:rsidR="00E04FB4" w:rsidRPr="00C906D0" w:rsidRDefault="00E04FB4" w:rsidP="001F7332">
      <w:pPr>
        <w:spacing w:line="276" w:lineRule="auto"/>
        <w:jc w:val="both"/>
        <w:rPr>
          <w:rFonts w:ascii="Arial" w:hAnsi="Arial" w:cs="Arial"/>
          <w:lang w:val="es-MX"/>
        </w:rPr>
      </w:pPr>
    </w:p>
    <w:p w14:paraId="11E5C2FD" w14:textId="559F801E" w:rsidR="00CF11DE" w:rsidRPr="00C906D0" w:rsidRDefault="00EE1B94" w:rsidP="001F7332">
      <w:pPr>
        <w:widowControl w:val="0"/>
        <w:spacing w:line="276" w:lineRule="auto"/>
        <w:jc w:val="both"/>
        <w:rPr>
          <w:rFonts w:ascii="Arial" w:hAnsi="Arial" w:cs="Arial"/>
          <w:lang w:val="es-MX"/>
        </w:rPr>
      </w:pPr>
      <w:r w:rsidRPr="00C906D0">
        <w:rPr>
          <w:rFonts w:ascii="Arial" w:hAnsi="Arial" w:cs="Arial"/>
          <w:b/>
        </w:rPr>
        <w:t>SEXTO.</w:t>
      </w:r>
      <w:r w:rsidRPr="00C906D0">
        <w:rPr>
          <w:rFonts w:ascii="Arial" w:hAnsi="Arial" w:cs="Arial"/>
          <w:lang w:val="es-MX"/>
        </w:rPr>
        <w:t xml:space="preserve"> </w:t>
      </w:r>
      <w:r w:rsidR="006937A4" w:rsidRPr="00C906D0">
        <w:rPr>
          <w:rFonts w:ascii="Arial" w:hAnsi="Arial" w:cs="Arial"/>
          <w:lang w:val="es-MX"/>
        </w:rPr>
        <w:t>El</w:t>
      </w:r>
      <w:r w:rsidR="00CF11DE" w:rsidRPr="00C906D0">
        <w:rPr>
          <w:rFonts w:ascii="Arial" w:hAnsi="Arial" w:cs="Arial"/>
          <w:lang w:val="es-MX"/>
        </w:rPr>
        <w:t xml:space="preserve"> </w:t>
      </w:r>
      <w:r w:rsidR="00ED70A6">
        <w:rPr>
          <w:rFonts w:ascii="Arial" w:hAnsi="Arial" w:cs="Arial"/>
          <w:lang w:val="es-MX"/>
        </w:rPr>
        <w:t>Director General de Administración</w:t>
      </w:r>
      <w:r w:rsidR="00CF11DE" w:rsidRPr="00C906D0">
        <w:rPr>
          <w:rFonts w:ascii="Arial" w:hAnsi="Arial" w:cs="Arial"/>
          <w:lang w:val="es-MX"/>
        </w:rPr>
        <w:t xml:space="preserve">, deberá de </w:t>
      </w:r>
      <w:r w:rsidR="00E4369B" w:rsidRPr="00C906D0">
        <w:rPr>
          <w:rFonts w:ascii="Arial" w:hAnsi="Arial" w:cs="Arial"/>
          <w:lang w:val="es-MX"/>
        </w:rPr>
        <w:t>dar atención a la solicitud número UT-SI-</w:t>
      </w:r>
      <w:r w:rsidR="00ED70A6">
        <w:rPr>
          <w:rFonts w:ascii="Arial" w:hAnsi="Arial" w:cs="Arial"/>
          <w:lang w:val="es-MX"/>
        </w:rPr>
        <w:t>278</w:t>
      </w:r>
      <w:r w:rsidR="00E4369B" w:rsidRPr="00C906D0">
        <w:rPr>
          <w:rFonts w:ascii="Arial" w:hAnsi="Arial" w:cs="Arial"/>
          <w:lang w:val="es-MX"/>
        </w:rPr>
        <w:t>-</w:t>
      </w:r>
      <w:r w:rsidR="00ED70A6">
        <w:rPr>
          <w:rFonts w:ascii="Arial" w:hAnsi="Arial" w:cs="Arial"/>
          <w:lang w:val="es-MX"/>
        </w:rPr>
        <w:t>00416221</w:t>
      </w:r>
      <w:r w:rsidR="00E4369B" w:rsidRPr="00C906D0">
        <w:rPr>
          <w:rFonts w:ascii="Arial" w:hAnsi="Arial" w:cs="Arial"/>
          <w:lang w:val="es-MX"/>
        </w:rPr>
        <w:t>-202</w:t>
      </w:r>
      <w:r w:rsidR="00ED70A6">
        <w:rPr>
          <w:rFonts w:ascii="Arial" w:hAnsi="Arial" w:cs="Arial"/>
          <w:lang w:val="es-MX"/>
        </w:rPr>
        <w:t>1 la cual resulta ser el antecedente del Recurso de Revisión número RR-664/2021-3</w:t>
      </w:r>
      <w:r w:rsidR="00E4369B" w:rsidRPr="00C906D0">
        <w:rPr>
          <w:rFonts w:ascii="Arial" w:hAnsi="Arial" w:cs="Arial"/>
          <w:lang w:val="es-MX"/>
        </w:rPr>
        <w:t>, en términos del artículo 154, adjuntando los documentos que acrediten su legal procede</w:t>
      </w:r>
    </w:p>
    <w:p w14:paraId="0E8D8E4C" w14:textId="77777777" w:rsidR="00E04FB4" w:rsidRPr="00C906D0" w:rsidRDefault="00E04FB4" w:rsidP="001F7332">
      <w:pPr>
        <w:widowControl w:val="0"/>
        <w:spacing w:line="276" w:lineRule="auto"/>
        <w:jc w:val="both"/>
        <w:rPr>
          <w:rFonts w:ascii="Arial" w:hAnsi="Arial" w:cs="Arial"/>
          <w:lang w:val="es-MX"/>
        </w:rPr>
      </w:pPr>
    </w:p>
    <w:p w14:paraId="3C4A64CC" w14:textId="22CAD736" w:rsidR="00EE1B94" w:rsidRPr="00C906D0" w:rsidRDefault="00CF11DE" w:rsidP="001F7332">
      <w:pPr>
        <w:widowControl w:val="0"/>
        <w:spacing w:line="276" w:lineRule="auto"/>
        <w:jc w:val="both"/>
        <w:rPr>
          <w:rFonts w:ascii="Arial" w:hAnsi="Arial" w:cs="Arial"/>
        </w:rPr>
      </w:pPr>
      <w:r w:rsidRPr="00C906D0">
        <w:rPr>
          <w:rFonts w:ascii="Arial" w:hAnsi="Arial" w:cs="Arial"/>
          <w:b/>
          <w:lang w:val="es-MX"/>
        </w:rPr>
        <w:t xml:space="preserve">SÉPTIMO. </w:t>
      </w:r>
      <w:r w:rsidR="006937A4" w:rsidRPr="00C906D0">
        <w:rPr>
          <w:rFonts w:ascii="Arial" w:hAnsi="Arial" w:cs="Arial"/>
          <w:lang w:val="es-MX"/>
        </w:rPr>
        <w:t>El</w:t>
      </w:r>
      <w:r w:rsidR="00EE1B94" w:rsidRPr="00C906D0">
        <w:rPr>
          <w:rFonts w:ascii="Arial" w:hAnsi="Arial" w:cs="Arial"/>
          <w:lang w:val="es-MX"/>
        </w:rPr>
        <w:t xml:space="preserve"> </w:t>
      </w:r>
      <w:r w:rsidR="00E4369B" w:rsidRPr="00C906D0">
        <w:rPr>
          <w:rFonts w:ascii="Arial" w:hAnsi="Arial" w:cs="Arial"/>
          <w:lang w:val="es-MX"/>
        </w:rPr>
        <w:t xml:space="preserve">Director </w:t>
      </w:r>
      <w:r w:rsidR="00ED70A6">
        <w:rPr>
          <w:rFonts w:ascii="Arial" w:hAnsi="Arial" w:cs="Arial"/>
          <w:lang w:val="es-MX"/>
        </w:rPr>
        <w:t>General de Administración</w:t>
      </w:r>
      <w:r w:rsidR="00E4369B" w:rsidRPr="00C906D0">
        <w:rPr>
          <w:rFonts w:ascii="Arial" w:hAnsi="Arial" w:cs="Arial"/>
          <w:lang w:val="es-MX"/>
        </w:rPr>
        <w:t xml:space="preserve"> </w:t>
      </w:r>
      <w:r w:rsidR="00EE1B94" w:rsidRPr="00C906D0">
        <w:rPr>
          <w:rFonts w:ascii="Arial" w:hAnsi="Arial" w:cs="Arial"/>
          <w:lang w:val="es-MX"/>
        </w:rPr>
        <w:t xml:space="preserve">deberá de realizar </w:t>
      </w:r>
      <w:r w:rsidR="00EE1B94" w:rsidRPr="00C906D0">
        <w:rPr>
          <w:rFonts w:ascii="Arial" w:hAnsi="Arial" w:cs="Arial"/>
        </w:rPr>
        <w:t>las anotaciones correspondientes de conformidad con el artículo 121 de la -LTAIPSLP- lineamiento Quincuagésimo Primero de los Lineamientos Generales en Materia de Clasificación y Desclasificación de la información, así como para la Elaboración de Versiones Públicas</w:t>
      </w:r>
      <w:r w:rsidRPr="00C906D0">
        <w:rPr>
          <w:rFonts w:ascii="Arial" w:hAnsi="Arial" w:cs="Arial"/>
        </w:rPr>
        <w:t>.</w:t>
      </w:r>
      <w:r w:rsidR="00EE1B94" w:rsidRPr="00C906D0">
        <w:rPr>
          <w:rFonts w:ascii="Arial" w:hAnsi="Arial" w:cs="Arial"/>
        </w:rPr>
        <w:t xml:space="preserve"> </w:t>
      </w:r>
    </w:p>
    <w:p w14:paraId="287F738C" w14:textId="77777777" w:rsidR="008C5A4E" w:rsidRPr="00C906D0" w:rsidRDefault="008C5A4E" w:rsidP="001F7332">
      <w:pPr>
        <w:widowControl w:val="0"/>
        <w:spacing w:line="276" w:lineRule="auto"/>
        <w:jc w:val="both"/>
        <w:rPr>
          <w:rFonts w:ascii="Arial" w:hAnsi="Arial" w:cs="Arial"/>
        </w:rPr>
      </w:pPr>
    </w:p>
    <w:p w14:paraId="24F66FB4" w14:textId="00F32EB4" w:rsidR="00C35708" w:rsidRPr="00C906D0" w:rsidRDefault="00D156E9" w:rsidP="001F7332">
      <w:pPr>
        <w:spacing w:line="276" w:lineRule="auto"/>
        <w:jc w:val="both"/>
        <w:rPr>
          <w:rFonts w:ascii="Arial" w:hAnsi="Arial" w:cs="Arial"/>
          <w:b/>
          <w:lang w:val="es-MX"/>
        </w:rPr>
      </w:pPr>
      <w:r w:rsidRPr="00C906D0">
        <w:rPr>
          <w:rFonts w:ascii="Arial" w:hAnsi="Arial" w:cs="Arial"/>
          <w:lang w:val="es-MX"/>
        </w:rPr>
        <w:t xml:space="preserve">Así en la </w:t>
      </w:r>
      <w:r w:rsidR="000C09C1" w:rsidRPr="00C906D0">
        <w:rPr>
          <w:rFonts w:ascii="Arial" w:hAnsi="Arial" w:cs="Arial"/>
          <w:b/>
          <w:lang w:val="es-MX"/>
        </w:rPr>
        <w:t>décima</w:t>
      </w:r>
      <w:r w:rsidR="00B67C0A" w:rsidRPr="00C906D0">
        <w:rPr>
          <w:rFonts w:ascii="Arial" w:hAnsi="Arial" w:cs="Arial"/>
          <w:b/>
          <w:lang w:val="es-MX"/>
        </w:rPr>
        <w:t xml:space="preserve"> </w:t>
      </w:r>
      <w:r w:rsidR="00ED70A6">
        <w:rPr>
          <w:rFonts w:ascii="Arial" w:hAnsi="Arial" w:cs="Arial"/>
          <w:b/>
          <w:lang w:val="es-MX"/>
        </w:rPr>
        <w:t>segunda</w:t>
      </w:r>
      <w:r w:rsidR="0095660D" w:rsidRPr="00C906D0">
        <w:rPr>
          <w:rFonts w:ascii="Arial" w:hAnsi="Arial" w:cs="Arial"/>
          <w:b/>
          <w:lang w:val="es-MX"/>
        </w:rPr>
        <w:t xml:space="preserve"> </w:t>
      </w:r>
      <w:r w:rsidR="0095660D" w:rsidRPr="00C906D0">
        <w:rPr>
          <w:rFonts w:ascii="Arial" w:hAnsi="Arial" w:cs="Arial"/>
          <w:lang w:val="es-MX"/>
        </w:rPr>
        <w:t>s</w:t>
      </w:r>
      <w:r w:rsidRPr="00C906D0">
        <w:rPr>
          <w:rFonts w:ascii="Arial" w:hAnsi="Arial" w:cs="Arial"/>
          <w:lang w:val="es-MX"/>
        </w:rPr>
        <w:t xml:space="preserve">esión </w:t>
      </w:r>
      <w:r w:rsidR="0095660D" w:rsidRPr="00C906D0">
        <w:rPr>
          <w:rFonts w:ascii="Arial" w:hAnsi="Arial" w:cs="Arial"/>
          <w:b/>
          <w:lang w:val="es-MX"/>
        </w:rPr>
        <w:t>o</w:t>
      </w:r>
      <w:r w:rsidRPr="00C906D0">
        <w:rPr>
          <w:rFonts w:ascii="Arial" w:hAnsi="Arial" w:cs="Arial"/>
          <w:b/>
          <w:lang w:val="es-MX"/>
        </w:rPr>
        <w:t xml:space="preserve">rdinaria </w:t>
      </w:r>
      <w:r w:rsidRPr="00C906D0">
        <w:rPr>
          <w:rFonts w:ascii="Arial" w:hAnsi="Arial" w:cs="Arial"/>
          <w:lang w:val="es-MX"/>
        </w:rPr>
        <w:t>del Comité de Transparencia</w:t>
      </w:r>
      <w:r w:rsidR="00437D50" w:rsidRPr="00C906D0">
        <w:rPr>
          <w:rFonts w:ascii="Arial" w:hAnsi="Arial" w:cs="Arial"/>
          <w:lang w:val="es-MX"/>
        </w:rPr>
        <w:t xml:space="preserve"> </w:t>
      </w:r>
      <w:r w:rsidR="00437D50" w:rsidRPr="00C906D0">
        <w:rPr>
          <w:rFonts w:ascii="Arial" w:hAnsi="Arial" w:cs="Arial"/>
          <w:b/>
          <w:lang w:val="es-MX"/>
        </w:rPr>
        <w:t>2022</w:t>
      </w:r>
      <w:r w:rsidRPr="00C906D0">
        <w:rPr>
          <w:rFonts w:ascii="Arial" w:hAnsi="Arial" w:cs="Arial"/>
          <w:b/>
          <w:lang w:val="es-MX"/>
        </w:rPr>
        <w:t>,</w:t>
      </w:r>
      <w:r w:rsidRPr="00C906D0">
        <w:rPr>
          <w:rFonts w:ascii="Arial" w:hAnsi="Arial" w:cs="Arial"/>
          <w:lang w:val="es-MX"/>
        </w:rPr>
        <w:t xml:space="preserve"> se discutió, votó y se </w:t>
      </w:r>
      <w:r w:rsidRPr="00C906D0">
        <w:rPr>
          <w:rFonts w:ascii="Arial" w:hAnsi="Arial" w:cs="Arial"/>
          <w:b/>
          <w:lang w:val="es-MX"/>
        </w:rPr>
        <w:t>CONFIRMO</w:t>
      </w:r>
      <w:r w:rsidRPr="00C906D0">
        <w:rPr>
          <w:rFonts w:ascii="Arial" w:hAnsi="Arial" w:cs="Arial"/>
          <w:lang w:val="es-MX"/>
        </w:rPr>
        <w:t xml:space="preserve"> por unanimidad de votos el </w:t>
      </w:r>
      <w:r w:rsidR="00244E15" w:rsidRPr="00C906D0">
        <w:rPr>
          <w:rFonts w:ascii="Arial" w:hAnsi="Arial" w:cs="Arial"/>
          <w:lang w:val="es-MX"/>
        </w:rPr>
        <w:t>a</w:t>
      </w:r>
      <w:r w:rsidRPr="00C906D0">
        <w:rPr>
          <w:rFonts w:ascii="Arial" w:hAnsi="Arial" w:cs="Arial"/>
          <w:lang w:val="es-MX"/>
        </w:rPr>
        <w:t xml:space="preserve">cuerdo de </w:t>
      </w:r>
      <w:r w:rsidR="00244E15" w:rsidRPr="00C906D0">
        <w:rPr>
          <w:rFonts w:ascii="Arial" w:hAnsi="Arial" w:cs="Arial"/>
          <w:lang w:val="es-MX"/>
        </w:rPr>
        <w:t>r</w:t>
      </w:r>
      <w:r w:rsidRPr="00C906D0">
        <w:rPr>
          <w:rFonts w:ascii="Arial" w:hAnsi="Arial" w:cs="Arial"/>
          <w:lang w:val="es-MX"/>
        </w:rPr>
        <w:t xml:space="preserve">eserva </w:t>
      </w:r>
      <w:r w:rsidR="001456F5">
        <w:rPr>
          <w:rFonts w:ascii="Arial" w:hAnsi="Arial" w:cs="Arial"/>
          <w:lang w:val="es-MX"/>
        </w:rPr>
        <w:t xml:space="preserve">total </w:t>
      </w:r>
      <w:r w:rsidR="001456F5">
        <w:rPr>
          <w:rFonts w:ascii="Arial" w:hAnsi="Arial" w:cs="Arial"/>
          <w:b/>
          <w:lang w:val="es-MX"/>
        </w:rPr>
        <w:t>AR/36/2022</w:t>
      </w:r>
      <w:r w:rsidR="00CF11DE" w:rsidRPr="00C906D0">
        <w:rPr>
          <w:rFonts w:ascii="Arial" w:hAnsi="Arial" w:cs="Arial"/>
          <w:b/>
          <w:lang w:val="es-MX"/>
        </w:rPr>
        <w:t>.</w:t>
      </w:r>
      <w:r w:rsidR="009B3FF4" w:rsidRPr="00C906D0">
        <w:rPr>
          <w:rFonts w:ascii="Arial" w:hAnsi="Arial" w:cs="Arial"/>
          <w:b/>
          <w:lang w:val="es-MX"/>
        </w:rPr>
        <w:t xml:space="preserve"> </w:t>
      </w:r>
    </w:p>
    <w:p w14:paraId="26416EC6" w14:textId="77777777" w:rsidR="00C35708" w:rsidRPr="00C906D0" w:rsidRDefault="00C35708" w:rsidP="001F7332">
      <w:pPr>
        <w:spacing w:line="276" w:lineRule="auto"/>
        <w:jc w:val="both"/>
        <w:rPr>
          <w:rFonts w:ascii="Arial" w:hAnsi="Arial" w:cs="Arial"/>
          <w:b/>
          <w:lang w:val="es-MX"/>
        </w:rPr>
      </w:pPr>
    </w:p>
    <w:p w14:paraId="377A7D76" w14:textId="4E1C0F83" w:rsidR="00043EA6" w:rsidRPr="00C906D0" w:rsidRDefault="00D156E9" w:rsidP="001F7332">
      <w:pPr>
        <w:spacing w:line="276" w:lineRule="auto"/>
        <w:jc w:val="both"/>
        <w:rPr>
          <w:rFonts w:ascii="Arial" w:hAnsi="Arial" w:cs="Arial"/>
          <w:lang w:val="es-MX"/>
        </w:rPr>
      </w:pPr>
      <w:r w:rsidRPr="00C906D0">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Pr="00C906D0">
        <w:rPr>
          <w:rFonts w:ascii="Arial" w:hAnsi="Arial" w:cs="Arial"/>
          <w:b/>
          <w:lang w:val="es-MX"/>
        </w:rPr>
        <w:t>FGE-CT-AR-</w:t>
      </w:r>
      <w:r w:rsidR="001456F5">
        <w:rPr>
          <w:rFonts w:ascii="Arial" w:hAnsi="Arial" w:cs="Arial"/>
          <w:b/>
          <w:lang w:val="es-MX"/>
        </w:rPr>
        <w:t>185</w:t>
      </w:r>
      <w:r w:rsidRPr="00C906D0">
        <w:rPr>
          <w:rFonts w:ascii="Arial" w:hAnsi="Arial" w:cs="Arial"/>
          <w:b/>
          <w:lang w:val="es-MX"/>
        </w:rPr>
        <w:t>-202</w:t>
      </w:r>
      <w:r w:rsidR="00540338" w:rsidRPr="00C906D0">
        <w:rPr>
          <w:rFonts w:ascii="Arial" w:hAnsi="Arial" w:cs="Arial"/>
          <w:b/>
          <w:lang w:val="es-MX"/>
        </w:rPr>
        <w:t>2</w:t>
      </w:r>
      <w:r w:rsidR="009B3FF4" w:rsidRPr="00C906D0">
        <w:rPr>
          <w:rFonts w:ascii="Arial" w:hAnsi="Arial" w:cs="Arial"/>
          <w:b/>
          <w:lang w:val="es-MX"/>
        </w:rPr>
        <w:t>.</w:t>
      </w:r>
      <w:r w:rsidR="00C70971" w:rsidRPr="00C906D0">
        <w:rPr>
          <w:rFonts w:ascii="Arial" w:hAnsi="Arial" w:cs="Arial"/>
          <w:b/>
          <w:lang w:val="es-MX"/>
        </w:rPr>
        <w:t xml:space="preserve"> </w:t>
      </w:r>
      <w:r w:rsidR="00043EA6" w:rsidRPr="00C906D0">
        <w:rPr>
          <w:rFonts w:ascii="Arial" w:hAnsi="Arial" w:cs="Arial"/>
          <w:lang w:val="es-MX"/>
        </w:rPr>
        <w:t xml:space="preserve">En cumplimiento a lo establecido por el artículo 128 fracción IX, de la </w:t>
      </w:r>
      <w:r w:rsidR="00140DD7" w:rsidRPr="00C906D0">
        <w:rPr>
          <w:rFonts w:ascii="Arial" w:hAnsi="Arial" w:cs="Arial"/>
          <w:lang w:val="es-MX"/>
        </w:rPr>
        <w:t>–LTAIPSLP-</w:t>
      </w:r>
      <w:r w:rsidR="00043EA6" w:rsidRPr="00C906D0">
        <w:rPr>
          <w:rFonts w:ascii="Arial" w:hAnsi="Arial" w:cs="Arial"/>
          <w:lang w:val="es-MX"/>
        </w:rPr>
        <w:t>, se procede a rubricar la presente resolución.</w:t>
      </w:r>
    </w:p>
    <w:p w14:paraId="712BF321" w14:textId="38E1F7EE" w:rsidR="00043EA6" w:rsidRPr="00C906D0" w:rsidRDefault="00043EA6" w:rsidP="001F7332">
      <w:pPr>
        <w:spacing w:line="276" w:lineRule="auto"/>
        <w:jc w:val="both"/>
        <w:rPr>
          <w:rFonts w:ascii="Arial" w:hAnsi="Arial" w:cs="Arial"/>
          <w:lang w:val="es-MX"/>
        </w:rPr>
      </w:pPr>
    </w:p>
    <w:p w14:paraId="22FEC218" w14:textId="77777777" w:rsidR="002513CE" w:rsidRPr="00C906D0" w:rsidRDefault="002513CE" w:rsidP="001F7332">
      <w:pPr>
        <w:spacing w:line="276" w:lineRule="auto"/>
        <w:ind w:left="708" w:hanging="708"/>
        <w:rPr>
          <w:rFonts w:ascii="Arial" w:hAnsi="Arial" w:cs="Arial"/>
          <w:lang w:val="es-MX"/>
        </w:rPr>
      </w:pPr>
    </w:p>
    <w:p w14:paraId="4F5FFB1C" w14:textId="28766837" w:rsidR="007D772B" w:rsidRPr="00C906D0" w:rsidRDefault="007D772B" w:rsidP="001F7332">
      <w:pPr>
        <w:spacing w:line="276" w:lineRule="auto"/>
        <w:rPr>
          <w:rFonts w:ascii="Arial" w:hAnsi="Arial" w:cs="Arial"/>
          <w:lang w:val="es-MX"/>
        </w:rPr>
      </w:pPr>
      <w:r w:rsidRPr="00C906D0">
        <w:rPr>
          <w:rFonts w:ascii="Arial" w:hAnsi="Arial" w:cs="Arial"/>
          <w:lang w:val="es-MX"/>
        </w:rPr>
        <w:t>________________</w:t>
      </w:r>
      <w:r w:rsidR="005433FA" w:rsidRPr="00C906D0">
        <w:rPr>
          <w:rFonts w:ascii="Arial" w:hAnsi="Arial" w:cs="Arial"/>
          <w:lang w:val="es-MX"/>
        </w:rPr>
        <w:t>_______</w:t>
      </w:r>
      <w:r w:rsidRPr="00C906D0">
        <w:rPr>
          <w:rFonts w:ascii="Arial" w:hAnsi="Arial" w:cs="Arial"/>
          <w:lang w:val="es-MX"/>
        </w:rPr>
        <w:t>_____________</w:t>
      </w:r>
    </w:p>
    <w:p w14:paraId="30314979" w14:textId="1F55FC32" w:rsidR="007D772B" w:rsidRPr="00C906D0" w:rsidRDefault="00EE1B94" w:rsidP="001F7332">
      <w:pPr>
        <w:tabs>
          <w:tab w:val="left" w:pos="8998"/>
          <w:tab w:val="left" w:pos="9932"/>
        </w:tabs>
        <w:spacing w:before="20" w:line="276" w:lineRule="auto"/>
        <w:rPr>
          <w:rFonts w:ascii="Arial" w:eastAsia="Arial" w:hAnsi="Arial" w:cs="Arial"/>
          <w:b/>
        </w:rPr>
      </w:pPr>
      <w:r w:rsidRPr="00C906D0">
        <w:rPr>
          <w:rFonts w:ascii="Arial" w:eastAsia="Arial" w:hAnsi="Arial" w:cs="Arial"/>
          <w:b/>
        </w:rPr>
        <w:t>MAESTRA</w:t>
      </w:r>
      <w:r w:rsidR="007D772B" w:rsidRPr="00C906D0">
        <w:rPr>
          <w:rFonts w:ascii="Arial" w:eastAsia="Arial" w:hAnsi="Arial" w:cs="Arial"/>
          <w:b/>
        </w:rPr>
        <w:t xml:space="preserve"> XITLÁLIC SÁNCHEZ SERVÍN</w:t>
      </w:r>
    </w:p>
    <w:p w14:paraId="6DDC7ACD" w14:textId="77777777" w:rsidR="007D772B" w:rsidRPr="00C906D0" w:rsidRDefault="007D772B" w:rsidP="001F7332">
      <w:pPr>
        <w:tabs>
          <w:tab w:val="left" w:pos="8998"/>
          <w:tab w:val="left" w:pos="9932"/>
        </w:tabs>
        <w:spacing w:before="20" w:line="276" w:lineRule="auto"/>
        <w:rPr>
          <w:rFonts w:ascii="Arial" w:eastAsia="Arial" w:hAnsi="Arial" w:cs="Arial"/>
          <w:b/>
        </w:rPr>
      </w:pPr>
      <w:r w:rsidRPr="00C906D0">
        <w:rPr>
          <w:rFonts w:ascii="Arial" w:eastAsia="Arial" w:hAnsi="Arial" w:cs="Arial"/>
          <w:b/>
        </w:rPr>
        <w:t>VIEFISCAL JURIDICO Y PRESIDENTA DEL</w:t>
      </w:r>
    </w:p>
    <w:p w14:paraId="3E5FEE21" w14:textId="77777777" w:rsidR="007D772B" w:rsidRPr="00C906D0" w:rsidRDefault="007D772B" w:rsidP="001F7332">
      <w:pPr>
        <w:tabs>
          <w:tab w:val="left" w:pos="8998"/>
          <w:tab w:val="left" w:pos="9932"/>
        </w:tabs>
        <w:spacing w:before="20" w:line="276" w:lineRule="auto"/>
        <w:rPr>
          <w:rFonts w:ascii="Arial" w:eastAsia="Arial" w:hAnsi="Arial" w:cs="Arial"/>
          <w:b/>
        </w:rPr>
      </w:pPr>
      <w:r w:rsidRPr="00C906D0">
        <w:rPr>
          <w:rFonts w:ascii="Arial" w:eastAsia="Arial" w:hAnsi="Arial" w:cs="Arial"/>
          <w:b/>
        </w:rPr>
        <w:t xml:space="preserve">COMITÉ DE TRANSPARENCIA DE LA </w:t>
      </w:r>
    </w:p>
    <w:p w14:paraId="013F31F2" w14:textId="7C92188D" w:rsidR="007D772B" w:rsidRPr="00C906D0" w:rsidRDefault="007D772B" w:rsidP="001F7332">
      <w:pPr>
        <w:tabs>
          <w:tab w:val="left" w:pos="8998"/>
          <w:tab w:val="left" w:pos="9932"/>
        </w:tabs>
        <w:spacing w:before="20" w:line="276" w:lineRule="auto"/>
        <w:rPr>
          <w:rFonts w:ascii="Arial" w:eastAsia="Arial" w:hAnsi="Arial" w:cs="Arial"/>
          <w:b/>
        </w:rPr>
      </w:pPr>
      <w:r w:rsidRPr="00C906D0">
        <w:rPr>
          <w:rFonts w:ascii="Arial" w:eastAsia="Arial" w:hAnsi="Arial" w:cs="Arial"/>
          <w:b/>
        </w:rPr>
        <w:t>FISCALÍA GENERAL DEL ESTADO.</w:t>
      </w:r>
    </w:p>
    <w:p w14:paraId="24A38368" w14:textId="47DE276D" w:rsidR="00133220" w:rsidRPr="00C906D0" w:rsidRDefault="00133220" w:rsidP="001F7332">
      <w:pPr>
        <w:tabs>
          <w:tab w:val="left" w:pos="8998"/>
          <w:tab w:val="left" w:pos="9932"/>
        </w:tabs>
        <w:spacing w:before="20" w:line="276" w:lineRule="auto"/>
        <w:rPr>
          <w:rFonts w:ascii="Arial" w:eastAsia="Arial" w:hAnsi="Arial" w:cs="Arial"/>
          <w:b/>
        </w:rPr>
      </w:pPr>
    </w:p>
    <w:p w14:paraId="59344E91" w14:textId="77777777" w:rsidR="005137BF" w:rsidRPr="00C906D0" w:rsidRDefault="005137BF" w:rsidP="001F7332">
      <w:pPr>
        <w:tabs>
          <w:tab w:val="left" w:pos="8998"/>
          <w:tab w:val="left" w:pos="9932"/>
        </w:tabs>
        <w:spacing w:before="20" w:line="276" w:lineRule="auto"/>
        <w:rPr>
          <w:rFonts w:ascii="Arial" w:eastAsia="Arial" w:hAnsi="Arial" w:cs="Arial"/>
          <w:b/>
        </w:rPr>
      </w:pPr>
    </w:p>
    <w:p w14:paraId="238E69AD" w14:textId="77777777" w:rsidR="007E1E16" w:rsidRPr="00C906D0" w:rsidRDefault="007E1E16" w:rsidP="001F7332">
      <w:pPr>
        <w:spacing w:line="276" w:lineRule="auto"/>
        <w:jc w:val="both"/>
        <w:rPr>
          <w:rFonts w:ascii="Arial" w:hAnsi="Arial" w:cs="Arial"/>
          <w:lang w:val="es-MX"/>
        </w:rPr>
      </w:pPr>
      <w:r w:rsidRPr="00C906D0">
        <w:rPr>
          <w:rFonts w:ascii="Arial" w:hAnsi="Arial" w:cs="Arial"/>
          <w:lang w:val="es-MX"/>
        </w:rPr>
        <w:t>_____________________________________</w:t>
      </w:r>
    </w:p>
    <w:p w14:paraId="2978E492" w14:textId="77777777" w:rsidR="007E1E16" w:rsidRPr="00C906D0" w:rsidRDefault="007E1E16" w:rsidP="001F7332">
      <w:pPr>
        <w:spacing w:line="276" w:lineRule="auto"/>
        <w:rPr>
          <w:rFonts w:ascii="Arial" w:hAnsi="Arial" w:cs="Arial"/>
          <w:b/>
          <w:lang w:val="es-MX"/>
        </w:rPr>
      </w:pPr>
      <w:r w:rsidRPr="00C906D0">
        <w:rPr>
          <w:rFonts w:ascii="Arial" w:hAnsi="Arial" w:cs="Arial"/>
          <w:b/>
          <w:lang w:val="es-MX"/>
        </w:rPr>
        <w:t>LICENCIADO DOROTEO PAREDES GRANADO</w:t>
      </w:r>
    </w:p>
    <w:p w14:paraId="1DE57CE6" w14:textId="77777777" w:rsidR="007E1E16" w:rsidRPr="00C906D0" w:rsidRDefault="007E1E16" w:rsidP="001F7332">
      <w:pPr>
        <w:spacing w:line="276" w:lineRule="auto"/>
        <w:rPr>
          <w:rFonts w:ascii="Arial" w:hAnsi="Arial" w:cs="Arial"/>
          <w:b/>
          <w:lang w:val="es-MX"/>
        </w:rPr>
      </w:pPr>
      <w:r w:rsidRPr="00C906D0">
        <w:rPr>
          <w:rFonts w:ascii="Arial" w:hAnsi="Arial" w:cs="Arial"/>
          <w:b/>
          <w:lang w:val="es-MX"/>
        </w:rPr>
        <w:t>VICEFISCAL E INTEGRANTE DEL COMITÉ DE TRANSPARENCIA.</w:t>
      </w:r>
    </w:p>
    <w:p w14:paraId="625184F8" w14:textId="428B6A9A" w:rsidR="00133220" w:rsidRPr="00C906D0" w:rsidRDefault="00133220" w:rsidP="001F7332">
      <w:pPr>
        <w:spacing w:line="276" w:lineRule="auto"/>
        <w:jc w:val="both"/>
        <w:rPr>
          <w:rFonts w:ascii="Arial" w:hAnsi="Arial" w:cs="Arial"/>
          <w:b/>
          <w:lang w:val="es-MX"/>
        </w:rPr>
      </w:pPr>
    </w:p>
    <w:p w14:paraId="734464F8" w14:textId="77777777" w:rsidR="005137BF" w:rsidRPr="00C906D0" w:rsidRDefault="005137BF" w:rsidP="001F7332">
      <w:pPr>
        <w:spacing w:line="276" w:lineRule="auto"/>
        <w:jc w:val="both"/>
        <w:rPr>
          <w:rFonts w:ascii="Arial" w:hAnsi="Arial" w:cs="Arial"/>
          <w:b/>
          <w:lang w:val="es-MX"/>
        </w:rPr>
      </w:pPr>
    </w:p>
    <w:p w14:paraId="7B309D54" w14:textId="3B042118" w:rsidR="007E1E16" w:rsidRPr="00C906D0" w:rsidRDefault="007E1E16" w:rsidP="001F7332">
      <w:pPr>
        <w:spacing w:line="276" w:lineRule="auto"/>
        <w:jc w:val="both"/>
        <w:rPr>
          <w:rFonts w:ascii="Arial" w:hAnsi="Arial" w:cs="Arial"/>
          <w:lang w:val="es-MX"/>
        </w:rPr>
      </w:pPr>
      <w:r w:rsidRPr="00C906D0">
        <w:rPr>
          <w:rFonts w:ascii="Arial" w:hAnsi="Arial" w:cs="Arial"/>
          <w:lang w:val="es-MX"/>
        </w:rPr>
        <w:t>______________</w:t>
      </w:r>
      <w:r w:rsidR="005433FA" w:rsidRPr="00C906D0">
        <w:rPr>
          <w:rFonts w:ascii="Arial" w:hAnsi="Arial" w:cs="Arial"/>
          <w:lang w:val="es-MX"/>
        </w:rPr>
        <w:t>____________________</w:t>
      </w:r>
      <w:r w:rsidRPr="00C906D0">
        <w:rPr>
          <w:rFonts w:ascii="Arial" w:hAnsi="Arial" w:cs="Arial"/>
          <w:lang w:val="es-MX"/>
        </w:rPr>
        <w:t>___</w:t>
      </w:r>
    </w:p>
    <w:p w14:paraId="131092D5" w14:textId="77777777" w:rsidR="007E1E16" w:rsidRPr="00C906D0" w:rsidRDefault="007E1E16" w:rsidP="001F7332">
      <w:pPr>
        <w:spacing w:line="276" w:lineRule="auto"/>
        <w:jc w:val="both"/>
        <w:rPr>
          <w:rFonts w:ascii="Arial" w:hAnsi="Arial" w:cs="Arial"/>
          <w:b/>
          <w:lang w:val="es-MX"/>
        </w:rPr>
      </w:pPr>
      <w:r w:rsidRPr="00C906D0">
        <w:rPr>
          <w:rFonts w:ascii="Arial" w:hAnsi="Arial" w:cs="Arial"/>
          <w:b/>
          <w:lang w:val="es-MX"/>
        </w:rPr>
        <w:t>MAESTRO JAVIER MONTALVO PÉREZ</w:t>
      </w:r>
    </w:p>
    <w:p w14:paraId="7DDDBDD5" w14:textId="77777777" w:rsidR="007E1E16" w:rsidRPr="00C906D0" w:rsidRDefault="007E1E16" w:rsidP="001F7332">
      <w:pPr>
        <w:spacing w:line="276" w:lineRule="auto"/>
        <w:jc w:val="both"/>
        <w:rPr>
          <w:rFonts w:ascii="Arial" w:hAnsi="Arial" w:cs="Arial"/>
          <w:b/>
          <w:lang w:val="es-MX"/>
        </w:rPr>
      </w:pPr>
      <w:r w:rsidRPr="00C906D0">
        <w:rPr>
          <w:rFonts w:ascii="Arial" w:hAnsi="Arial" w:cs="Arial"/>
          <w:b/>
          <w:lang w:val="es-MX"/>
        </w:rPr>
        <w:t xml:space="preserve">FISCAL ESPECIALIZADO EN DELITOS ELECTORALES </w:t>
      </w:r>
    </w:p>
    <w:p w14:paraId="0C2D8F85" w14:textId="4856B9C1" w:rsidR="007E1E16" w:rsidRPr="00C906D0" w:rsidRDefault="007E1E16" w:rsidP="001F7332">
      <w:pPr>
        <w:spacing w:line="276" w:lineRule="auto"/>
        <w:jc w:val="both"/>
        <w:rPr>
          <w:rFonts w:ascii="Arial" w:eastAsia="Arial" w:hAnsi="Arial" w:cs="Arial"/>
          <w:b/>
          <w:lang w:val="es-MX"/>
        </w:rPr>
      </w:pPr>
      <w:r w:rsidRPr="00C906D0">
        <w:rPr>
          <w:rFonts w:ascii="Arial" w:hAnsi="Arial" w:cs="Arial"/>
          <w:b/>
          <w:lang w:val="es-MX"/>
        </w:rPr>
        <w:t>INTEGRANTE DEL COMITÉ DE TRANSPARENCIA.</w:t>
      </w:r>
    </w:p>
    <w:sectPr w:rsidR="007E1E16" w:rsidRPr="00C906D0" w:rsidSect="0042221D">
      <w:headerReference w:type="default" r:id="rId10"/>
      <w:footerReference w:type="default" r:id="rId11"/>
      <w:pgSz w:w="12240" w:h="15840" w:code="1"/>
      <w:pgMar w:top="3504"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3E6263" w14:textId="77777777" w:rsidR="00757C0B" w:rsidRDefault="00757C0B" w:rsidP="00961F3B">
      <w:r>
        <w:separator/>
      </w:r>
    </w:p>
  </w:endnote>
  <w:endnote w:type="continuationSeparator" w:id="0">
    <w:p w14:paraId="506074CA" w14:textId="77777777" w:rsidR="00757C0B" w:rsidRDefault="00757C0B"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AE60BD" w14:textId="71014E08" w:rsidR="00757C0B" w:rsidRDefault="00757C0B"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757C0B" w:rsidRDefault="00757C0B"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757C0B" w:rsidRPr="00E27D91" w:rsidRDefault="00757C0B"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757C0B" w:rsidRPr="00E27D91" w:rsidRDefault="00757C0B"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757C0B" w:rsidRDefault="00757C0B"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757C0B" w:rsidRDefault="00757C0B"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F64B24" w14:textId="77777777" w:rsidR="00757C0B" w:rsidRDefault="00757C0B" w:rsidP="00961F3B">
      <w:r>
        <w:separator/>
      </w:r>
    </w:p>
  </w:footnote>
  <w:footnote w:type="continuationSeparator" w:id="0">
    <w:p w14:paraId="5FD2235B" w14:textId="77777777" w:rsidR="00757C0B" w:rsidRDefault="00757C0B"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DA499F" w14:textId="23AB80E0" w:rsidR="00757C0B" w:rsidRDefault="00757C0B" w:rsidP="00485D65">
    <w:pPr>
      <w:pStyle w:val="Encabezado"/>
      <w:tabs>
        <w:tab w:val="clear" w:pos="4419"/>
        <w:tab w:val="clear" w:pos="8838"/>
        <w:tab w:val="left" w:pos="812"/>
        <w:tab w:val="left" w:pos="9200"/>
      </w:tabs>
    </w:pPr>
    <w:sdt>
      <w:sdtPr>
        <w:rPr>
          <w:noProof/>
          <w:lang w:val="es-MX" w:eastAsia="es-MX"/>
        </w:rPr>
        <w:id w:val="526838137"/>
        <w:docPartObj>
          <w:docPartGallery w:val="Page Numbers (Margins)"/>
          <w:docPartUnique/>
        </w:docPartObj>
      </w:sdtPr>
      <w:sdtContent>
        <w:r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325E27EB" w:rsidR="00757C0B" w:rsidRDefault="00757C0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66EEE" w:rsidRPr="00566EEE">
                                <w:rPr>
                                  <w:rFonts w:asciiTheme="majorHAnsi" w:eastAsiaTheme="majorEastAsia" w:hAnsiTheme="majorHAnsi" w:cstheme="majorBidi"/>
                                  <w:noProof/>
                                  <w:sz w:val="44"/>
                                  <w:szCs w:val="44"/>
                                  <w:lang w:val="es-ES"/>
                                </w:rPr>
                                <w:t>15</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325E27EB" w:rsidR="00757C0B" w:rsidRDefault="00757C0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566EEE" w:rsidRPr="00566EEE">
                          <w:rPr>
                            <w:rFonts w:asciiTheme="majorHAnsi" w:eastAsiaTheme="majorEastAsia" w:hAnsiTheme="majorHAnsi" w:cstheme="majorBidi"/>
                            <w:noProof/>
                            <w:sz w:val="44"/>
                            <w:szCs w:val="44"/>
                            <w:lang w:val="es-ES"/>
                          </w:rPr>
                          <w:t>15</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1" name="Imagen 1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tab/>
    </w:r>
    <w:r>
      <w:tab/>
    </w:r>
  </w:p>
  <w:p w14:paraId="46339FCF" w14:textId="77777777" w:rsidR="00757C0B" w:rsidRDefault="00757C0B" w:rsidP="00850661">
    <w:pPr>
      <w:pStyle w:val="Encabezado"/>
      <w:tabs>
        <w:tab w:val="clear" w:pos="4419"/>
        <w:tab w:val="clear" w:pos="8838"/>
        <w:tab w:val="left" w:pos="812"/>
      </w:tabs>
    </w:pPr>
  </w:p>
  <w:p w14:paraId="0387970E" w14:textId="77777777" w:rsidR="00757C0B" w:rsidRDefault="00757C0B" w:rsidP="00850661">
    <w:pPr>
      <w:pStyle w:val="Encabezado"/>
      <w:tabs>
        <w:tab w:val="clear" w:pos="4419"/>
        <w:tab w:val="clear" w:pos="8838"/>
        <w:tab w:val="left" w:pos="812"/>
      </w:tabs>
    </w:pPr>
  </w:p>
  <w:p w14:paraId="03BA9762" w14:textId="77777777" w:rsidR="00757C0B" w:rsidRDefault="00757C0B" w:rsidP="00850661">
    <w:pPr>
      <w:pStyle w:val="Encabezado"/>
      <w:tabs>
        <w:tab w:val="clear" w:pos="4419"/>
        <w:tab w:val="clear" w:pos="8838"/>
        <w:tab w:val="left" w:pos="812"/>
      </w:tabs>
    </w:pPr>
  </w:p>
  <w:p w14:paraId="284E2CEC" w14:textId="5155363D" w:rsidR="00757C0B" w:rsidRDefault="00757C0B" w:rsidP="00850661">
    <w:pPr>
      <w:pStyle w:val="Encabezado"/>
      <w:tabs>
        <w:tab w:val="clear" w:pos="4419"/>
        <w:tab w:val="clear" w:pos="8838"/>
        <w:tab w:val="left" w:pos="812"/>
      </w:tabs>
    </w:pPr>
    <w:r>
      <w:rPr>
        <w:noProof/>
        <w:lang w:val="es-MX" w:eastAsia="es-MX"/>
      </w:rPr>
      <mc:AlternateContent>
        <mc:Choice Requires="wps">
          <w:drawing>
            <wp:anchor distT="0" distB="0" distL="114300" distR="114300" simplePos="0" relativeHeight="251664895" behindDoc="0" locked="0" layoutInCell="1" allowOverlap="1" wp14:anchorId="4D8DC2C1" wp14:editId="22E6EB54">
              <wp:simplePos x="0" y="0"/>
              <wp:positionH relativeFrom="column">
                <wp:posOffset>3281680</wp:posOffset>
              </wp:positionH>
              <wp:positionV relativeFrom="paragraph">
                <wp:posOffset>204470</wp:posOffset>
              </wp:positionV>
              <wp:extent cx="3148330" cy="771525"/>
              <wp:effectExtent l="19050" t="19050" r="13970" b="28575"/>
              <wp:wrapNone/>
              <wp:docPr id="2" name="2 Cuadro de texto"/>
              <wp:cNvGraphicFramePr/>
              <a:graphic xmlns:a="http://schemas.openxmlformats.org/drawingml/2006/main">
                <a:graphicData uri="http://schemas.microsoft.com/office/word/2010/wordprocessingShape">
                  <wps:wsp>
                    <wps:cNvSpPr txBox="1"/>
                    <wps:spPr>
                      <a:xfrm>
                        <a:off x="0" y="0"/>
                        <a:ext cx="3148330" cy="771525"/>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2E4E2B3C" w14:textId="26FDDB20" w:rsidR="00757C0B" w:rsidRPr="006E06C7" w:rsidRDefault="00757C0B" w:rsidP="00EE2AB2">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08 de diciembre</w:t>
                          </w:r>
                          <w:r w:rsidRPr="006E06C7">
                            <w:rPr>
                              <w:rFonts w:ascii="Arial" w:hAnsi="Arial" w:cs="Arial"/>
                              <w:b/>
                              <w:color w:val="FFFFFF" w:themeColor="background1"/>
                              <w:sz w:val="18"/>
                              <w:szCs w:val="18"/>
                            </w:rPr>
                            <w:t xml:space="preserve"> 2022.</w:t>
                          </w:r>
                          <w:r>
                            <w:rPr>
                              <w:rFonts w:ascii="Arial" w:hAnsi="Arial" w:cs="Arial"/>
                              <w:b/>
                              <w:color w:val="FFFFFF" w:themeColor="background1"/>
                              <w:sz w:val="18"/>
                              <w:szCs w:val="18"/>
                            </w:rPr>
                            <w:t xml:space="preserve"> Décima segunda</w:t>
                          </w:r>
                          <w:r w:rsidRPr="006E06C7">
                            <w:rPr>
                              <w:rFonts w:ascii="Arial" w:hAnsi="Arial" w:cs="Arial"/>
                              <w:b/>
                              <w:color w:val="FFFFFF" w:themeColor="background1"/>
                              <w:sz w:val="18"/>
                              <w:szCs w:val="18"/>
                            </w:rPr>
                            <w:t xml:space="preserve"> 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07DD75E4" w14:textId="0FDEA7F2" w:rsidR="00757C0B" w:rsidRPr="005539D4" w:rsidRDefault="00757C0B" w:rsidP="00EE2AB2">
                          <w:pPr>
                            <w:jc w:val="both"/>
                            <w:rPr>
                              <w:rFonts w:ascii="Arial" w:hAnsi="Arial" w:cs="Arial"/>
                              <w:b/>
                              <w:color w:val="FFFFFF" w:themeColor="background1"/>
                              <w:sz w:val="18"/>
                              <w:szCs w:val="18"/>
                              <w:lang w:val="es-ES"/>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AR/36/2022 que emite el Director General de Administración.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2 Cuadro de texto" o:spid="_x0000_s1027" type="#_x0000_t202" style="position:absolute;margin-left:258.4pt;margin-top:16.1pt;width:247.9pt;height:60.7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TuRsQIAAOYFAAAOAAAAZHJzL2Uyb0RvYy54bWysVMlu2zAQvRfoPxC8N5IVu3aNyIHrIEWB&#10;NAmaFDnTFGkLpTgsSVtyv75DarGT5pKiF2nIeZzlzXJx2VSK7IV1Jeicjs5SSoTmUJR6k9Mfj9cf&#10;ZpQ4z3TBFGiR04Nw9HLx/t1FbeYigy2oQliCRrSb1yanW+/NPEkc34qKuTMwQqNSgq2Yx6PdJIVl&#10;NVqvVJKl6cekBlsYC1w4h7dXrZIuon0pBfd3Ujrhicopxubj18bvOnyTxQWbbywz25J3YbB/iKJi&#10;pUang6kr5hnZ2fIvU1XJLTiQ/oxDlYCUJRcxB8xmlL7I5mHLjIi5IDnODDS5/2eW3+7vLSmLnGaU&#10;aFZhiTKy2rHCAikE8aLxEEiqjZsj9sEg2jefocFi9/cOL0PujbRV+GNWBPVI92GgGO0Qjpfno/Hs&#10;/BxVHHXT6WiSTYKZ5PjaWOe/CKhIEHJqsYSRWba/cb6F9pDgzIEqi+tSqXgIbSNWypI9w4KvN1l8&#10;qnbVNyjau+kkTWPZ0WXssgCPATyzpDSpkYrZZDqJJp4pnd2sBydpOk1Xg8VjNGhf6RCUiG3YBR94&#10;bPmKkj8oETBKfxcSyxBpeyUTxrnQPjIe7SI6oCTm/ZaHHf4Y1Vset3n0nkH74XFVarAtTc8LUPzs&#10;Q5YtHok+yTuIvlk3sf+GdlpDccAus9AOqzP8usRWuGHO3zOL04ndgxvH3+FHKsAyQSdRsgX7+7X7&#10;gMehQS0lNU57Tt2vHbOCEvVV4zh9Go3HYT3Ew3gyzfBgTzXrU43eVSvA/hrhbjM8igHvVS9KC9UT&#10;LqZl8Ioqpjn6zqnvxZVvdxAuNi6WywjChWCYv9EPhgfToUih0R+bJ2ZNNw1hHm+h3wts/mIoWmx4&#10;qWG58yDLODGB55bVjn9cJrHlu8UXttXpOaKO63nxBwAA//8DAFBLAwQUAAYACAAAACEAXl5jK94A&#10;AAALAQAADwAAAGRycy9kb3ducmV2LnhtbEyPwU7DMAyG70i8Q2QkbixtxwoqTSc0aScOjIHENWtM&#10;U5E4VZJt5e3xTnCz5V+fv79dz96JE8Y0BlJQLgoQSH0wIw0KPt63d48gUtZktAuECn4wwbq7vmp1&#10;Y8KZ3vC0z4NgCKVGK7A5T42UqbfodVqECYlvXyF6nXmNgzRRnxnunayKopZej8QfrJ5wY7H/3h89&#10;U+x2tys/Y/KvaOp5suFl4+6Vur2Zn59AZJzzXxgu+qwOHTsdwpFMEk7BqqxZPStYVhWIS6AoqxrE&#10;gafV8gFk18r/HbpfAAAA//8DAFBLAQItABQABgAIAAAAIQC2gziS/gAAAOEBAAATAAAAAAAAAAAA&#10;AAAAAAAAAABbQ29udGVudF9UeXBlc10ueG1sUEsBAi0AFAAGAAgAAAAhADj9If/WAAAAlAEAAAsA&#10;AAAAAAAAAAAAAAAALwEAAF9yZWxzLy5yZWxzUEsBAi0AFAAGAAgAAAAhAMHpO5GxAgAA5gUAAA4A&#10;AAAAAAAAAAAAAAAALgIAAGRycy9lMm9Eb2MueG1sUEsBAi0AFAAGAAgAAAAhAF5eYyveAAAACwEA&#10;AA8AAAAAAAAAAAAAAAAACwUAAGRycy9kb3ducmV2LnhtbFBLBQYAAAAABAAEAPMAAAAWBgAAAAA=&#10;" fillcolor="#aeaaaa [2414]" strokecolor="#0070c0" strokeweight="2.25pt">
              <v:textbox>
                <w:txbxContent>
                  <w:p w14:paraId="2E4E2B3C" w14:textId="26FDDB20" w:rsidR="00757C0B" w:rsidRPr="006E06C7" w:rsidRDefault="00757C0B" w:rsidP="00EE2AB2">
                    <w:pPr>
                      <w:spacing w:line="276" w:lineRule="auto"/>
                      <w:jc w:val="both"/>
                      <w:rPr>
                        <w:rFonts w:ascii="Arial" w:hAnsi="Arial" w:cs="Arial"/>
                        <w:b/>
                        <w:color w:val="FFFFFF" w:themeColor="background1"/>
                        <w:sz w:val="18"/>
                        <w:szCs w:val="18"/>
                      </w:rPr>
                    </w:pPr>
                    <w:r>
                      <w:rPr>
                        <w:rFonts w:ascii="Arial" w:hAnsi="Arial" w:cs="Arial"/>
                        <w:b/>
                        <w:color w:val="FFFFFF" w:themeColor="background1"/>
                        <w:sz w:val="18"/>
                        <w:szCs w:val="18"/>
                      </w:rPr>
                      <w:t>08 de diciembre</w:t>
                    </w:r>
                    <w:r w:rsidRPr="006E06C7">
                      <w:rPr>
                        <w:rFonts w:ascii="Arial" w:hAnsi="Arial" w:cs="Arial"/>
                        <w:b/>
                        <w:color w:val="FFFFFF" w:themeColor="background1"/>
                        <w:sz w:val="18"/>
                        <w:szCs w:val="18"/>
                      </w:rPr>
                      <w:t xml:space="preserve"> 2022.</w:t>
                    </w:r>
                    <w:r>
                      <w:rPr>
                        <w:rFonts w:ascii="Arial" w:hAnsi="Arial" w:cs="Arial"/>
                        <w:b/>
                        <w:color w:val="FFFFFF" w:themeColor="background1"/>
                        <w:sz w:val="18"/>
                        <w:szCs w:val="18"/>
                      </w:rPr>
                      <w:t xml:space="preserve"> Décima segunda</w:t>
                    </w:r>
                    <w:r w:rsidRPr="006E06C7">
                      <w:rPr>
                        <w:rFonts w:ascii="Arial" w:hAnsi="Arial" w:cs="Arial"/>
                        <w:b/>
                        <w:color w:val="FFFFFF" w:themeColor="background1"/>
                        <w:sz w:val="18"/>
                        <w:szCs w:val="18"/>
                      </w:rPr>
                      <w:t xml:space="preserve"> sesión ordinaria</w:t>
                    </w:r>
                    <w:r>
                      <w:rPr>
                        <w:rFonts w:ascii="Arial" w:hAnsi="Arial" w:cs="Arial"/>
                        <w:b/>
                        <w:color w:val="FFFFFF" w:themeColor="background1"/>
                        <w:sz w:val="18"/>
                        <w:szCs w:val="18"/>
                      </w:rPr>
                      <w:t xml:space="preserve"> del Comité de Transparencia</w:t>
                    </w:r>
                    <w:r w:rsidRPr="006E06C7">
                      <w:rPr>
                        <w:rFonts w:ascii="Arial" w:hAnsi="Arial" w:cs="Arial"/>
                        <w:b/>
                        <w:color w:val="FFFFFF" w:themeColor="background1"/>
                        <w:sz w:val="18"/>
                        <w:szCs w:val="18"/>
                      </w:rPr>
                      <w:t>.</w:t>
                    </w:r>
                  </w:p>
                  <w:p w14:paraId="07DD75E4" w14:textId="0FDEA7F2" w:rsidR="00757C0B" w:rsidRPr="005539D4" w:rsidRDefault="00757C0B" w:rsidP="00EE2AB2">
                    <w:pPr>
                      <w:jc w:val="both"/>
                      <w:rPr>
                        <w:rFonts w:ascii="Arial" w:hAnsi="Arial" w:cs="Arial"/>
                        <w:b/>
                        <w:color w:val="FFFFFF" w:themeColor="background1"/>
                        <w:sz w:val="18"/>
                        <w:szCs w:val="18"/>
                        <w:lang w:val="es-ES"/>
                      </w:rPr>
                    </w:pPr>
                    <w:r>
                      <w:rPr>
                        <w:rFonts w:ascii="Arial" w:hAnsi="Arial" w:cs="Arial"/>
                        <w:b/>
                        <w:color w:val="FFFFFF" w:themeColor="background1"/>
                        <w:sz w:val="18"/>
                        <w:szCs w:val="18"/>
                        <w:lang w:val="es-ES"/>
                      </w:rPr>
                      <w:t>A</w:t>
                    </w:r>
                    <w:r w:rsidRPr="006E06C7">
                      <w:rPr>
                        <w:rFonts w:ascii="Arial" w:hAnsi="Arial" w:cs="Arial"/>
                        <w:b/>
                        <w:color w:val="FFFFFF" w:themeColor="background1"/>
                        <w:sz w:val="18"/>
                        <w:szCs w:val="18"/>
                        <w:lang w:val="es-ES"/>
                      </w:rPr>
                      <w:t xml:space="preserve">cuerdo de reserva </w:t>
                    </w:r>
                    <w:r>
                      <w:rPr>
                        <w:rFonts w:ascii="Arial" w:hAnsi="Arial" w:cs="Arial"/>
                        <w:b/>
                        <w:color w:val="FFFFFF" w:themeColor="background1"/>
                        <w:sz w:val="18"/>
                        <w:szCs w:val="18"/>
                        <w:lang w:val="es-ES"/>
                      </w:rPr>
                      <w:t>total AR/36/2022 que emite el Director General de Administración.</w:t>
                    </w:r>
                  </w:p>
                </w:txbxContent>
              </v:textbox>
            </v:shape>
          </w:pict>
        </mc:Fallback>
      </mc:AlternateContent>
    </w:r>
  </w:p>
  <w:p w14:paraId="44B7ED93" w14:textId="0C3E692A" w:rsidR="00757C0B" w:rsidRDefault="00757C0B" w:rsidP="00850661">
    <w:pPr>
      <w:pStyle w:val="Encabezado"/>
      <w:tabs>
        <w:tab w:val="clear" w:pos="4419"/>
        <w:tab w:val="clear" w:pos="8838"/>
        <w:tab w:val="left" w:pos="812"/>
      </w:tabs>
    </w:pPr>
  </w:p>
  <w:p w14:paraId="16BE9BE1" w14:textId="67A03F46" w:rsidR="00757C0B" w:rsidRPr="00774F4B" w:rsidRDefault="00757C0B" w:rsidP="00E1239C">
    <w:pPr>
      <w:spacing w:after="200" w:line="276" w:lineRule="auto"/>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05FD1"/>
    <w:multiLevelType w:val="hybridMultilevel"/>
    <w:tmpl w:val="9230DD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1E03DD0"/>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4A14D0B"/>
    <w:multiLevelType w:val="hybridMultilevel"/>
    <w:tmpl w:val="6FA0CB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7213453"/>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39CD3CE4"/>
    <w:multiLevelType w:val="hybridMultilevel"/>
    <w:tmpl w:val="0A6A015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B2623D6"/>
    <w:multiLevelType w:val="hybridMultilevel"/>
    <w:tmpl w:val="AF361C38"/>
    <w:lvl w:ilvl="0" w:tplc="E2A0CA9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7"/>
  </w:num>
  <w:num w:numId="2">
    <w:abstractNumId w:val="9"/>
  </w:num>
  <w:num w:numId="3">
    <w:abstractNumId w:val="10"/>
  </w:num>
  <w:num w:numId="4">
    <w:abstractNumId w:val="4"/>
  </w:num>
  <w:num w:numId="5">
    <w:abstractNumId w:val="8"/>
  </w:num>
  <w:num w:numId="6">
    <w:abstractNumId w:val="1"/>
  </w:num>
  <w:num w:numId="7">
    <w:abstractNumId w:val="5"/>
  </w:num>
  <w:num w:numId="8">
    <w:abstractNumId w:val="6"/>
  </w:num>
  <w:num w:numId="9">
    <w:abstractNumId w:val="3"/>
  </w:num>
  <w:num w:numId="10">
    <w:abstractNumId w:val="0"/>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105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1804"/>
    <w:rsid w:val="00012344"/>
    <w:rsid w:val="000316F8"/>
    <w:rsid w:val="00043EA6"/>
    <w:rsid w:val="0004691F"/>
    <w:rsid w:val="00047BEE"/>
    <w:rsid w:val="000516AB"/>
    <w:rsid w:val="00053722"/>
    <w:rsid w:val="00057070"/>
    <w:rsid w:val="00060363"/>
    <w:rsid w:val="0006789D"/>
    <w:rsid w:val="00074CBB"/>
    <w:rsid w:val="0009152F"/>
    <w:rsid w:val="00092311"/>
    <w:rsid w:val="000950BB"/>
    <w:rsid w:val="00095DC5"/>
    <w:rsid w:val="00097461"/>
    <w:rsid w:val="000B4E59"/>
    <w:rsid w:val="000B4E6F"/>
    <w:rsid w:val="000C09C1"/>
    <w:rsid w:val="000E151A"/>
    <w:rsid w:val="000E33F8"/>
    <w:rsid w:val="000E6D81"/>
    <w:rsid w:val="000F34F2"/>
    <w:rsid w:val="00104B37"/>
    <w:rsid w:val="001122B3"/>
    <w:rsid w:val="00117688"/>
    <w:rsid w:val="00122709"/>
    <w:rsid w:val="0013153A"/>
    <w:rsid w:val="00133220"/>
    <w:rsid w:val="00134A88"/>
    <w:rsid w:val="0013784F"/>
    <w:rsid w:val="00137B6F"/>
    <w:rsid w:val="00140DD7"/>
    <w:rsid w:val="001456F5"/>
    <w:rsid w:val="00155DB1"/>
    <w:rsid w:val="001569ED"/>
    <w:rsid w:val="00160079"/>
    <w:rsid w:val="0016273D"/>
    <w:rsid w:val="001645C1"/>
    <w:rsid w:val="00166BDA"/>
    <w:rsid w:val="00174F96"/>
    <w:rsid w:val="00175555"/>
    <w:rsid w:val="00175F0E"/>
    <w:rsid w:val="00176FDC"/>
    <w:rsid w:val="001816A1"/>
    <w:rsid w:val="00196E5A"/>
    <w:rsid w:val="001A0FF2"/>
    <w:rsid w:val="001A1BA9"/>
    <w:rsid w:val="001A32B1"/>
    <w:rsid w:val="001A58C6"/>
    <w:rsid w:val="001B0330"/>
    <w:rsid w:val="001B6839"/>
    <w:rsid w:val="001B7394"/>
    <w:rsid w:val="001C1FF5"/>
    <w:rsid w:val="001C3880"/>
    <w:rsid w:val="001C5BA9"/>
    <w:rsid w:val="001C5BFD"/>
    <w:rsid w:val="001C73C0"/>
    <w:rsid w:val="001E6C44"/>
    <w:rsid w:val="001F60B7"/>
    <w:rsid w:val="001F71C9"/>
    <w:rsid w:val="001F7332"/>
    <w:rsid w:val="00201B91"/>
    <w:rsid w:val="002054C1"/>
    <w:rsid w:val="002075EA"/>
    <w:rsid w:val="00207633"/>
    <w:rsid w:val="00241C03"/>
    <w:rsid w:val="00244CB1"/>
    <w:rsid w:val="00244E15"/>
    <w:rsid w:val="00244EE4"/>
    <w:rsid w:val="002513CE"/>
    <w:rsid w:val="0025149A"/>
    <w:rsid w:val="00256AE8"/>
    <w:rsid w:val="00262F6F"/>
    <w:rsid w:val="002648E0"/>
    <w:rsid w:val="002652A7"/>
    <w:rsid w:val="00273340"/>
    <w:rsid w:val="00275CAB"/>
    <w:rsid w:val="00291A4A"/>
    <w:rsid w:val="002935FF"/>
    <w:rsid w:val="002B62D5"/>
    <w:rsid w:val="002C182D"/>
    <w:rsid w:val="002D0260"/>
    <w:rsid w:val="002E6666"/>
    <w:rsid w:val="002E7CE8"/>
    <w:rsid w:val="002F210D"/>
    <w:rsid w:val="002F5CAB"/>
    <w:rsid w:val="002F7281"/>
    <w:rsid w:val="003003C1"/>
    <w:rsid w:val="00303ECE"/>
    <w:rsid w:val="00311032"/>
    <w:rsid w:val="0032003C"/>
    <w:rsid w:val="00322663"/>
    <w:rsid w:val="00325262"/>
    <w:rsid w:val="00326DD7"/>
    <w:rsid w:val="00330F5F"/>
    <w:rsid w:val="003311E5"/>
    <w:rsid w:val="00337E40"/>
    <w:rsid w:val="00340F4C"/>
    <w:rsid w:val="00342CCD"/>
    <w:rsid w:val="00350C59"/>
    <w:rsid w:val="0037773A"/>
    <w:rsid w:val="003834BC"/>
    <w:rsid w:val="003924E6"/>
    <w:rsid w:val="003930E6"/>
    <w:rsid w:val="003A0D63"/>
    <w:rsid w:val="003A2C50"/>
    <w:rsid w:val="003C1381"/>
    <w:rsid w:val="003C17BE"/>
    <w:rsid w:val="003C2D3B"/>
    <w:rsid w:val="003D3322"/>
    <w:rsid w:val="003D379C"/>
    <w:rsid w:val="003D6E37"/>
    <w:rsid w:val="003E74F2"/>
    <w:rsid w:val="003F4311"/>
    <w:rsid w:val="003F62EE"/>
    <w:rsid w:val="00405289"/>
    <w:rsid w:val="00410772"/>
    <w:rsid w:val="0042221D"/>
    <w:rsid w:val="004231C1"/>
    <w:rsid w:val="00433942"/>
    <w:rsid w:val="00433D8C"/>
    <w:rsid w:val="00437D50"/>
    <w:rsid w:val="00440E63"/>
    <w:rsid w:val="004647AD"/>
    <w:rsid w:val="00473BF0"/>
    <w:rsid w:val="00473FA8"/>
    <w:rsid w:val="004832E2"/>
    <w:rsid w:val="00485D65"/>
    <w:rsid w:val="00493C1E"/>
    <w:rsid w:val="00496189"/>
    <w:rsid w:val="00497E2D"/>
    <w:rsid w:val="004A184C"/>
    <w:rsid w:val="004B1662"/>
    <w:rsid w:val="004B2C7C"/>
    <w:rsid w:val="004B475C"/>
    <w:rsid w:val="004B6BFE"/>
    <w:rsid w:val="004C1B6F"/>
    <w:rsid w:val="004D49ED"/>
    <w:rsid w:val="004D7C2D"/>
    <w:rsid w:val="004E3790"/>
    <w:rsid w:val="004E497E"/>
    <w:rsid w:val="004F640E"/>
    <w:rsid w:val="004F7019"/>
    <w:rsid w:val="00502579"/>
    <w:rsid w:val="005078F4"/>
    <w:rsid w:val="005137BF"/>
    <w:rsid w:val="0052013D"/>
    <w:rsid w:val="00525599"/>
    <w:rsid w:val="00533E32"/>
    <w:rsid w:val="00536224"/>
    <w:rsid w:val="00540338"/>
    <w:rsid w:val="0054303C"/>
    <w:rsid w:val="005433FA"/>
    <w:rsid w:val="00544069"/>
    <w:rsid w:val="00545219"/>
    <w:rsid w:val="005454A4"/>
    <w:rsid w:val="005502C0"/>
    <w:rsid w:val="00551DF0"/>
    <w:rsid w:val="00554106"/>
    <w:rsid w:val="00554315"/>
    <w:rsid w:val="00562A91"/>
    <w:rsid w:val="00566EEE"/>
    <w:rsid w:val="00570815"/>
    <w:rsid w:val="005753B3"/>
    <w:rsid w:val="00581A7F"/>
    <w:rsid w:val="00584602"/>
    <w:rsid w:val="005A2227"/>
    <w:rsid w:val="005C069E"/>
    <w:rsid w:val="005C319C"/>
    <w:rsid w:val="005C4C3F"/>
    <w:rsid w:val="005C750C"/>
    <w:rsid w:val="005D099B"/>
    <w:rsid w:val="005D2F74"/>
    <w:rsid w:val="005D3E7F"/>
    <w:rsid w:val="005E558A"/>
    <w:rsid w:val="005E58AA"/>
    <w:rsid w:val="005F1893"/>
    <w:rsid w:val="005F457C"/>
    <w:rsid w:val="005F550E"/>
    <w:rsid w:val="006161FB"/>
    <w:rsid w:val="00620AA5"/>
    <w:rsid w:val="00620E86"/>
    <w:rsid w:val="006214A7"/>
    <w:rsid w:val="00622506"/>
    <w:rsid w:val="006235C6"/>
    <w:rsid w:val="00624454"/>
    <w:rsid w:val="006272C3"/>
    <w:rsid w:val="0062770E"/>
    <w:rsid w:val="00627959"/>
    <w:rsid w:val="00633FD2"/>
    <w:rsid w:val="006356BE"/>
    <w:rsid w:val="00636B3F"/>
    <w:rsid w:val="006639DB"/>
    <w:rsid w:val="00670055"/>
    <w:rsid w:val="00677AEE"/>
    <w:rsid w:val="00687D08"/>
    <w:rsid w:val="006937A4"/>
    <w:rsid w:val="006B0801"/>
    <w:rsid w:val="006B331C"/>
    <w:rsid w:val="006B4084"/>
    <w:rsid w:val="006C0831"/>
    <w:rsid w:val="006C25A9"/>
    <w:rsid w:val="006C5FA7"/>
    <w:rsid w:val="006E21D7"/>
    <w:rsid w:val="006E6D1D"/>
    <w:rsid w:val="006F086E"/>
    <w:rsid w:val="006F6DCF"/>
    <w:rsid w:val="0070291D"/>
    <w:rsid w:val="0070596D"/>
    <w:rsid w:val="00710C84"/>
    <w:rsid w:val="00717045"/>
    <w:rsid w:val="00717CF8"/>
    <w:rsid w:val="00723AF7"/>
    <w:rsid w:val="007248BE"/>
    <w:rsid w:val="00740F43"/>
    <w:rsid w:val="0074476D"/>
    <w:rsid w:val="007460DC"/>
    <w:rsid w:val="00757C0B"/>
    <w:rsid w:val="0076137E"/>
    <w:rsid w:val="00771908"/>
    <w:rsid w:val="00774F4B"/>
    <w:rsid w:val="007768CC"/>
    <w:rsid w:val="00781D2F"/>
    <w:rsid w:val="007A18C2"/>
    <w:rsid w:val="007A28F6"/>
    <w:rsid w:val="007A292F"/>
    <w:rsid w:val="007B27EF"/>
    <w:rsid w:val="007B43AD"/>
    <w:rsid w:val="007C0DED"/>
    <w:rsid w:val="007C4303"/>
    <w:rsid w:val="007C531F"/>
    <w:rsid w:val="007D1376"/>
    <w:rsid w:val="007D6423"/>
    <w:rsid w:val="007D6D72"/>
    <w:rsid w:val="007D772B"/>
    <w:rsid w:val="007E1E16"/>
    <w:rsid w:val="007E346A"/>
    <w:rsid w:val="007E63DB"/>
    <w:rsid w:val="007F0237"/>
    <w:rsid w:val="007F0778"/>
    <w:rsid w:val="007F2DA8"/>
    <w:rsid w:val="007F4E72"/>
    <w:rsid w:val="00804391"/>
    <w:rsid w:val="00805092"/>
    <w:rsid w:val="00812BF7"/>
    <w:rsid w:val="00814012"/>
    <w:rsid w:val="00823D57"/>
    <w:rsid w:val="0082794C"/>
    <w:rsid w:val="00831099"/>
    <w:rsid w:val="00845198"/>
    <w:rsid w:val="00850661"/>
    <w:rsid w:val="00854CCF"/>
    <w:rsid w:val="0086255E"/>
    <w:rsid w:val="008669B5"/>
    <w:rsid w:val="00871464"/>
    <w:rsid w:val="008760A4"/>
    <w:rsid w:val="00876A3D"/>
    <w:rsid w:val="008777CC"/>
    <w:rsid w:val="00885156"/>
    <w:rsid w:val="008929DA"/>
    <w:rsid w:val="008B2F16"/>
    <w:rsid w:val="008C1FCF"/>
    <w:rsid w:val="008C5A4E"/>
    <w:rsid w:val="008D1E6A"/>
    <w:rsid w:val="008D3B76"/>
    <w:rsid w:val="008F4DEC"/>
    <w:rsid w:val="008F508A"/>
    <w:rsid w:val="009007AA"/>
    <w:rsid w:val="00920E6D"/>
    <w:rsid w:val="00926017"/>
    <w:rsid w:val="00927902"/>
    <w:rsid w:val="00930C23"/>
    <w:rsid w:val="00931B62"/>
    <w:rsid w:val="00936591"/>
    <w:rsid w:val="00943A60"/>
    <w:rsid w:val="009445F1"/>
    <w:rsid w:val="00952023"/>
    <w:rsid w:val="009527D5"/>
    <w:rsid w:val="00953594"/>
    <w:rsid w:val="0095660D"/>
    <w:rsid w:val="00961F3B"/>
    <w:rsid w:val="00967709"/>
    <w:rsid w:val="00981293"/>
    <w:rsid w:val="00987CF2"/>
    <w:rsid w:val="00991CC1"/>
    <w:rsid w:val="00992721"/>
    <w:rsid w:val="009A1E76"/>
    <w:rsid w:val="009A3010"/>
    <w:rsid w:val="009A4F60"/>
    <w:rsid w:val="009B3FF4"/>
    <w:rsid w:val="009C36F2"/>
    <w:rsid w:val="009C71D2"/>
    <w:rsid w:val="009D1416"/>
    <w:rsid w:val="009D3B37"/>
    <w:rsid w:val="009D3B91"/>
    <w:rsid w:val="009D5B45"/>
    <w:rsid w:val="009E1324"/>
    <w:rsid w:val="009E4CCF"/>
    <w:rsid w:val="009F1F56"/>
    <w:rsid w:val="009F25F5"/>
    <w:rsid w:val="009F7723"/>
    <w:rsid w:val="00A00378"/>
    <w:rsid w:val="00A027E0"/>
    <w:rsid w:val="00A142C3"/>
    <w:rsid w:val="00A20C0F"/>
    <w:rsid w:val="00A21527"/>
    <w:rsid w:val="00A23464"/>
    <w:rsid w:val="00A30513"/>
    <w:rsid w:val="00A3119E"/>
    <w:rsid w:val="00A42F99"/>
    <w:rsid w:val="00A430C0"/>
    <w:rsid w:val="00A44A53"/>
    <w:rsid w:val="00A45C43"/>
    <w:rsid w:val="00A61FE0"/>
    <w:rsid w:val="00A67F68"/>
    <w:rsid w:val="00A720FD"/>
    <w:rsid w:val="00A80CA3"/>
    <w:rsid w:val="00A85761"/>
    <w:rsid w:val="00A90E40"/>
    <w:rsid w:val="00A94E88"/>
    <w:rsid w:val="00A97941"/>
    <w:rsid w:val="00AA120F"/>
    <w:rsid w:val="00AA5A00"/>
    <w:rsid w:val="00AB0017"/>
    <w:rsid w:val="00AB161E"/>
    <w:rsid w:val="00AC091B"/>
    <w:rsid w:val="00AC1176"/>
    <w:rsid w:val="00AC14B9"/>
    <w:rsid w:val="00AC29C8"/>
    <w:rsid w:val="00AD79A6"/>
    <w:rsid w:val="00AE4C4A"/>
    <w:rsid w:val="00AE70C4"/>
    <w:rsid w:val="00AF7A5D"/>
    <w:rsid w:val="00B00015"/>
    <w:rsid w:val="00B0559D"/>
    <w:rsid w:val="00B06822"/>
    <w:rsid w:val="00B219F9"/>
    <w:rsid w:val="00B3003C"/>
    <w:rsid w:val="00B34B1F"/>
    <w:rsid w:val="00B45B80"/>
    <w:rsid w:val="00B47C27"/>
    <w:rsid w:val="00B502A7"/>
    <w:rsid w:val="00B5198B"/>
    <w:rsid w:val="00B52651"/>
    <w:rsid w:val="00B54D6F"/>
    <w:rsid w:val="00B55F32"/>
    <w:rsid w:val="00B579E5"/>
    <w:rsid w:val="00B60DD6"/>
    <w:rsid w:val="00B66D2F"/>
    <w:rsid w:val="00B67C0A"/>
    <w:rsid w:val="00B72D93"/>
    <w:rsid w:val="00B74065"/>
    <w:rsid w:val="00B82063"/>
    <w:rsid w:val="00B8766D"/>
    <w:rsid w:val="00B90860"/>
    <w:rsid w:val="00B9390A"/>
    <w:rsid w:val="00BB6845"/>
    <w:rsid w:val="00BC0B10"/>
    <w:rsid w:val="00BC37ED"/>
    <w:rsid w:val="00BD2550"/>
    <w:rsid w:val="00BE5C2C"/>
    <w:rsid w:val="00BE6BCF"/>
    <w:rsid w:val="00BF5146"/>
    <w:rsid w:val="00C01500"/>
    <w:rsid w:val="00C1092F"/>
    <w:rsid w:val="00C35708"/>
    <w:rsid w:val="00C40442"/>
    <w:rsid w:val="00C42AC3"/>
    <w:rsid w:val="00C44251"/>
    <w:rsid w:val="00C45988"/>
    <w:rsid w:val="00C45E17"/>
    <w:rsid w:val="00C5041B"/>
    <w:rsid w:val="00C60803"/>
    <w:rsid w:val="00C62917"/>
    <w:rsid w:val="00C63027"/>
    <w:rsid w:val="00C70971"/>
    <w:rsid w:val="00C71829"/>
    <w:rsid w:val="00C760CF"/>
    <w:rsid w:val="00C76C0B"/>
    <w:rsid w:val="00C811EB"/>
    <w:rsid w:val="00C906D0"/>
    <w:rsid w:val="00C90D83"/>
    <w:rsid w:val="00C96F2F"/>
    <w:rsid w:val="00CA32D1"/>
    <w:rsid w:val="00CB2DB5"/>
    <w:rsid w:val="00CB78A0"/>
    <w:rsid w:val="00CC6EF2"/>
    <w:rsid w:val="00CD106D"/>
    <w:rsid w:val="00CD3676"/>
    <w:rsid w:val="00CD7BBA"/>
    <w:rsid w:val="00CF11DE"/>
    <w:rsid w:val="00CF5326"/>
    <w:rsid w:val="00D01046"/>
    <w:rsid w:val="00D024F4"/>
    <w:rsid w:val="00D0353D"/>
    <w:rsid w:val="00D06E6C"/>
    <w:rsid w:val="00D07876"/>
    <w:rsid w:val="00D123AA"/>
    <w:rsid w:val="00D14C84"/>
    <w:rsid w:val="00D156E9"/>
    <w:rsid w:val="00D37E78"/>
    <w:rsid w:val="00D44519"/>
    <w:rsid w:val="00D44B8D"/>
    <w:rsid w:val="00D47683"/>
    <w:rsid w:val="00D511D2"/>
    <w:rsid w:val="00D550D0"/>
    <w:rsid w:val="00D812EA"/>
    <w:rsid w:val="00D843EF"/>
    <w:rsid w:val="00D855D5"/>
    <w:rsid w:val="00D93F6F"/>
    <w:rsid w:val="00D96174"/>
    <w:rsid w:val="00DA1E52"/>
    <w:rsid w:val="00DA2785"/>
    <w:rsid w:val="00DA3298"/>
    <w:rsid w:val="00DB2030"/>
    <w:rsid w:val="00DC2367"/>
    <w:rsid w:val="00DC37CD"/>
    <w:rsid w:val="00DD6DC7"/>
    <w:rsid w:val="00E01F09"/>
    <w:rsid w:val="00E04FB4"/>
    <w:rsid w:val="00E11EFC"/>
    <w:rsid w:val="00E1239C"/>
    <w:rsid w:val="00E1624C"/>
    <w:rsid w:val="00E16530"/>
    <w:rsid w:val="00E21D0D"/>
    <w:rsid w:val="00E27D91"/>
    <w:rsid w:val="00E334C7"/>
    <w:rsid w:val="00E36D27"/>
    <w:rsid w:val="00E40A44"/>
    <w:rsid w:val="00E4369B"/>
    <w:rsid w:val="00E716B5"/>
    <w:rsid w:val="00E7366C"/>
    <w:rsid w:val="00E74D9F"/>
    <w:rsid w:val="00E75443"/>
    <w:rsid w:val="00E76116"/>
    <w:rsid w:val="00E82FD0"/>
    <w:rsid w:val="00E852E0"/>
    <w:rsid w:val="00E864EA"/>
    <w:rsid w:val="00E8769E"/>
    <w:rsid w:val="00E928B5"/>
    <w:rsid w:val="00E95EBE"/>
    <w:rsid w:val="00E974C6"/>
    <w:rsid w:val="00EA4BE5"/>
    <w:rsid w:val="00EC1AE7"/>
    <w:rsid w:val="00EC29D1"/>
    <w:rsid w:val="00EC6DC8"/>
    <w:rsid w:val="00ED1602"/>
    <w:rsid w:val="00ED70A6"/>
    <w:rsid w:val="00EE1B94"/>
    <w:rsid w:val="00EE2AB2"/>
    <w:rsid w:val="00EF1BD7"/>
    <w:rsid w:val="00EF6001"/>
    <w:rsid w:val="00F0180B"/>
    <w:rsid w:val="00F052CF"/>
    <w:rsid w:val="00F06897"/>
    <w:rsid w:val="00F0748B"/>
    <w:rsid w:val="00F104DC"/>
    <w:rsid w:val="00F113DD"/>
    <w:rsid w:val="00F1577E"/>
    <w:rsid w:val="00F251D7"/>
    <w:rsid w:val="00F25244"/>
    <w:rsid w:val="00F31137"/>
    <w:rsid w:val="00F40511"/>
    <w:rsid w:val="00F46007"/>
    <w:rsid w:val="00F47D67"/>
    <w:rsid w:val="00F57D2A"/>
    <w:rsid w:val="00F66C46"/>
    <w:rsid w:val="00F678C6"/>
    <w:rsid w:val="00F76C58"/>
    <w:rsid w:val="00F90293"/>
    <w:rsid w:val="00F9186B"/>
    <w:rsid w:val="00F9513D"/>
    <w:rsid w:val="00FA5344"/>
    <w:rsid w:val="00FA5484"/>
    <w:rsid w:val="00FB1319"/>
    <w:rsid w:val="00FC1A90"/>
    <w:rsid w:val="00FD3263"/>
    <w:rsid w:val="00FD7A01"/>
    <w:rsid w:val="00FE1464"/>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10593"/>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paragraph" w:customStyle="1" w:styleId="Texto">
    <w:name w:val="Texto"/>
    <w:basedOn w:val="Normal"/>
    <w:link w:val="TextoCar"/>
    <w:rsid w:val="00B74065"/>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B74065"/>
    <w:rPr>
      <w:rFonts w:ascii="Arial" w:eastAsia="Times New Roman" w:hAnsi="Arial" w:cs="Arial"/>
      <w:sz w:val="18"/>
      <w:szCs w:val="20"/>
      <w:lang w:val="es-ES" w:eastAsia="es-ES"/>
    </w:rPr>
  </w:style>
  <w:style w:type="character" w:styleId="Hipervnculo">
    <w:name w:val="Hyperlink"/>
    <w:basedOn w:val="Fuentedeprrafopredeter"/>
    <w:uiPriority w:val="99"/>
    <w:unhideWhenUsed/>
    <w:rsid w:val="003C17BE"/>
    <w:rPr>
      <w:color w:val="0563C1" w:themeColor="hyperlink"/>
      <w:u w:val="single"/>
    </w:rPr>
  </w:style>
  <w:style w:type="character" w:styleId="Textoennegrita">
    <w:name w:val="Strong"/>
    <w:basedOn w:val="Fuentedeprrafopredeter"/>
    <w:uiPriority w:val="22"/>
    <w:qFormat/>
    <w:rsid w:val="00876A3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361370991">
      <w:bodyDiv w:val="1"/>
      <w:marLeft w:val="0"/>
      <w:marRight w:val="0"/>
      <w:marTop w:val="0"/>
      <w:marBottom w:val="0"/>
      <w:divBdr>
        <w:top w:val="none" w:sz="0" w:space="0" w:color="auto"/>
        <w:left w:val="none" w:sz="0" w:space="0" w:color="auto"/>
        <w:bottom w:val="none" w:sz="0" w:space="0" w:color="auto"/>
        <w:right w:val="none" w:sz="0" w:space="0" w:color="auto"/>
      </w:divBdr>
    </w:div>
    <w:div w:id="377240245">
      <w:bodyDiv w:val="1"/>
      <w:marLeft w:val="0"/>
      <w:marRight w:val="0"/>
      <w:marTop w:val="0"/>
      <w:marBottom w:val="0"/>
      <w:divBdr>
        <w:top w:val="none" w:sz="0" w:space="0" w:color="auto"/>
        <w:left w:val="none" w:sz="0" w:space="0" w:color="auto"/>
        <w:bottom w:val="none" w:sz="0" w:space="0" w:color="auto"/>
        <w:right w:val="none" w:sz="0" w:space="0" w:color="auto"/>
      </w:divBdr>
    </w:div>
    <w:div w:id="450050842">
      <w:bodyDiv w:val="1"/>
      <w:marLeft w:val="0"/>
      <w:marRight w:val="0"/>
      <w:marTop w:val="0"/>
      <w:marBottom w:val="0"/>
      <w:divBdr>
        <w:top w:val="none" w:sz="0" w:space="0" w:color="auto"/>
        <w:left w:val="none" w:sz="0" w:space="0" w:color="auto"/>
        <w:bottom w:val="none" w:sz="0" w:space="0" w:color="auto"/>
        <w:right w:val="none" w:sz="0" w:space="0" w:color="auto"/>
      </w:divBdr>
    </w:div>
    <w:div w:id="20775858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www.internet2.scjn.gob.mx/red2/comunicados/noticia.asp?id=6898"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E78A09-2032-4729-9564-65D7A17100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15</Pages>
  <Words>4433</Words>
  <Characters>24384</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28760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12</cp:revision>
  <cp:lastPrinted>2022-12-08T17:14:00Z</cp:lastPrinted>
  <dcterms:created xsi:type="dcterms:W3CDTF">2022-10-07T16:11:00Z</dcterms:created>
  <dcterms:modified xsi:type="dcterms:W3CDTF">2022-12-08T17:15:00Z</dcterms:modified>
</cp:coreProperties>
</file>