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3FB" w:rsidRPr="00D21E56" w:rsidRDefault="00C423FB" w:rsidP="00C423FB">
      <w:pPr>
        <w:spacing w:line="360" w:lineRule="auto"/>
        <w:jc w:val="both"/>
        <w:rPr>
          <w:rFonts w:ascii="Arial" w:hAnsi="Arial" w:cs="Arial"/>
          <w:color w:val="0F243E" w:themeColor="text2" w:themeShade="80"/>
        </w:rPr>
      </w:pPr>
    </w:p>
    <w:p w:rsidR="00C423FB" w:rsidRPr="00D21E56" w:rsidRDefault="00C423FB" w:rsidP="00C423FB">
      <w:pPr>
        <w:spacing w:line="360" w:lineRule="auto"/>
        <w:jc w:val="both"/>
        <w:rPr>
          <w:rFonts w:ascii="Arial" w:hAnsi="Arial" w:cs="Arial"/>
          <w:color w:val="0F243E" w:themeColor="text2" w:themeShade="80"/>
        </w:rPr>
      </w:pPr>
      <w:r w:rsidRPr="00D21E56">
        <w:rPr>
          <w:rFonts w:ascii="Arial" w:hAnsi="Arial" w:cs="Arial"/>
          <w:color w:val="0F243E" w:themeColor="text2" w:themeShade="80"/>
        </w:rPr>
        <w:t>Visto el estado procesal que guarda el expediente citado al rubro; se procede a dictar Acuerdo, con base en los antecedentes y considerandos siguientes:</w:t>
      </w:r>
    </w:p>
    <w:p w:rsidR="00C423FB" w:rsidRPr="00D21E56" w:rsidRDefault="00C423FB" w:rsidP="00C423FB">
      <w:pPr>
        <w:spacing w:line="360" w:lineRule="auto"/>
        <w:jc w:val="both"/>
        <w:rPr>
          <w:rFonts w:ascii="Arial" w:hAnsi="Arial" w:cs="Arial"/>
          <w:color w:val="0F243E" w:themeColor="text2" w:themeShade="80"/>
        </w:rPr>
      </w:pPr>
    </w:p>
    <w:p w:rsidR="00C423FB" w:rsidRPr="00D21E56" w:rsidRDefault="00C423FB" w:rsidP="00E579D4">
      <w:pPr>
        <w:spacing w:line="360" w:lineRule="auto"/>
        <w:jc w:val="center"/>
        <w:rPr>
          <w:rFonts w:ascii="Arial" w:hAnsi="Arial" w:cs="Arial"/>
          <w:b/>
          <w:color w:val="0F243E" w:themeColor="text2" w:themeShade="80"/>
          <w:lang w:eastAsia="es-MX"/>
        </w:rPr>
      </w:pPr>
      <w:r w:rsidRPr="00D21E56">
        <w:rPr>
          <w:rFonts w:ascii="Arial" w:hAnsi="Arial" w:cs="Arial"/>
          <w:b/>
          <w:color w:val="0F243E" w:themeColor="text2" w:themeShade="80"/>
          <w:lang w:eastAsia="es-MX"/>
        </w:rPr>
        <w:t>ANTECEDENTES</w:t>
      </w:r>
    </w:p>
    <w:p w:rsidR="00C423FB" w:rsidRPr="00D21E56" w:rsidRDefault="00C423FB" w:rsidP="00C423FB">
      <w:pPr>
        <w:numPr>
          <w:ilvl w:val="0"/>
          <w:numId w:val="1"/>
        </w:numPr>
        <w:spacing w:line="360" w:lineRule="auto"/>
        <w:ind w:left="0" w:hanging="284"/>
        <w:jc w:val="both"/>
        <w:rPr>
          <w:rFonts w:ascii="Arial" w:hAnsi="Arial" w:cs="Arial"/>
          <w:b/>
          <w:color w:val="0F243E" w:themeColor="text2" w:themeShade="80"/>
          <w:lang w:eastAsia="es-MX"/>
        </w:rPr>
      </w:pPr>
      <w:r w:rsidRPr="00D21E56">
        <w:rPr>
          <w:rFonts w:ascii="Arial" w:eastAsia="Arial Unicode MS" w:hAnsi="Arial" w:cs="Arial"/>
          <w:color w:val="0F243E" w:themeColor="text2" w:themeShade="80"/>
        </w:rPr>
        <w:t xml:space="preserve">El </w:t>
      </w:r>
      <w:r w:rsidR="0098221E" w:rsidRPr="00D21E56">
        <w:rPr>
          <w:rFonts w:ascii="Arial" w:eastAsia="Arial Unicode MS" w:hAnsi="Arial" w:cs="Arial"/>
          <w:color w:val="0F243E" w:themeColor="text2" w:themeShade="80"/>
        </w:rPr>
        <w:t>veintiuno</w:t>
      </w:r>
      <w:r w:rsidR="00832476" w:rsidRPr="00D21E56">
        <w:rPr>
          <w:rFonts w:ascii="Arial" w:eastAsia="Arial Unicode MS" w:hAnsi="Arial" w:cs="Arial"/>
          <w:color w:val="0F243E" w:themeColor="text2" w:themeShade="80"/>
        </w:rPr>
        <w:t xml:space="preserve"> de </w:t>
      </w:r>
      <w:r w:rsidR="0098221E" w:rsidRPr="00D21E56">
        <w:rPr>
          <w:rFonts w:ascii="Arial" w:eastAsia="Arial Unicode MS" w:hAnsi="Arial" w:cs="Arial"/>
          <w:color w:val="0F243E" w:themeColor="text2" w:themeShade="80"/>
        </w:rPr>
        <w:t>octubre</w:t>
      </w:r>
      <w:r w:rsidR="00DA687D" w:rsidRPr="00D21E56">
        <w:rPr>
          <w:rFonts w:ascii="Arial" w:eastAsia="Arial Unicode MS" w:hAnsi="Arial" w:cs="Arial"/>
          <w:color w:val="0F243E" w:themeColor="text2" w:themeShade="80"/>
        </w:rPr>
        <w:t xml:space="preserve"> </w:t>
      </w:r>
      <w:proofErr w:type="spellStart"/>
      <w:r w:rsidR="00DA687D" w:rsidRPr="00D21E56">
        <w:rPr>
          <w:rFonts w:ascii="Arial" w:eastAsia="Arial Unicode MS" w:hAnsi="Arial" w:cs="Arial"/>
          <w:color w:val="0F243E" w:themeColor="text2" w:themeShade="80"/>
        </w:rPr>
        <w:t>de</w:t>
      </w:r>
      <w:proofErr w:type="spellEnd"/>
      <w:r w:rsidR="00DA687D" w:rsidRPr="00D21E56">
        <w:rPr>
          <w:rFonts w:ascii="Arial" w:eastAsia="Arial Unicode MS" w:hAnsi="Arial" w:cs="Arial"/>
          <w:color w:val="0F243E" w:themeColor="text2" w:themeShade="80"/>
        </w:rPr>
        <w:t xml:space="preserve"> dos mil ve</w:t>
      </w:r>
      <w:r w:rsidR="0098221E" w:rsidRPr="00D21E56">
        <w:rPr>
          <w:rFonts w:ascii="Arial" w:eastAsia="Arial Unicode MS" w:hAnsi="Arial" w:cs="Arial"/>
          <w:color w:val="0F243E" w:themeColor="text2" w:themeShade="80"/>
        </w:rPr>
        <w:t>intidós</w:t>
      </w:r>
      <w:r w:rsidRPr="00D21E56">
        <w:rPr>
          <w:rFonts w:ascii="Arial" w:eastAsia="Arial Unicode MS" w:hAnsi="Arial" w:cs="Arial"/>
          <w:color w:val="0F243E" w:themeColor="text2" w:themeShade="80"/>
        </w:rPr>
        <w:t xml:space="preserve">, a través de la Plataforma Nacional de Transparencia, el requirente dirigió </w:t>
      </w:r>
      <w:r w:rsidR="00586FE2" w:rsidRPr="00D21E56">
        <w:rPr>
          <w:rFonts w:ascii="Arial" w:eastAsia="Arial Unicode MS" w:hAnsi="Arial" w:cs="Arial"/>
          <w:color w:val="0F243E" w:themeColor="text2" w:themeShade="80"/>
        </w:rPr>
        <w:t xml:space="preserve">una solicitud de información a </w:t>
      </w:r>
      <w:r w:rsidR="0098221E" w:rsidRPr="00D21E56">
        <w:rPr>
          <w:rFonts w:ascii="Arial" w:eastAsia="Arial Unicode MS" w:hAnsi="Arial" w:cs="Arial"/>
          <w:color w:val="0F243E" w:themeColor="text2" w:themeShade="80"/>
        </w:rPr>
        <w:t>Secretaria de Finanzas</w:t>
      </w:r>
      <w:r w:rsidR="00DA687D" w:rsidRPr="00D21E56">
        <w:rPr>
          <w:rFonts w:ascii="Arial" w:eastAsia="Arial Unicode MS" w:hAnsi="Arial" w:cs="Arial"/>
          <w:color w:val="0F243E" w:themeColor="text2" w:themeShade="80"/>
        </w:rPr>
        <w:t xml:space="preserve">, </w:t>
      </w:r>
      <w:r w:rsidRPr="00D21E56">
        <w:rPr>
          <w:rFonts w:ascii="Arial" w:eastAsia="Arial Unicode MS" w:hAnsi="Arial" w:cs="Arial"/>
          <w:color w:val="0F243E" w:themeColor="text2" w:themeShade="80"/>
        </w:rPr>
        <w:t>a la cual se le asi</w:t>
      </w:r>
      <w:r w:rsidR="0098221E" w:rsidRPr="00D21E56">
        <w:rPr>
          <w:rFonts w:ascii="Arial" w:eastAsia="Arial Unicode MS" w:hAnsi="Arial" w:cs="Arial"/>
          <w:color w:val="0F243E" w:themeColor="text2" w:themeShade="80"/>
        </w:rPr>
        <w:t>gnó el número de folio 240470522000265</w:t>
      </w:r>
      <w:r w:rsidR="00DA687D" w:rsidRPr="00D21E56">
        <w:rPr>
          <w:rFonts w:ascii="Arial" w:eastAsia="Arial Unicode MS" w:hAnsi="Arial" w:cs="Arial"/>
          <w:color w:val="0F243E" w:themeColor="text2" w:themeShade="80"/>
        </w:rPr>
        <w:t xml:space="preserve">, requiriendo lo siguiente: </w:t>
      </w:r>
      <w:r w:rsidRPr="00D21E56">
        <w:rPr>
          <w:rFonts w:ascii="Arial" w:eastAsia="Arial Unicode MS" w:hAnsi="Arial" w:cs="Arial"/>
          <w:color w:val="0F243E" w:themeColor="text2" w:themeShade="80"/>
        </w:rPr>
        <w:t xml:space="preserve"> </w:t>
      </w:r>
    </w:p>
    <w:p w:rsidR="00586FE2" w:rsidRPr="00D21E56" w:rsidRDefault="00586FE2" w:rsidP="00586FE2">
      <w:pPr>
        <w:spacing w:line="360" w:lineRule="auto"/>
        <w:ind w:left="1701" w:right="1072"/>
        <w:jc w:val="both"/>
        <w:rPr>
          <w:rFonts w:ascii="Arial" w:eastAsia="Arial Unicode MS" w:hAnsi="Arial" w:cs="Arial"/>
          <w:color w:val="0F243E" w:themeColor="text2" w:themeShade="80"/>
        </w:rPr>
      </w:pPr>
    </w:p>
    <w:p w:rsidR="009148B0" w:rsidRPr="00D21E56" w:rsidRDefault="0098221E" w:rsidP="0098221E">
      <w:pPr>
        <w:spacing w:line="360" w:lineRule="auto"/>
        <w:ind w:left="1843" w:right="1893"/>
        <w:jc w:val="both"/>
        <w:rPr>
          <w:rFonts w:ascii="Arial" w:eastAsia="Arial Unicode MS" w:hAnsi="Arial" w:cs="Arial"/>
          <w:bCs/>
          <w:i/>
          <w:color w:val="0F243E" w:themeColor="text2" w:themeShade="80"/>
        </w:rPr>
      </w:pPr>
      <w:r w:rsidRPr="00D21E56">
        <w:rPr>
          <w:rFonts w:ascii="Arial" w:eastAsia="Arial Unicode MS" w:hAnsi="Arial" w:cs="Arial"/>
          <w:bCs/>
          <w:i/>
          <w:color w:val="0F243E" w:themeColor="text2" w:themeShade="80"/>
        </w:rPr>
        <w:t>“Solicito los documentos de pago del gobernador del estado de San Luis Potosí. Quiero acceder a los recibos de pago oficiales (CFDI) del gobernador de julio y agosto de 2022 en versión pública.</w:t>
      </w:r>
      <w:r w:rsidRPr="00D21E56">
        <w:rPr>
          <w:rFonts w:ascii="Arial" w:eastAsia="Arial Unicode MS" w:hAnsi="Arial" w:cs="Arial"/>
          <w:bCs/>
          <w:i/>
          <w:color w:val="0F243E" w:themeColor="text2" w:themeShade="80"/>
        </w:rPr>
        <w:br/>
        <w:t>No quiero que me manden al tabulador.</w:t>
      </w:r>
      <w:r w:rsidRPr="00D21E56">
        <w:rPr>
          <w:rFonts w:ascii="Arial" w:eastAsia="Arial Unicode MS" w:hAnsi="Arial" w:cs="Arial"/>
          <w:bCs/>
          <w:i/>
          <w:color w:val="0F243E" w:themeColor="text2" w:themeShade="80"/>
        </w:rPr>
        <w:br/>
        <w:t>No quiero que me manden a la página.</w:t>
      </w:r>
      <w:r w:rsidRPr="00D21E56">
        <w:rPr>
          <w:rFonts w:ascii="Arial" w:eastAsia="Arial Unicode MS" w:hAnsi="Arial" w:cs="Arial"/>
          <w:bCs/>
          <w:i/>
          <w:color w:val="0F243E" w:themeColor="text2" w:themeShade="80"/>
        </w:rPr>
        <w:br/>
        <w:t>Quiero los documentos.</w:t>
      </w:r>
      <w:r w:rsidRPr="00D21E56">
        <w:rPr>
          <w:rFonts w:ascii="Arial" w:eastAsia="Arial Unicode MS" w:hAnsi="Arial" w:cs="Arial"/>
          <w:bCs/>
          <w:i/>
          <w:color w:val="0F243E" w:themeColor="text2" w:themeShade="80"/>
        </w:rPr>
        <w:br/>
        <w:t>Lo anterior, en virtud de que la Secretaría Particular del gobernador me mandó a pedírsela a ustedes, es decir, que ya había pedido la información a dicha Secretaría Particular y ésta me mandó a esta Secretaría de Finanzas, por eso pido esos documentos a ustedes. Es más, hasta me citó un fundamento del porqué no la tienen ellos.</w:t>
      </w:r>
      <w:r w:rsidRPr="00D21E56">
        <w:rPr>
          <w:rFonts w:ascii="Arial" w:eastAsia="Arial Unicode MS" w:hAnsi="Arial" w:cs="Arial"/>
          <w:bCs/>
          <w:i/>
          <w:color w:val="0F243E" w:themeColor="text2" w:themeShade="80"/>
        </w:rPr>
        <w:br/>
        <w:t>Adjunto a esta solicitud el oficio que sustenta mi dicho.</w:t>
      </w:r>
      <w:r w:rsidRPr="00D21E56">
        <w:rPr>
          <w:rFonts w:ascii="Arial" w:eastAsia="Arial Unicode MS" w:hAnsi="Arial" w:cs="Arial"/>
          <w:bCs/>
          <w:i/>
          <w:color w:val="0F243E" w:themeColor="text2" w:themeShade="80"/>
        </w:rPr>
        <w:br/>
        <w:t>Por último, en términos del artículo 165 de la Ley de Transparencia, los documentos me deberán ser entregados de forma gratuita.”</w:t>
      </w:r>
    </w:p>
    <w:p w:rsidR="0098221E" w:rsidRPr="00D21E56" w:rsidRDefault="0098221E" w:rsidP="0098221E">
      <w:pPr>
        <w:spacing w:line="360" w:lineRule="auto"/>
        <w:ind w:left="1843" w:right="1893"/>
        <w:jc w:val="both"/>
        <w:rPr>
          <w:rFonts w:ascii="Arial" w:hAnsi="Arial" w:cs="Arial"/>
          <w:i/>
          <w:color w:val="0F243E" w:themeColor="text2" w:themeShade="80"/>
        </w:rPr>
      </w:pPr>
    </w:p>
    <w:p w:rsidR="00C423FB" w:rsidRPr="00D21E56" w:rsidRDefault="00C423FB" w:rsidP="008D191E">
      <w:pPr>
        <w:numPr>
          <w:ilvl w:val="0"/>
          <w:numId w:val="1"/>
        </w:numPr>
        <w:spacing w:line="360" w:lineRule="auto"/>
        <w:ind w:left="0" w:right="-91" w:hanging="294"/>
        <w:jc w:val="both"/>
        <w:rPr>
          <w:rFonts w:ascii="Arial" w:hAnsi="Arial" w:cs="Arial"/>
          <w:color w:val="0F243E" w:themeColor="text2" w:themeShade="80"/>
        </w:rPr>
      </w:pPr>
      <w:r w:rsidRPr="00D21E56">
        <w:rPr>
          <w:rFonts w:ascii="Arial" w:hAnsi="Arial" w:cs="Arial"/>
          <w:color w:val="0F243E" w:themeColor="text2" w:themeShade="80"/>
        </w:rPr>
        <w:t xml:space="preserve">El </w:t>
      </w:r>
      <w:r w:rsidR="00A848A8" w:rsidRPr="00D21E56">
        <w:rPr>
          <w:rFonts w:ascii="Arial" w:hAnsi="Arial" w:cs="Arial"/>
          <w:color w:val="0F243E" w:themeColor="text2" w:themeShade="80"/>
        </w:rPr>
        <w:t>siete</w:t>
      </w:r>
      <w:r w:rsidR="00793C26" w:rsidRPr="00D21E56">
        <w:rPr>
          <w:rFonts w:ascii="Arial" w:hAnsi="Arial" w:cs="Arial"/>
          <w:color w:val="0F243E" w:themeColor="text2" w:themeShade="80"/>
        </w:rPr>
        <w:t xml:space="preserve"> de </w:t>
      </w:r>
      <w:r w:rsidR="00A848A8" w:rsidRPr="00D21E56">
        <w:rPr>
          <w:rFonts w:ascii="Arial" w:hAnsi="Arial" w:cs="Arial"/>
          <w:color w:val="0F243E" w:themeColor="text2" w:themeShade="80"/>
        </w:rPr>
        <w:t xml:space="preserve">febrero </w:t>
      </w:r>
      <w:r w:rsidR="00DA687D" w:rsidRPr="00D21E56">
        <w:rPr>
          <w:rFonts w:ascii="Arial" w:hAnsi="Arial" w:cs="Arial"/>
          <w:color w:val="0F243E" w:themeColor="text2" w:themeShade="80"/>
        </w:rPr>
        <w:t>de dos mi</w:t>
      </w:r>
      <w:r w:rsidR="00586FE2" w:rsidRPr="00D21E56">
        <w:rPr>
          <w:rFonts w:ascii="Arial" w:hAnsi="Arial" w:cs="Arial"/>
          <w:color w:val="0F243E" w:themeColor="text2" w:themeShade="80"/>
        </w:rPr>
        <w:t>l</w:t>
      </w:r>
      <w:r w:rsidR="00DA687D" w:rsidRPr="00D21E56">
        <w:rPr>
          <w:rFonts w:ascii="Arial" w:hAnsi="Arial" w:cs="Arial"/>
          <w:color w:val="0F243E" w:themeColor="text2" w:themeShade="80"/>
        </w:rPr>
        <w:t xml:space="preserve"> </w:t>
      </w:r>
      <w:r w:rsidR="00A848A8" w:rsidRPr="00D21E56">
        <w:rPr>
          <w:rFonts w:ascii="Arial" w:hAnsi="Arial" w:cs="Arial"/>
          <w:color w:val="0F243E" w:themeColor="text2" w:themeShade="80"/>
        </w:rPr>
        <w:t>veintitrés</w:t>
      </w:r>
      <w:r w:rsidR="00DA687D" w:rsidRPr="00D21E56">
        <w:rPr>
          <w:rFonts w:ascii="Arial" w:hAnsi="Arial" w:cs="Arial"/>
          <w:color w:val="0F243E" w:themeColor="text2" w:themeShade="80"/>
        </w:rPr>
        <w:t>,</w:t>
      </w:r>
      <w:r w:rsidRPr="00D21E56">
        <w:rPr>
          <w:rFonts w:ascii="Arial" w:hAnsi="Arial" w:cs="Arial"/>
          <w:color w:val="0F243E" w:themeColor="text2" w:themeShade="80"/>
        </w:rPr>
        <w:t xml:space="preserve"> este Órgano Garante dictó la resolución correspondiente en la cual se determinó </w:t>
      </w:r>
      <w:r w:rsidR="00586FE2" w:rsidRPr="00D21E56">
        <w:rPr>
          <w:rFonts w:ascii="Arial" w:hAnsi="Arial" w:cs="Arial"/>
          <w:b/>
          <w:color w:val="0F243E" w:themeColor="text2" w:themeShade="80"/>
          <w:u w:val="single"/>
        </w:rPr>
        <w:t>Revocar</w:t>
      </w:r>
      <w:r w:rsidR="00DA687D" w:rsidRPr="00D21E56">
        <w:rPr>
          <w:rFonts w:ascii="Arial" w:hAnsi="Arial" w:cs="Arial"/>
          <w:color w:val="0F243E" w:themeColor="text2" w:themeShade="80"/>
        </w:rPr>
        <w:t xml:space="preserve"> </w:t>
      </w:r>
      <w:r w:rsidR="00E579D4" w:rsidRPr="00D21E56">
        <w:rPr>
          <w:rFonts w:ascii="Arial" w:hAnsi="Arial" w:cs="Arial"/>
          <w:color w:val="0F243E" w:themeColor="text2" w:themeShade="80"/>
        </w:rPr>
        <w:t>la respuesta de</w:t>
      </w:r>
      <w:r w:rsidR="00586FE2" w:rsidRPr="00D21E56">
        <w:rPr>
          <w:rFonts w:ascii="Arial" w:hAnsi="Arial" w:cs="Arial"/>
          <w:color w:val="0F243E" w:themeColor="text2" w:themeShade="80"/>
        </w:rPr>
        <w:t xml:space="preserve"> </w:t>
      </w:r>
      <w:r w:rsidR="00A848A8" w:rsidRPr="00D21E56">
        <w:rPr>
          <w:rFonts w:ascii="Arial" w:hAnsi="Arial" w:cs="Arial"/>
          <w:color w:val="0F243E" w:themeColor="text2" w:themeShade="80"/>
        </w:rPr>
        <w:t xml:space="preserve">la Secretaria de </w:t>
      </w:r>
      <w:r w:rsidR="00927239" w:rsidRPr="00D21E56">
        <w:rPr>
          <w:rFonts w:ascii="Arial" w:hAnsi="Arial" w:cs="Arial"/>
          <w:color w:val="0F243E" w:themeColor="text2" w:themeShade="80"/>
        </w:rPr>
        <w:t>Finanzas</w:t>
      </w:r>
      <w:r w:rsidR="00DA687D" w:rsidRPr="00D21E56">
        <w:rPr>
          <w:rFonts w:ascii="Arial" w:hAnsi="Arial" w:cs="Arial"/>
          <w:color w:val="0F243E" w:themeColor="text2" w:themeShade="80"/>
        </w:rPr>
        <w:t xml:space="preserve">, </w:t>
      </w:r>
      <w:r w:rsidR="008D191E" w:rsidRPr="00D21E56">
        <w:rPr>
          <w:rFonts w:ascii="Arial" w:hAnsi="Arial" w:cs="Arial"/>
          <w:color w:val="0F243E" w:themeColor="text2" w:themeShade="80"/>
        </w:rPr>
        <w:t xml:space="preserve">conminando al Sujeto Obligado </w:t>
      </w:r>
      <w:r w:rsidRPr="00D21E56">
        <w:rPr>
          <w:rFonts w:ascii="Arial" w:hAnsi="Arial" w:cs="Arial"/>
          <w:color w:val="0F243E" w:themeColor="text2" w:themeShade="80"/>
        </w:rPr>
        <w:t>para efecto</w:t>
      </w:r>
      <w:r w:rsidR="008D191E" w:rsidRPr="00D21E56">
        <w:rPr>
          <w:rFonts w:ascii="Arial" w:hAnsi="Arial" w:cs="Arial"/>
          <w:color w:val="0F243E" w:themeColor="text2" w:themeShade="80"/>
        </w:rPr>
        <w:t>s</w:t>
      </w:r>
      <w:r w:rsidRPr="00D21E56">
        <w:rPr>
          <w:rFonts w:ascii="Arial" w:hAnsi="Arial" w:cs="Arial"/>
          <w:color w:val="0F243E" w:themeColor="text2" w:themeShade="80"/>
        </w:rPr>
        <w:t xml:space="preserve"> </w:t>
      </w:r>
      <w:r w:rsidR="008D191E" w:rsidRPr="00D21E56">
        <w:rPr>
          <w:rFonts w:ascii="Arial" w:hAnsi="Arial" w:cs="Arial"/>
          <w:color w:val="0F243E" w:themeColor="text2" w:themeShade="80"/>
        </w:rPr>
        <w:t>de:</w:t>
      </w:r>
    </w:p>
    <w:p w:rsidR="00C423FB" w:rsidRPr="00D21E56" w:rsidRDefault="00C423FB" w:rsidP="00927239">
      <w:pPr>
        <w:pStyle w:val="Prrafodelista"/>
        <w:ind w:left="1985" w:right="1610"/>
        <w:rPr>
          <w:i/>
          <w:color w:val="0F243E" w:themeColor="text2" w:themeShade="80"/>
        </w:rPr>
      </w:pPr>
    </w:p>
    <w:p w:rsidR="00927239" w:rsidRPr="00927239" w:rsidRDefault="00927239" w:rsidP="00927239">
      <w:pPr>
        <w:spacing w:line="360" w:lineRule="auto"/>
        <w:ind w:left="1985" w:right="1610"/>
        <w:jc w:val="both"/>
        <w:rPr>
          <w:rFonts w:ascii="Arial" w:eastAsia="Calibri" w:hAnsi="Arial" w:cs="Arial"/>
          <w:i/>
          <w:color w:val="0F243E" w:themeColor="text2" w:themeShade="80"/>
          <w:lang w:eastAsia="en-US"/>
        </w:rPr>
      </w:pPr>
      <w:r w:rsidRPr="00927239">
        <w:rPr>
          <w:rFonts w:ascii="Arial" w:eastAsia="Calibri" w:hAnsi="Arial" w:cs="Arial"/>
          <w:i/>
          <w:color w:val="0F243E" w:themeColor="text2" w:themeShade="80"/>
          <w:lang w:eastAsia="en-US"/>
        </w:rPr>
        <w:t xml:space="preserve">El Sujeto Obligado el obligado deberá de emitir una nueva respuesta en la que, de conformidad con lo establecido por los arábigos 24, fracciones IX, XVI y XVII del Reglamento Interno de la Secretaría de Finanzas, 27 y 99 de la Ley del Impuesto Sobre la Renta, así como el 125 y 165 de la Ley de Transparencia y Acceso a la Información Pública del Estado, realice la versión pública que corresponda, observando para su elaboración lo establecido en el artículo sexagésimo de los Lineamientos de Clasificación Desclasificación de la Información, así como para la Elaboración de Versiones Públicas.   </w:t>
      </w:r>
    </w:p>
    <w:p w:rsidR="006319DC" w:rsidRPr="00D21E56" w:rsidRDefault="006319DC" w:rsidP="006319DC">
      <w:pPr>
        <w:spacing w:line="360" w:lineRule="auto"/>
        <w:ind w:right="-91"/>
        <w:jc w:val="both"/>
        <w:rPr>
          <w:rFonts w:ascii="Arial" w:hAnsi="Arial" w:cs="Arial"/>
          <w:b/>
          <w:color w:val="0F243E" w:themeColor="text2" w:themeShade="80"/>
          <w:lang w:eastAsia="es-MX"/>
        </w:rPr>
      </w:pPr>
    </w:p>
    <w:p w:rsidR="00793C26" w:rsidRPr="00D21E56" w:rsidRDefault="006319DC" w:rsidP="00793C26">
      <w:pPr>
        <w:numPr>
          <w:ilvl w:val="0"/>
          <w:numId w:val="1"/>
        </w:numPr>
        <w:spacing w:line="360" w:lineRule="auto"/>
        <w:ind w:left="0" w:right="-91" w:hanging="294"/>
        <w:jc w:val="both"/>
        <w:rPr>
          <w:rFonts w:ascii="Arial" w:hAnsi="Arial" w:cs="Arial"/>
          <w:b/>
          <w:color w:val="0F243E" w:themeColor="text2" w:themeShade="80"/>
          <w:lang w:eastAsia="es-MX"/>
        </w:rPr>
      </w:pPr>
      <w:r w:rsidRPr="00D21E56">
        <w:rPr>
          <w:rFonts w:ascii="Arial" w:hAnsi="Arial" w:cs="Arial"/>
          <w:color w:val="0F243E" w:themeColor="text2" w:themeShade="80"/>
          <w:lang w:eastAsia="es-MX"/>
        </w:rPr>
        <w:t xml:space="preserve">El </w:t>
      </w:r>
      <w:r w:rsidR="00927239" w:rsidRPr="00D21E56">
        <w:rPr>
          <w:rFonts w:ascii="Arial" w:hAnsi="Arial" w:cs="Arial"/>
          <w:color w:val="0F243E" w:themeColor="text2" w:themeShade="80"/>
          <w:lang w:eastAsia="es-MX"/>
        </w:rPr>
        <w:t>dos</w:t>
      </w:r>
      <w:r w:rsidR="009148B0" w:rsidRPr="00D21E56">
        <w:rPr>
          <w:rFonts w:ascii="Arial" w:hAnsi="Arial" w:cs="Arial"/>
          <w:color w:val="0F243E" w:themeColor="text2" w:themeShade="80"/>
          <w:lang w:eastAsia="es-MX"/>
        </w:rPr>
        <w:t xml:space="preserve"> de </w:t>
      </w:r>
      <w:r w:rsidR="00927239" w:rsidRPr="00D21E56">
        <w:rPr>
          <w:rFonts w:ascii="Arial" w:hAnsi="Arial" w:cs="Arial"/>
          <w:color w:val="0F243E" w:themeColor="text2" w:themeShade="80"/>
          <w:lang w:eastAsia="es-MX"/>
        </w:rPr>
        <w:t>marzo</w:t>
      </w:r>
      <w:r w:rsidR="009A51A5" w:rsidRPr="00D21E56">
        <w:rPr>
          <w:rFonts w:ascii="Arial" w:hAnsi="Arial" w:cs="Arial"/>
          <w:color w:val="0F243E" w:themeColor="text2" w:themeShade="80"/>
          <w:lang w:eastAsia="es-MX"/>
        </w:rPr>
        <w:t xml:space="preserve"> </w:t>
      </w:r>
      <w:proofErr w:type="spellStart"/>
      <w:r w:rsidR="009A51A5" w:rsidRPr="00D21E56">
        <w:rPr>
          <w:rFonts w:ascii="Arial" w:hAnsi="Arial" w:cs="Arial"/>
          <w:color w:val="0F243E" w:themeColor="text2" w:themeShade="80"/>
          <w:lang w:eastAsia="es-MX"/>
        </w:rPr>
        <w:t>de</w:t>
      </w:r>
      <w:proofErr w:type="spellEnd"/>
      <w:r w:rsidR="009A51A5" w:rsidRPr="00D21E56">
        <w:rPr>
          <w:rFonts w:ascii="Arial" w:hAnsi="Arial" w:cs="Arial"/>
          <w:color w:val="0F243E" w:themeColor="text2" w:themeShade="80"/>
          <w:lang w:eastAsia="es-MX"/>
        </w:rPr>
        <w:t xml:space="preserve"> dos m</w:t>
      </w:r>
      <w:r w:rsidR="00BB448D" w:rsidRPr="00D21E56">
        <w:rPr>
          <w:rFonts w:ascii="Arial" w:hAnsi="Arial" w:cs="Arial"/>
          <w:color w:val="0F243E" w:themeColor="text2" w:themeShade="80"/>
          <w:lang w:eastAsia="es-MX"/>
        </w:rPr>
        <w:t>il veintitrés</w:t>
      </w:r>
      <w:r w:rsidRPr="00D21E56">
        <w:rPr>
          <w:rFonts w:ascii="Arial" w:hAnsi="Arial" w:cs="Arial"/>
          <w:color w:val="0F243E" w:themeColor="text2" w:themeShade="80"/>
          <w:lang w:eastAsia="es-MX"/>
        </w:rPr>
        <w:t xml:space="preserve"> se dictó un acuerdo, mediante el cual, se tuvo por agregado el oficio </w:t>
      </w:r>
      <w:r w:rsidR="00927239" w:rsidRPr="00D21E56">
        <w:rPr>
          <w:rFonts w:ascii="Arial" w:hAnsi="Arial" w:cs="Arial"/>
          <w:color w:val="0F243E" w:themeColor="text2" w:themeShade="80"/>
          <w:lang w:eastAsia="es-MX"/>
        </w:rPr>
        <w:t>SF/UT/072/2023</w:t>
      </w:r>
      <w:r w:rsidR="009A51A5" w:rsidRPr="00D21E56">
        <w:rPr>
          <w:rFonts w:ascii="Arial" w:hAnsi="Arial" w:cs="Arial"/>
          <w:color w:val="0F243E" w:themeColor="text2" w:themeShade="80"/>
          <w:lang w:eastAsia="es-MX"/>
        </w:rPr>
        <w:t xml:space="preserve"> de </w:t>
      </w:r>
      <w:r w:rsidR="00927239" w:rsidRPr="00D21E56">
        <w:rPr>
          <w:rFonts w:ascii="Arial" w:hAnsi="Arial" w:cs="Arial"/>
          <w:color w:val="0F243E" w:themeColor="text2" w:themeShade="80"/>
          <w:lang w:eastAsia="es-MX"/>
        </w:rPr>
        <w:t>veintitrés</w:t>
      </w:r>
      <w:r w:rsidR="00793C26" w:rsidRPr="00D21E56">
        <w:rPr>
          <w:rFonts w:ascii="Arial" w:hAnsi="Arial" w:cs="Arial"/>
          <w:color w:val="0F243E" w:themeColor="text2" w:themeShade="80"/>
          <w:lang w:eastAsia="es-MX"/>
        </w:rPr>
        <w:t xml:space="preserve"> de </w:t>
      </w:r>
      <w:r w:rsidR="00927239" w:rsidRPr="00D21E56">
        <w:rPr>
          <w:rFonts w:ascii="Arial" w:hAnsi="Arial" w:cs="Arial"/>
          <w:color w:val="0F243E" w:themeColor="text2" w:themeShade="80"/>
          <w:lang w:eastAsia="es-MX"/>
        </w:rPr>
        <w:t>febrero</w:t>
      </w:r>
      <w:r w:rsidR="00BB448D" w:rsidRPr="00D21E56">
        <w:rPr>
          <w:rFonts w:ascii="Arial" w:hAnsi="Arial" w:cs="Arial"/>
          <w:color w:val="0F243E" w:themeColor="text2" w:themeShade="80"/>
          <w:lang w:eastAsia="es-MX"/>
        </w:rPr>
        <w:t xml:space="preserve"> de dos mil veintitrés</w:t>
      </w:r>
      <w:r w:rsidR="00BF0757" w:rsidRPr="00D21E56">
        <w:rPr>
          <w:rFonts w:ascii="Arial" w:hAnsi="Arial" w:cs="Arial"/>
          <w:color w:val="0F243E" w:themeColor="text2" w:themeShade="80"/>
          <w:lang w:eastAsia="es-MX"/>
        </w:rPr>
        <w:t>,</w:t>
      </w:r>
      <w:r w:rsidR="00927239" w:rsidRPr="00D21E56">
        <w:rPr>
          <w:rFonts w:ascii="Arial" w:hAnsi="Arial" w:cs="Arial"/>
          <w:color w:val="0F243E" w:themeColor="text2" w:themeShade="80"/>
          <w:lang w:eastAsia="es-MX"/>
        </w:rPr>
        <w:t xml:space="preserve"> signado por la</w:t>
      </w:r>
      <w:r w:rsidRPr="00D21E56">
        <w:rPr>
          <w:rFonts w:ascii="Arial" w:hAnsi="Arial" w:cs="Arial"/>
          <w:color w:val="0F243E" w:themeColor="text2" w:themeShade="80"/>
          <w:lang w:eastAsia="es-MX"/>
        </w:rPr>
        <w:t xml:space="preserve"> </w:t>
      </w:r>
      <w:r w:rsidR="00D32A07" w:rsidRPr="00D21E56">
        <w:rPr>
          <w:rFonts w:ascii="Arial" w:hAnsi="Arial" w:cs="Arial"/>
          <w:color w:val="0F243E" w:themeColor="text2" w:themeShade="80"/>
          <w:lang w:eastAsia="es-MX"/>
        </w:rPr>
        <w:t>Titular</w:t>
      </w:r>
      <w:r w:rsidRPr="00D21E56">
        <w:rPr>
          <w:rFonts w:ascii="Arial" w:hAnsi="Arial" w:cs="Arial"/>
          <w:color w:val="0F243E" w:themeColor="text2" w:themeShade="80"/>
          <w:lang w:eastAsia="es-MX"/>
        </w:rPr>
        <w:t xml:space="preserve"> de la Unidad de Transparenci</w:t>
      </w:r>
      <w:r w:rsidR="009A51A5" w:rsidRPr="00D21E56">
        <w:rPr>
          <w:rFonts w:ascii="Arial" w:hAnsi="Arial" w:cs="Arial"/>
          <w:color w:val="0F243E" w:themeColor="text2" w:themeShade="80"/>
          <w:lang w:eastAsia="es-MX"/>
        </w:rPr>
        <w:t>a de</w:t>
      </w:r>
      <w:r w:rsidR="00BB448D" w:rsidRPr="00D21E56">
        <w:rPr>
          <w:rFonts w:ascii="Arial" w:hAnsi="Arial" w:cs="Arial"/>
          <w:color w:val="0F243E" w:themeColor="text2" w:themeShade="80"/>
          <w:lang w:eastAsia="es-MX"/>
        </w:rPr>
        <w:t xml:space="preserve"> </w:t>
      </w:r>
      <w:r w:rsidR="00927239" w:rsidRPr="00D21E56">
        <w:rPr>
          <w:rFonts w:ascii="Arial" w:hAnsi="Arial" w:cs="Arial"/>
          <w:color w:val="0F243E" w:themeColor="text2" w:themeShade="80"/>
          <w:lang w:eastAsia="es-MX"/>
        </w:rPr>
        <w:t>la Secretaria de finanzas</w:t>
      </w:r>
      <w:r w:rsidR="00D32A07" w:rsidRPr="00D21E56">
        <w:rPr>
          <w:rFonts w:ascii="Arial" w:hAnsi="Arial" w:cs="Arial"/>
          <w:color w:val="0F243E" w:themeColor="text2" w:themeShade="80"/>
          <w:lang w:eastAsia="es-MX"/>
        </w:rPr>
        <w:t xml:space="preserve">, </w:t>
      </w:r>
      <w:r w:rsidRPr="00D21E56">
        <w:rPr>
          <w:rFonts w:ascii="Arial" w:hAnsi="Arial" w:cs="Arial"/>
          <w:color w:val="0F243E" w:themeColor="text2" w:themeShade="80"/>
          <w:lang w:eastAsia="es-MX"/>
        </w:rPr>
        <w:t>con el cual comparece, a fin de acreditar los efectos de la resolución que nos ocupa, anexando las constancias que consideró oportunas, consistentes en:</w:t>
      </w:r>
    </w:p>
    <w:p w:rsidR="00BB448D" w:rsidRPr="00D21E56" w:rsidRDefault="00BB448D" w:rsidP="00BB448D">
      <w:pPr>
        <w:spacing w:line="360" w:lineRule="auto"/>
        <w:ind w:right="-91"/>
        <w:jc w:val="both"/>
        <w:rPr>
          <w:rFonts w:ascii="Arial" w:hAnsi="Arial" w:cs="Arial"/>
          <w:b/>
          <w:color w:val="0F243E" w:themeColor="text2" w:themeShade="80"/>
          <w:lang w:eastAsia="es-MX"/>
        </w:rPr>
      </w:pPr>
    </w:p>
    <w:p w:rsidR="00927239" w:rsidRPr="00D21E56" w:rsidRDefault="00BB448D" w:rsidP="00793C26">
      <w:pPr>
        <w:pStyle w:val="Prrafodelista"/>
        <w:numPr>
          <w:ilvl w:val="0"/>
          <w:numId w:val="2"/>
        </w:numPr>
        <w:spacing w:line="360" w:lineRule="auto"/>
        <w:ind w:right="111"/>
        <w:jc w:val="both"/>
        <w:rPr>
          <w:rFonts w:eastAsia="Arial"/>
          <w:color w:val="0F243E" w:themeColor="text2" w:themeShade="80"/>
          <w:spacing w:val="1"/>
        </w:rPr>
      </w:pPr>
      <w:r w:rsidRPr="00D21E56">
        <w:rPr>
          <w:rFonts w:eastAsia="Arial"/>
          <w:color w:val="0F243E" w:themeColor="text2" w:themeShade="80"/>
          <w:spacing w:val="1"/>
        </w:rPr>
        <w:t xml:space="preserve">Oficio </w:t>
      </w:r>
      <w:r w:rsidR="00927239" w:rsidRPr="00D21E56">
        <w:rPr>
          <w:rFonts w:eastAsia="Arial"/>
          <w:color w:val="0F243E" w:themeColor="text2" w:themeShade="80"/>
          <w:spacing w:val="1"/>
        </w:rPr>
        <w:t>SF/UT/057/2023</w:t>
      </w:r>
      <w:r w:rsidRPr="00D21E56">
        <w:rPr>
          <w:rFonts w:eastAsia="Arial"/>
          <w:color w:val="0F243E" w:themeColor="text2" w:themeShade="80"/>
          <w:spacing w:val="1"/>
        </w:rPr>
        <w:t>,</w:t>
      </w:r>
      <w:r w:rsidR="00927239" w:rsidRPr="00D21E56">
        <w:rPr>
          <w:rFonts w:eastAsia="Arial"/>
          <w:color w:val="0F243E" w:themeColor="text2" w:themeShade="80"/>
          <w:spacing w:val="1"/>
        </w:rPr>
        <w:t xml:space="preserve"> de fecha catorce de febrero de dos mil veintitrés, signado por </w:t>
      </w:r>
      <w:r w:rsidRPr="00D21E56">
        <w:rPr>
          <w:rFonts w:eastAsia="Arial"/>
          <w:color w:val="0F243E" w:themeColor="text2" w:themeShade="80"/>
          <w:spacing w:val="1"/>
        </w:rPr>
        <w:t>l</w:t>
      </w:r>
      <w:r w:rsidR="00927239" w:rsidRPr="00D21E56">
        <w:rPr>
          <w:rFonts w:eastAsia="Arial"/>
          <w:color w:val="0F243E" w:themeColor="text2" w:themeShade="80"/>
          <w:spacing w:val="1"/>
        </w:rPr>
        <w:t>a</w:t>
      </w:r>
      <w:r w:rsidRPr="00D21E56">
        <w:rPr>
          <w:rFonts w:eastAsia="Arial"/>
          <w:color w:val="0F243E" w:themeColor="text2" w:themeShade="80"/>
          <w:spacing w:val="1"/>
        </w:rPr>
        <w:t xml:space="preserve"> Titular de la Unidad de Transparencia</w:t>
      </w:r>
      <w:r w:rsidR="00927239" w:rsidRPr="00D21E56">
        <w:rPr>
          <w:rFonts w:eastAsia="Arial"/>
          <w:color w:val="0F243E" w:themeColor="text2" w:themeShade="80"/>
          <w:spacing w:val="1"/>
        </w:rPr>
        <w:t xml:space="preserve"> de Secretaría de Finanzas</w:t>
      </w:r>
    </w:p>
    <w:p w:rsidR="00927239" w:rsidRPr="00D21E56" w:rsidRDefault="00927239" w:rsidP="00793C26">
      <w:pPr>
        <w:pStyle w:val="Prrafodelista"/>
        <w:numPr>
          <w:ilvl w:val="0"/>
          <w:numId w:val="2"/>
        </w:numPr>
        <w:spacing w:line="360" w:lineRule="auto"/>
        <w:ind w:right="111"/>
        <w:jc w:val="both"/>
        <w:rPr>
          <w:rFonts w:eastAsia="Arial"/>
          <w:color w:val="0F243E" w:themeColor="text2" w:themeShade="80"/>
          <w:spacing w:val="1"/>
        </w:rPr>
      </w:pPr>
      <w:r w:rsidRPr="00D21E56">
        <w:rPr>
          <w:rFonts w:eastAsia="Arial"/>
          <w:color w:val="0F243E" w:themeColor="text2" w:themeShade="80"/>
          <w:spacing w:val="1"/>
        </w:rPr>
        <w:t>Memorándum SF-DGE/043/2023 de fecha veinte de febrero de dos mil veintitrés, signado por el Director General de Egresos</w:t>
      </w:r>
      <w:r w:rsidR="00BB448D" w:rsidRPr="00D21E56">
        <w:rPr>
          <w:rFonts w:eastAsia="Arial"/>
          <w:color w:val="0F243E" w:themeColor="text2" w:themeShade="80"/>
          <w:spacing w:val="1"/>
        </w:rPr>
        <w:t>.</w:t>
      </w:r>
    </w:p>
    <w:p w:rsidR="00927239" w:rsidRPr="00D21E56" w:rsidRDefault="00927239" w:rsidP="00793C26">
      <w:pPr>
        <w:pStyle w:val="Prrafodelista"/>
        <w:numPr>
          <w:ilvl w:val="0"/>
          <w:numId w:val="2"/>
        </w:numPr>
        <w:spacing w:line="360" w:lineRule="auto"/>
        <w:ind w:right="111"/>
        <w:jc w:val="both"/>
        <w:rPr>
          <w:rFonts w:eastAsia="Arial"/>
          <w:color w:val="0F243E" w:themeColor="text2" w:themeShade="80"/>
          <w:spacing w:val="1"/>
        </w:rPr>
      </w:pPr>
      <w:r w:rsidRPr="00D21E56">
        <w:rPr>
          <w:rFonts w:eastAsia="Arial"/>
          <w:color w:val="0F243E" w:themeColor="text2" w:themeShade="80"/>
          <w:spacing w:val="1"/>
        </w:rPr>
        <w:t xml:space="preserve">Versión Publica de recibos de nómina TE4827605, TE4831534, TE4853084 Y TE4861945. </w:t>
      </w:r>
    </w:p>
    <w:p w:rsidR="003A32D9" w:rsidRPr="00D21E56" w:rsidRDefault="00BB448D" w:rsidP="003A32D9">
      <w:pPr>
        <w:pStyle w:val="Prrafodelista"/>
        <w:numPr>
          <w:ilvl w:val="0"/>
          <w:numId w:val="2"/>
        </w:numPr>
        <w:spacing w:line="360" w:lineRule="auto"/>
        <w:ind w:right="111"/>
        <w:jc w:val="both"/>
        <w:rPr>
          <w:rFonts w:eastAsia="Arial"/>
          <w:color w:val="0F243E" w:themeColor="text2" w:themeShade="80"/>
          <w:spacing w:val="1"/>
        </w:rPr>
      </w:pPr>
      <w:r w:rsidRPr="00D21E56">
        <w:rPr>
          <w:rFonts w:eastAsia="Arial"/>
          <w:color w:val="0F243E" w:themeColor="text2" w:themeShade="80"/>
          <w:spacing w:val="1"/>
        </w:rPr>
        <w:t xml:space="preserve"> </w:t>
      </w:r>
      <w:r w:rsidR="003A32D9" w:rsidRPr="00D21E56">
        <w:rPr>
          <w:rFonts w:eastAsia="Arial"/>
          <w:color w:val="0F243E" w:themeColor="text2" w:themeShade="80"/>
          <w:spacing w:val="1"/>
        </w:rPr>
        <w:t xml:space="preserve">Copias certificadas de los recibos de nómina </w:t>
      </w:r>
      <w:r w:rsidR="003A32D9" w:rsidRPr="00D21E56">
        <w:rPr>
          <w:rFonts w:eastAsia="Arial"/>
          <w:color w:val="0F243E" w:themeColor="text2" w:themeShade="80"/>
          <w:spacing w:val="1"/>
        </w:rPr>
        <w:t xml:space="preserve">TE4827605, TE4831534, TE4853084 Y TE4861945. </w:t>
      </w:r>
    </w:p>
    <w:p w:rsidR="00BB448D" w:rsidRPr="00D21E56" w:rsidRDefault="003A32D9" w:rsidP="00793C26">
      <w:pPr>
        <w:pStyle w:val="Prrafodelista"/>
        <w:numPr>
          <w:ilvl w:val="0"/>
          <w:numId w:val="2"/>
        </w:numPr>
        <w:spacing w:line="360" w:lineRule="auto"/>
        <w:ind w:right="111"/>
        <w:jc w:val="both"/>
        <w:rPr>
          <w:rFonts w:eastAsia="Arial"/>
          <w:color w:val="0F243E" w:themeColor="text2" w:themeShade="80"/>
          <w:spacing w:val="1"/>
        </w:rPr>
      </w:pPr>
      <w:r w:rsidRPr="00D21E56">
        <w:rPr>
          <w:rFonts w:eastAsia="Arial"/>
          <w:color w:val="0F243E" w:themeColor="text2" w:themeShade="80"/>
          <w:spacing w:val="1"/>
        </w:rPr>
        <w:lastRenderedPageBreak/>
        <w:t>Acta certificada de la Sesión Extraordinaria del 2022, del comité de transparencia de la Secretaria de Finanzas del Gobierno del Estado</w:t>
      </w:r>
      <w:r w:rsidR="00D21E56" w:rsidRPr="00D21E56">
        <w:rPr>
          <w:rFonts w:eastAsia="Arial"/>
          <w:color w:val="0F243E" w:themeColor="text2" w:themeShade="80"/>
          <w:spacing w:val="1"/>
        </w:rPr>
        <w:t xml:space="preserve">. </w:t>
      </w:r>
    </w:p>
    <w:p w:rsidR="00D21E56" w:rsidRPr="00D21E56" w:rsidRDefault="00D21E56" w:rsidP="00793C26">
      <w:pPr>
        <w:pStyle w:val="Prrafodelista"/>
        <w:numPr>
          <w:ilvl w:val="0"/>
          <w:numId w:val="2"/>
        </w:numPr>
        <w:spacing w:line="360" w:lineRule="auto"/>
        <w:ind w:right="111"/>
        <w:jc w:val="both"/>
        <w:rPr>
          <w:rFonts w:eastAsia="Arial"/>
          <w:color w:val="0F243E" w:themeColor="text2" w:themeShade="80"/>
          <w:spacing w:val="1"/>
        </w:rPr>
      </w:pPr>
      <w:r w:rsidRPr="00D21E56">
        <w:rPr>
          <w:rFonts w:eastAsia="Arial"/>
          <w:color w:val="0F243E" w:themeColor="text2" w:themeShade="80"/>
          <w:spacing w:val="1"/>
        </w:rPr>
        <w:t xml:space="preserve">Oficio SF/UT/070/2023, de fecha veintitrés de febrero de dos mil veintitrés, signado por la Titular de la Unidad de Transparencia de la Secretaria d Finanzas. </w:t>
      </w:r>
    </w:p>
    <w:p w:rsidR="00D32A07" w:rsidRPr="00D21E56" w:rsidRDefault="00D32A07" w:rsidP="00793C26">
      <w:pPr>
        <w:pStyle w:val="Prrafodelista"/>
        <w:numPr>
          <w:ilvl w:val="0"/>
          <w:numId w:val="2"/>
        </w:numPr>
        <w:spacing w:line="360" w:lineRule="auto"/>
        <w:ind w:right="111"/>
        <w:jc w:val="both"/>
        <w:rPr>
          <w:rFonts w:eastAsia="Arial"/>
          <w:color w:val="0F243E" w:themeColor="text2" w:themeShade="80"/>
          <w:spacing w:val="1"/>
        </w:rPr>
      </w:pPr>
      <w:r w:rsidRPr="00D21E56">
        <w:rPr>
          <w:rFonts w:eastAsia="Arial"/>
          <w:color w:val="0F243E" w:themeColor="text2" w:themeShade="80"/>
          <w:spacing w:val="1"/>
        </w:rPr>
        <w:t>Captura de pantalla de la notificación vía correo electrónico realizada al recurrente.</w:t>
      </w:r>
    </w:p>
    <w:p w:rsidR="00E579D4" w:rsidRPr="00D21E56" w:rsidRDefault="00E579D4" w:rsidP="00BE1DD8">
      <w:pPr>
        <w:rPr>
          <w:b/>
          <w:color w:val="0F243E" w:themeColor="text2" w:themeShade="80"/>
          <w:lang w:eastAsia="es-MX"/>
        </w:rPr>
      </w:pPr>
    </w:p>
    <w:p w:rsidR="00C423FB" w:rsidRPr="00D21E56" w:rsidRDefault="00C423FB" w:rsidP="00E579D4">
      <w:pPr>
        <w:spacing w:line="360" w:lineRule="auto"/>
        <w:jc w:val="center"/>
        <w:rPr>
          <w:rFonts w:ascii="Arial" w:hAnsi="Arial" w:cs="Arial"/>
          <w:b/>
          <w:color w:val="0F243E" w:themeColor="text2" w:themeShade="80"/>
          <w:lang w:eastAsia="es-MX"/>
        </w:rPr>
      </w:pPr>
      <w:r w:rsidRPr="00D21E56">
        <w:rPr>
          <w:rFonts w:ascii="Arial" w:hAnsi="Arial" w:cs="Arial"/>
          <w:b/>
          <w:color w:val="0F243E" w:themeColor="text2" w:themeShade="80"/>
          <w:lang w:eastAsia="es-MX"/>
        </w:rPr>
        <w:t>CONSIDERANDOS</w:t>
      </w:r>
    </w:p>
    <w:p w:rsidR="00C423FB" w:rsidRPr="00D21E56" w:rsidRDefault="003B62E4" w:rsidP="00C423FB">
      <w:pPr>
        <w:spacing w:line="360" w:lineRule="auto"/>
        <w:jc w:val="both"/>
        <w:rPr>
          <w:rFonts w:ascii="Arial" w:hAnsi="Arial" w:cs="Arial"/>
          <w:color w:val="0F243E" w:themeColor="text2" w:themeShade="80"/>
        </w:rPr>
      </w:pPr>
      <w:r w:rsidRPr="00D21E56">
        <w:rPr>
          <w:rFonts w:ascii="Arial" w:hAnsi="Arial" w:cs="Arial"/>
          <w:b/>
          <w:color w:val="0F243E" w:themeColor="text2" w:themeShade="80"/>
          <w:lang w:eastAsia="es-MX"/>
        </w:rPr>
        <w:t>PRIMERO</w:t>
      </w:r>
      <w:r w:rsidR="00C423FB" w:rsidRPr="00D21E56">
        <w:rPr>
          <w:rFonts w:ascii="Arial" w:hAnsi="Arial" w:cs="Arial"/>
          <w:b/>
          <w:color w:val="0F243E" w:themeColor="text2" w:themeShade="80"/>
          <w:lang w:eastAsia="es-MX"/>
        </w:rPr>
        <w:t xml:space="preserve">. </w:t>
      </w:r>
      <w:r w:rsidR="00C423FB" w:rsidRPr="00D21E56">
        <w:rPr>
          <w:rFonts w:ascii="Arial" w:hAnsi="Arial" w:cs="Arial"/>
          <w:color w:val="0F243E" w:themeColor="text2" w:themeShade="80"/>
        </w:rPr>
        <w:t>La Comisionada Ponente es competente para emitir el presente Acuerdo, con fundamento en los artículos 6° apartado A, fracción IV, de la Constitución Política de los Estados Unidos Mexicanos; 17 fracción III, párrafo tercero, de la Constitución Política del Estado de San Luis Potosí; 37, 42 fracciones I y II, de la Ley General de Transparencia y Acceso a la Información Pública; 27 de la Ley de Transparencia y Acceso a la Información Pública del Estado de San Luis Potosí, así como en los numerales 8 fracción II; y 30 fracciones XII y XIII, del Reglamento Interior de la Comisión Estatal de Garantía de Acceso a la Información Pública de San Luis Potosí.</w:t>
      </w:r>
    </w:p>
    <w:p w:rsidR="00C423FB" w:rsidRPr="00D21E56" w:rsidRDefault="00C423FB" w:rsidP="00C423FB">
      <w:pPr>
        <w:spacing w:line="360" w:lineRule="auto"/>
        <w:jc w:val="both"/>
        <w:rPr>
          <w:rFonts w:ascii="Arial" w:hAnsi="Arial" w:cs="Arial"/>
          <w:color w:val="0F243E" w:themeColor="text2" w:themeShade="80"/>
        </w:rPr>
      </w:pPr>
    </w:p>
    <w:p w:rsidR="003B62E4" w:rsidRPr="00D21E56" w:rsidRDefault="003B62E4" w:rsidP="003B62E4">
      <w:pPr>
        <w:spacing w:line="360" w:lineRule="auto"/>
        <w:jc w:val="both"/>
        <w:rPr>
          <w:rFonts w:ascii="Arial" w:hAnsi="Arial" w:cs="Arial"/>
          <w:color w:val="0F243E" w:themeColor="text2" w:themeShade="80"/>
          <w:lang w:eastAsia="es-MX"/>
        </w:rPr>
      </w:pPr>
      <w:r w:rsidRPr="00D21E56">
        <w:rPr>
          <w:rFonts w:ascii="Arial" w:hAnsi="Arial" w:cs="Arial"/>
          <w:b/>
          <w:color w:val="0F243E" w:themeColor="text2" w:themeShade="80"/>
          <w:lang w:eastAsia="es-MX"/>
        </w:rPr>
        <w:t>SEGUNDO.</w:t>
      </w:r>
      <w:r w:rsidRPr="00D21E56">
        <w:rPr>
          <w:rFonts w:ascii="Arial" w:hAnsi="Arial" w:cs="Arial"/>
          <w:color w:val="0F243E" w:themeColor="text2" w:themeShade="80"/>
          <w:lang w:eastAsia="es-MX"/>
        </w:rPr>
        <w:t xml:space="preserve"> </w:t>
      </w:r>
      <w:r w:rsidRPr="00D21E56">
        <w:rPr>
          <w:rFonts w:ascii="Arial" w:eastAsia="Arial" w:hAnsi="Arial" w:cs="Arial"/>
          <w:color w:val="0F243E" w:themeColor="text2" w:themeShade="80"/>
          <w:spacing w:val="1"/>
          <w:lang w:val="es-ES"/>
        </w:rPr>
        <w:t>Una vez precisados los Antecedentes, con fundamento en lo establecido en el artículo 185 de la Ley de Transparencia y Acceso a la Información Pública del Estado, esta Comisión entrará al estudio de las constancias aportadas por el Sujeto Obligado, en cumplimiento a la resolución de mérito:</w:t>
      </w:r>
    </w:p>
    <w:p w:rsidR="003B62E4" w:rsidRPr="00D21E56" w:rsidRDefault="003B62E4" w:rsidP="003B62E4">
      <w:pPr>
        <w:pStyle w:val="Textoindependienteprimerasangra"/>
        <w:spacing w:before="100" w:beforeAutospacing="1" w:after="100" w:afterAutospacing="1"/>
        <w:ind w:firstLine="0"/>
        <w:rPr>
          <w:rFonts w:ascii="Arial" w:hAnsi="Arial" w:cs="Arial"/>
          <w:color w:val="0F243E" w:themeColor="text2" w:themeShade="80"/>
          <w:sz w:val="24"/>
        </w:rPr>
      </w:pPr>
      <w:r w:rsidRPr="00D21E56">
        <w:rPr>
          <w:rFonts w:ascii="Arial" w:hAnsi="Arial" w:cs="Arial"/>
          <w:color w:val="0F243E" w:themeColor="text2" w:themeShade="80"/>
          <w:sz w:val="24"/>
        </w:rPr>
        <w:t xml:space="preserve">Es menester señalar que del análisis de los motivos de inconformidad, se desprende que el recurrente no presenta queja en virtud de la información que le fue notificada y entregada al medio señalado para tal efecto, por lo que se colige que se muestra conforme con el contenido de la respuesta sus demás extremos al no inconformarse al respecto. Sirve de apoyo la Tesis de VI.3o.C. J/60, Seminario Judicial de la Federación y su Gaceta, Novena Época, t. XXII, diciembre de 2005, p. 2365, cuyo rubro y texto señalan: </w:t>
      </w:r>
    </w:p>
    <w:p w:rsidR="003B62E4" w:rsidRPr="00D21E56" w:rsidRDefault="003B62E4" w:rsidP="003B62E4">
      <w:pPr>
        <w:spacing w:after="240"/>
        <w:ind w:left="1134" w:right="1183"/>
        <w:jc w:val="both"/>
        <w:rPr>
          <w:rFonts w:ascii="Arial" w:hAnsi="Arial" w:cs="Arial"/>
          <w:color w:val="0F243E" w:themeColor="text2" w:themeShade="80"/>
          <w:sz w:val="22"/>
          <w:szCs w:val="22"/>
        </w:rPr>
      </w:pPr>
      <w:r w:rsidRPr="00D21E56">
        <w:rPr>
          <w:rFonts w:ascii="Arial" w:hAnsi="Arial" w:cs="Arial"/>
          <w:b/>
          <w:color w:val="0F243E" w:themeColor="text2" w:themeShade="80"/>
          <w:sz w:val="22"/>
          <w:szCs w:val="22"/>
        </w:rPr>
        <w:t>ACTOS CONSENTIDOS. SON LOS QUE NO SE IMPUGNAN MEDIANTE EL RECURSO IDÓNEO.</w:t>
      </w:r>
      <w:r w:rsidRPr="00D21E56">
        <w:rPr>
          <w:rFonts w:ascii="Arial" w:hAnsi="Arial" w:cs="Arial"/>
          <w:color w:val="0F243E" w:themeColor="text2" w:themeShade="80"/>
          <w:sz w:val="22"/>
          <w:szCs w:val="22"/>
        </w:rPr>
        <w:t xml:space="preserve"> Debe reputarse como consentido el acto que no se impugnó por el medio establecido </w:t>
      </w:r>
      <w:r w:rsidRPr="00D21E56">
        <w:rPr>
          <w:rFonts w:ascii="Arial" w:hAnsi="Arial" w:cs="Arial"/>
          <w:color w:val="0F243E" w:themeColor="text2" w:themeShade="80"/>
          <w:sz w:val="22"/>
          <w:szCs w:val="22"/>
        </w:rPr>
        <w:lastRenderedPageBreak/>
        <w:t xml:space="preserve">por la ley, ya que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rsidR="003B62E4" w:rsidRPr="00D21E56" w:rsidRDefault="003B62E4" w:rsidP="003B62E4">
      <w:pPr>
        <w:spacing w:line="360" w:lineRule="auto"/>
        <w:jc w:val="both"/>
        <w:rPr>
          <w:rFonts w:ascii="Arial" w:hAnsi="Arial" w:cs="Arial"/>
          <w:color w:val="0F243E" w:themeColor="text2" w:themeShade="80"/>
        </w:rPr>
      </w:pPr>
      <w:r w:rsidRPr="00D21E56">
        <w:rPr>
          <w:rFonts w:ascii="Arial" w:hAnsi="Arial" w:cs="Arial"/>
          <w:color w:val="0F243E" w:themeColor="text2" w:themeShade="80"/>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rsidR="003B62E4" w:rsidRPr="00D21E56" w:rsidRDefault="003B62E4" w:rsidP="003B62E4">
      <w:pPr>
        <w:rPr>
          <w:rFonts w:ascii="Arial" w:hAnsi="Arial" w:cs="Arial"/>
          <w:color w:val="0F243E" w:themeColor="text2" w:themeShade="80"/>
        </w:rPr>
      </w:pPr>
    </w:p>
    <w:p w:rsidR="003B62E4" w:rsidRPr="00D21E56" w:rsidRDefault="003B62E4" w:rsidP="003B62E4">
      <w:pPr>
        <w:ind w:left="1134" w:right="1185"/>
        <w:jc w:val="both"/>
        <w:rPr>
          <w:rFonts w:ascii="Arial" w:hAnsi="Arial" w:cs="Arial"/>
          <w:color w:val="0F243E" w:themeColor="text2" w:themeShade="80"/>
          <w:sz w:val="22"/>
          <w:szCs w:val="22"/>
        </w:rPr>
      </w:pPr>
      <w:r w:rsidRPr="00D21E56">
        <w:rPr>
          <w:rFonts w:ascii="Arial" w:hAnsi="Arial" w:cs="Arial"/>
          <w:b/>
          <w:bCs/>
          <w:color w:val="0F243E" w:themeColor="text2" w:themeShade="80"/>
          <w:sz w:val="22"/>
          <w:szCs w:val="22"/>
        </w:rPr>
        <w:t>Actos consentidos tácitamente.  Improcedencia de su análisis.</w:t>
      </w:r>
      <w:r w:rsidRPr="00D21E56">
        <w:rPr>
          <w:rFonts w:ascii="Arial" w:hAnsi="Arial" w:cs="Arial"/>
          <w:color w:val="0F243E" w:themeColor="text2" w:themeShade="80"/>
          <w:sz w:val="22"/>
          <w:szCs w:val="22"/>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rsidR="003B62E4" w:rsidRPr="00D21E56" w:rsidRDefault="003B62E4" w:rsidP="003B62E4">
      <w:pPr>
        <w:rPr>
          <w:rFonts w:ascii="Arial" w:hAnsi="Arial" w:cs="Arial"/>
          <w:color w:val="0F243E" w:themeColor="text2" w:themeShade="80"/>
        </w:rPr>
      </w:pPr>
    </w:p>
    <w:p w:rsidR="00E22ADA" w:rsidRPr="00D21E56" w:rsidRDefault="003B62E4" w:rsidP="003B62E4">
      <w:pPr>
        <w:spacing w:after="240" w:line="360" w:lineRule="auto"/>
        <w:jc w:val="both"/>
        <w:rPr>
          <w:rFonts w:ascii="Arial" w:hAnsi="Arial" w:cs="Arial"/>
          <w:color w:val="0F243E" w:themeColor="text2" w:themeShade="80"/>
          <w:lang w:eastAsia="es-MX"/>
        </w:rPr>
      </w:pPr>
      <w:r w:rsidRPr="00D21E56">
        <w:rPr>
          <w:rFonts w:ascii="Arial" w:hAnsi="Arial" w:cs="Arial"/>
          <w:color w:val="0F243E" w:themeColor="text2" w:themeShade="80"/>
        </w:rPr>
        <w:t xml:space="preserve">Por lo anterior, a fin de comprender la respuesta que el Sujeto Obligado emitió para efecto de subsanar la anotada omisión que se generó en la respuesta otorgada, es menester señalar que </w:t>
      </w:r>
      <w:r w:rsidRPr="00D21E56">
        <w:rPr>
          <w:rFonts w:ascii="Arial" w:hAnsi="Arial" w:cs="Arial"/>
          <w:color w:val="0F243E" w:themeColor="text2" w:themeShade="80"/>
          <w:lang w:eastAsia="es-MX"/>
        </w:rPr>
        <w:t xml:space="preserve">el </w:t>
      </w:r>
      <w:r w:rsidR="00E22ADA" w:rsidRPr="00D21E56">
        <w:rPr>
          <w:rFonts w:ascii="Arial" w:hAnsi="Arial" w:cs="Arial"/>
          <w:color w:val="0F243E" w:themeColor="text2" w:themeShade="80"/>
          <w:lang w:eastAsia="es-MX"/>
        </w:rPr>
        <w:t xml:space="preserve">Titular </w:t>
      </w:r>
      <w:r w:rsidR="00975D8B" w:rsidRPr="00D21E56">
        <w:rPr>
          <w:rFonts w:ascii="Arial" w:hAnsi="Arial" w:cs="Arial"/>
          <w:color w:val="0F243E" w:themeColor="text2" w:themeShade="80"/>
          <w:lang w:eastAsia="es-MX"/>
        </w:rPr>
        <w:t xml:space="preserve">de </w:t>
      </w:r>
      <w:r w:rsidRPr="00D21E56">
        <w:rPr>
          <w:rFonts w:ascii="Arial" w:hAnsi="Arial" w:cs="Arial"/>
          <w:color w:val="0F243E" w:themeColor="text2" w:themeShade="80"/>
          <w:lang w:eastAsia="es-MX"/>
        </w:rPr>
        <w:t>la Unidad de Transparencia, aduce haber hecho las gestiones</w:t>
      </w:r>
      <w:r w:rsidR="003B1B3F" w:rsidRPr="00D21E56">
        <w:rPr>
          <w:rFonts w:ascii="Arial" w:hAnsi="Arial" w:cs="Arial"/>
          <w:color w:val="0F243E" w:themeColor="text2" w:themeShade="80"/>
          <w:lang w:eastAsia="es-MX"/>
        </w:rPr>
        <w:t>, a fin de dar cumplimiento al fallo</w:t>
      </w:r>
      <w:r w:rsidRPr="00D21E56">
        <w:rPr>
          <w:rFonts w:ascii="Arial" w:hAnsi="Arial" w:cs="Arial"/>
          <w:color w:val="0F243E" w:themeColor="text2" w:themeShade="80"/>
          <w:lang w:eastAsia="es-MX"/>
        </w:rPr>
        <w:t xml:space="preserve"> de mér</w:t>
      </w:r>
      <w:r w:rsidR="006F02F5" w:rsidRPr="00D21E56">
        <w:rPr>
          <w:rFonts w:ascii="Arial" w:hAnsi="Arial" w:cs="Arial"/>
          <w:color w:val="0F243E" w:themeColor="text2" w:themeShade="80"/>
          <w:lang w:eastAsia="es-MX"/>
        </w:rPr>
        <w:t>ito</w:t>
      </w:r>
      <w:r w:rsidR="00E22ADA" w:rsidRPr="00D21E56">
        <w:rPr>
          <w:rFonts w:ascii="Arial" w:hAnsi="Arial" w:cs="Arial"/>
          <w:color w:val="0F243E" w:themeColor="text2" w:themeShade="80"/>
          <w:lang w:eastAsia="es-MX"/>
        </w:rPr>
        <w:t>.</w:t>
      </w:r>
    </w:p>
    <w:p w:rsidR="003B62E4" w:rsidRPr="00D21E56" w:rsidRDefault="003B62E4" w:rsidP="003B62E4">
      <w:pPr>
        <w:spacing w:after="240" w:line="360" w:lineRule="auto"/>
        <w:jc w:val="both"/>
        <w:rPr>
          <w:rFonts w:ascii="Arial" w:hAnsi="Arial" w:cs="Arial"/>
          <w:color w:val="0F243E" w:themeColor="text2" w:themeShade="80"/>
        </w:rPr>
      </w:pPr>
      <w:r w:rsidRPr="00D21E56">
        <w:rPr>
          <w:rFonts w:ascii="Arial" w:hAnsi="Arial" w:cs="Arial"/>
          <w:color w:val="0F243E" w:themeColor="text2" w:themeShade="80"/>
        </w:rPr>
        <w:t>En este sentido, se estima que la respuesta otorgada por el sujeto obligado atiende los efectos señalados en la determinación adoptada por el Pleno de esta comisión, ello así en virtud de que se atienden los puntos formulados en</w:t>
      </w:r>
      <w:r w:rsidR="00E22ADA" w:rsidRPr="00D21E56">
        <w:rPr>
          <w:rFonts w:ascii="Arial" w:hAnsi="Arial" w:cs="Arial"/>
          <w:color w:val="0F243E" w:themeColor="text2" w:themeShade="80"/>
        </w:rPr>
        <w:t xml:space="preserve"> la referida solicitud.</w:t>
      </w:r>
    </w:p>
    <w:p w:rsidR="003B62E4" w:rsidRPr="00D21E56" w:rsidRDefault="003B62E4" w:rsidP="003B62E4">
      <w:pPr>
        <w:spacing w:before="240" w:after="240" w:line="360" w:lineRule="auto"/>
        <w:jc w:val="both"/>
        <w:rPr>
          <w:rFonts w:ascii="Arial" w:hAnsi="Arial" w:cs="Arial"/>
          <w:color w:val="0F243E" w:themeColor="text2" w:themeShade="80"/>
          <w:lang w:val="es-ES"/>
        </w:rPr>
      </w:pPr>
      <w:r w:rsidRPr="00D21E56">
        <w:rPr>
          <w:rFonts w:ascii="Arial" w:hAnsi="Arial" w:cs="Arial"/>
          <w:color w:val="0F243E" w:themeColor="text2" w:themeShade="80"/>
          <w:lang w:val="es-ES"/>
        </w:rPr>
        <w:t xml:space="preserve">Por otra parte, 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rsidR="003B62E4" w:rsidRPr="00D21E56" w:rsidRDefault="003B62E4" w:rsidP="003B62E4">
      <w:pPr>
        <w:spacing w:line="360" w:lineRule="auto"/>
        <w:jc w:val="both"/>
        <w:rPr>
          <w:rFonts w:ascii="Arial" w:hAnsi="Arial" w:cs="Arial"/>
          <w:color w:val="0F243E" w:themeColor="text2" w:themeShade="80"/>
          <w:lang w:val="es-ES"/>
        </w:rPr>
      </w:pPr>
      <w:r w:rsidRPr="00D21E56">
        <w:rPr>
          <w:rFonts w:ascii="Arial" w:hAnsi="Arial" w:cs="Arial"/>
          <w:color w:val="0F243E" w:themeColor="text2" w:themeShade="80"/>
          <w:lang w:val="es-ES"/>
        </w:rPr>
        <w:t xml:space="preserve">En ese sentido, el Tribunal Colegiado en </w:t>
      </w:r>
      <w:bookmarkStart w:id="0" w:name="_GoBack"/>
      <w:bookmarkEnd w:id="0"/>
      <w:r w:rsidRPr="00D21E56">
        <w:rPr>
          <w:rFonts w:ascii="Arial" w:hAnsi="Arial" w:cs="Arial"/>
          <w:color w:val="0F243E" w:themeColor="text2" w:themeShade="80"/>
          <w:lang w:val="es-ES"/>
        </w:rPr>
        <w:t>Materias de Trabajo y Administrativa del Décimo Tercer Circuito, emitió un criterio relacionado con la cuestión que nos ocupa, mismo que se identifica con el número XIII.T.A.3 A (10a.), y que establece:</w:t>
      </w:r>
    </w:p>
    <w:p w:rsidR="003B1B3F" w:rsidRPr="00D21E56" w:rsidRDefault="003B1B3F" w:rsidP="003B62E4">
      <w:pPr>
        <w:spacing w:line="360" w:lineRule="auto"/>
        <w:jc w:val="both"/>
        <w:rPr>
          <w:rFonts w:ascii="Arial" w:hAnsi="Arial" w:cs="Arial"/>
          <w:color w:val="0F243E" w:themeColor="text2" w:themeShade="80"/>
          <w:lang w:val="es-ES"/>
        </w:rPr>
      </w:pPr>
    </w:p>
    <w:p w:rsidR="003B62E4" w:rsidRPr="00D21E56" w:rsidRDefault="003B62E4" w:rsidP="003B62E4">
      <w:pPr>
        <w:ind w:left="1134" w:right="1072"/>
        <w:jc w:val="both"/>
        <w:rPr>
          <w:rFonts w:ascii="Arial" w:hAnsi="Arial" w:cs="Arial"/>
          <w:color w:val="0F243E" w:themeColor="text2" w:themeShade="80"/>
          <w:sz w:val="22"/>
          <w:szCs w:val="22"/>
          <w:lang w:val="es-ES"/>
        </w:rPr>
      </w:pPr>
      <w:r w:rsidRPr="00D21E56">
        <w:rPr>
          <w:rFonts w:ascii="Arial" w:hAnsi="Arial" w:cs="Arial"/>
          <w:b/>
          <w:bCs/>
          <w:color w:val="0F243E" w:themeColor="text2" w:themeShade="80"/>
          <w:sz w:val="22"/>
          <w:szCs w:val="22"/>
          <w:lang w:val="es-ES"/>
        </w:rPr>
        <w:lastRenderedPageBreak/>
        <w:t xml:space="preserve">“NOTIFICACIÓN ELECTRÓNICA. AL PRACTICARLA, LA AUTORIDAD DEBE ANEXAR EN AUTOS DEL EXPEDIENTE ADMINISTRATIVO O JUDICIAL DEL QUE DERIVE, LA CONSTANCIA FEHACIENTE DE RECEPCIÓN POR SU DESTINATARIO. </w:t>
      </w:r>
      <w:r w:rsidRPr="00D21E56">
        <w:rPr>
          <w:rFonts w:ascii="Arial" w:hAnsi="Arial" w:cs="Arial"/>
          <w:color w:val="0F243E" w:themeColor="text2" w:themeShade="80"/>
          <w:sz w:val="22"/>
          <w:szCs w:val="22"/>
          <w:lang w:val="es-ES"/>
        </w:rPr>
        <w:t>La </w:t>
      </w:r>
      <w:r w:rsidRPr="00D21E56">
        <w:rPr>
          <w:rFonts w:ascii="Arial" w:hAnsi="Arial" w:cs="Arial"/>
          <w:bCs/>
          <w:color w:val="0F243E" w:themeColor="text2" w:themeShade="80"/>
          <w:sz w:val="22"/>
          <w:szCs w:val="22"/>
          <w:lang w:val="es-ES"/>
        </w:rPr>
        <w:t>notificación</w:t>
      </w:r>
      <w:r w:rsidRPr="00D21E56">
        <w:rPr>
          <w:rFonts w:ascii="Arial" w:hAnsi="Arial" w:cs="Arial"/>
          <w:color w:val="0F243E" w:themeColor="text2" w:themeShade="80"/>
          <w:sz w:val="22"/>
          <w:szCs w:val="22"/>
          <w:lang w:val="es-ES"/>
        </w:rPr>
        <w:t> </w:t>
      </w:r>
      <w:r w:rsidRPr="00D21E56">
        <w:rPr>
          <w:rFonts w:ascii="Arial" w:hAnsi="Arial" w:cs="Arial"/>
          <w:bCs/>
          <w:color w:val="0F243E" w:themeColor="text2" w:themeShade="80"/>
          <w:sz w:val="22"/>
          <w:szCs w:val="22"/>
          <w:lang w:val="es-ES"/>
        </w:rPr>
        <w:t>electrónica</w:t>
      </w:r>
      <w:r w:rsidRPr="00D21E56">
        <w:rPr>
          <w:rFonts w:ascii="Arial" w:hAnsi="Arial" w:cs="Arial"/>
          <w:color w:val="0F243E" w:themeColor="text2" w:themeShade="80"/>
          <w:sz w:val="22"/>
          <w:szCs w:val="22"/>
          <w:lang w:val="es-ES"/>
        </w:rPr>
        <w:t>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hyperlink r:id="rId8" w:history="1">
        <w:r w:rsidRPr="00D21E56">
          <w:rPr>
            <w:rStyle w:val="Hipervnculo"/>
            <w:color w:val="0F243E" w:themeColor="text2" w:themeShade="80"/>
            <w:sz w:val="22"/>
            <w:szCs w:val="22"/>
            <w:lang w:val="es-ES"/>
          </w:rPr>
          <w:t>fracción I del artículo 172 de la Ley de Amparo</w:t>
        </w:r>
      </w:hyperlink>
      <w:r w:rsidRPr="00D21E56">
        <w:rPr>
          <w:rFonts w:ascii="Arial" w:hAnsi="Arial" w:cs="Arial"/>
          <w:color w:val="0F243E" w:themeColor="text2" w:themeShade="80"/>
          <w:sz w:val="22"/>
          <w:szCs w:val="22"/>
          <w:lang w:val="es-ES"/>
        </w:rPr>
        <w:t>, vigente a partir del 3 de abril de 2013”.</w:t>
      </w:r>
    </w:p>
    <w:p w:rsidR="003B62E4" w:rsidRPr="00D21E56" w:rsidRDefault="003B62E4" w:rsidP="003B62E4">
      <w:pPr>
        <w:spacing w:line="360" w:lineRule="auto"/>
        <w:ind w:firstLine="708"/>
        <w:jc w:val="both"/>
        <w:rPr>
          <w:rFonts w:ascii="Arial" w:hAnsi="Arial" w:cs="Arial"/>
          <w:color w:val="0F243E" w:themeColor="text2" w:themeShade="80"/>
          <w:lang w:val="es-ES"/>
        </w:rPr>
      </w:pPr>
    </w:p>
    <w:p w:rsidR="003B62E4" w:rsidRPr="00D21E56" w:rsidRDefault="003B62E4" w:rsidP="003B62E4">
      <w:pPr>
        <w:spacing w:line="360" w:lineRule="auto"/>
        <w:jc w:val="both"/>
        <w:rPr>
          <w:rFonts w:ascii="Arial" w:hAnsi="Arial" w:cs="Arial"/>
          <w:color w:val="0F243E" w:themeColor="text2" w:themeShade="80"/>
          <w:lang w:val="es-ES"/>
        </w:rPr>
      </w:pPr>
      <w:r w:rsidRPr="00D21E56">
        <w:rPr>
          <w:rFonts w:ascii="Arial" w:hAnsi="Arial" w:cs="Arial"/>
          <w:color w:val="0F243E" w:themeColor="text2" w:themeShade="80"/>
          <w:lang w:val="es-ES"/>
        </w:rPr>
        <w:t>En razón de la tesis invocada y del análisis de las constancias que acompañó el sujeto obligado, se puede verificar a foja</w:t>
      </w:r>
      <w:r w:rsidR="003B1B3F" w:rsidRPr="00D21E56">
        <w:rPr>
          <w:rFonts w:ascii="Arial" w:hAnsi="Arial" w:cs="Arial"/>
          <w:color w:val="0F243E" w:themeColor="text2" w:themeShade="80"/>
          <w:lang w:val="es-ES"/>
        </w:rPr>
        <w:t xml:space="preserve"> </w:t>
      </w:r>
      <w:r w:rsidR="00D21E56" w:rsidRPr="00D21E56">
        <w:rPr>
          <w:rFonts w:ascii="Arial" w:hAnsi="Arial" w:cs="Arial"/>
          <w:color w:val="0F243E" w:themeColor="text2" w:themeShade="80"/>
          <w:lang w:val="es-ES"/>
        </w:rPr>
        <w:t>cincuenta y ocho</w:t>
      </w:r>
      <w:r w:rsidRPr="00D21E56">
        <w:rPr>
          <w:rFonts w:ascii="Arial" w:hAnsi="Arial" w:cs="Arial"/>
          <w:color w:val="0F243E" w:themeColor="text2" w:themeShade="80"/>
          <w:lang w:val="es-ES"/>
        </w:rPr>
        <w:t xml:space="preserve">, que notificó </w:t>
      </w:r>
      <w:r w:rsidR="00795B5A" w:rsidRPr="00D21E56">
        <w:rPr>
          <w:rFonts w:ascii="Arial" w:hAnsi="Arial" w:cs="Arial"/>
          <w:color w:val="0F243E" w:themeColor="text2" w:themeShade="80"/>
          <w:lang w:val="es-ES"/>
        </w:rPr>
        <w:t xml:space="preserve">la información generada </w:t>
      </w:r>
      <w:r w:rsidRPr="00D21E56">
        <w:rPr>
          <w:rFonts w:ascii="Arial" w:hAnsi="Arial" w:cs="Arial"/>
          <w:color w:val="0F243E" w:themeColor="text2" w:themeShade="80"/>
          <w:lang w:val="es-ES"/>
        </w:rPr>
        <w:t>al particular</w:t>
      </w:r>
      <w:r w:rsidR="00795B5A" w:rsidRPr="00D21E56">
        <w:rPr>
          <w:rFonts w:ascii="Arial" w:hAnsi="Arial" w:cs="Arial"/>
          <w:color w:val="0F243E" w:themeColor="text2" w:themeShade="80"/>
          <w:lang w:val="es-ES"/>
        </w:rPr>
        <w:t xml:space="preserve"> </w:t>
      </w:r>
      <w:r w:rsidRPr="00D21E56">
        <w:rPr>
          <w:rFonts w:ascii="Arial" w:hAnsi="Arial" w:cs="Arial"/>
          <w:color w:val="0F243E" w:themeColor="text2" w:themeShade="80"/>
          <w:lang w:val="es-ES"/>
        </w:rPr>
        <w:t xml:space="preserve">a través del correo electrónico que designó para tal efecto, tal y como se puede corroborar a </w:t>
      </w:r>
      <w:r w:rsidR="00496A9A" w:rsidRPr="00D21E56">
        <w:rPr>
          <w:rFonts w:ascii="Arial" w:hAnsi="Arial" w:cs="Arial"/>
          <w:color w:val="0F243E" w:themeColor="text2" w:themeShade="80"/>
          <w:lang w:val="es-ES"/>
        </w:rPr>
        <w:t>foja 4</w:t>
      </w:r>
      <w:r w:rsidRPr="00D21E56">
        <w:rPr>
          <w:rFonts w:ascii="Arial" w:hAnsi="Arial" w:cs="Arial"/>
          <w:color w:val="0F243E" w:themeColor="text2" w:themeShade="80"/>
          <w:lang w:val="es-ES"/>
        </w:rPr>
        <w:t xml:space="preserve"> del presente sumario, lo cual permite apreciar que se le entregó la respuesta que emitió el área ante la cual se le gestionó la solicitud de información.</w:t>
      </w:r>
    </w:p>
    <w:p w:rsidR="003B62E4" w:rsidRPr="00D21E56" w:rsidRDefault="003B62E4" w:rsidP="003B62E4">
      <w:pPr>
        <w:spacing w:line="360" w:lineRule="auto"/>
        <w:jc w:val="both"/>
        <w:rPr>
          <w:rFonts w:ascii="Arial" w:hAnsi="Arial" w:cs="Arial"/>
          <w:color w:val="0F243E" w:themeColor="text2" w:themeShade="80"/>
          <w:lang w:val="es-ES"/>
        </w:rPr>
      </w:pPr>
    </w:p>
    <w:p w:rsidR="003B62E4" w:rsidRPr="00D21E56" w:rsidRDefault="003B62E4" w:rsidP="003B62E4">
      <w:pPr>
        <w:spacing w:line="360" w:lineRule="auto"/>
        <w:jc w:val="both"/>
        <w:rPr>
          <w:rFonts w:ascii="Arial" w:hAnsi="Arial" w:cs="Arial"/>
          <w:color w:val="0F243E" w:themeColor="text2" w:themeShade="80"/>
        </w:rPr>
      </w:pPr>
      <w:r w:rsidRPr="00D21E56">
        <w:rPr>
          <w:rFonts w:ascii="Arial" w:hAnsi="Arial" w:cs="Arial"/>
          <w:color w:val="0F243E" w:themeColor="text2" w:themeShade="80"/>
          <w:lang w:val="es-ES"/>
        </w:rPr>
        <w:t xml:space="preserve">Asimismo, de las constancias aportadas al presente sumario, se advierte que el particular no realizo manifestación alguna en sentido contrario al presente cumplimiento, por lo que es </w:t>
      </w:r>
      <w:r w:rsidRPr="00D21E56">
        <w:rPr>
          <w:rFonts w:ascii="Arial" w:hAnsi="Arial" w:cs="Arial"/>
          <w:color w:val="0F243E" w:themeColor="text2" w:themeShade="80"/>
        </w:rPr>
        <w:t>necesario señalar que el inconforme no se duele del contenido de  la información entregada, por lo que se colige que se mostraba conforme con la respuesta emitida por el sujeto obligado respecto de aquello que requirió y, por la otra, no se inconformó del contenido de aquello que se le entregó.</w:t>
      </w:r>
    </w:p>
    <w:p w:rsidR="003B62E4" w:rsidRPr="00D21E56" w:rsidRDefault="003B62E4" w:rsidP="003B62E4">
      <w:pPr>
        <w:spacing w:before="240" w:after="240" w:line="360" w:lineRule="auto"/>
        <w:jc w:val="both"/>
        <w:rPr>
          <w:rFonts w:ascii="Arial" w:hAnsi="Arial" w:cs="Arial"/>
          <w:color w:val="0F243E" w:themeColor="text2" w:themeShade="80"/>
        </w:rPr>
      </w:pPr>
      <w:r w:rsidRPr="00D21E56">
        <w:rPr>
          <w:rFonts w:ascii="Arial" w:hAnsi="Arial" w:cs="Arial"/>
          <w:color w:val="0F243E" w:themeColor="text2" w:themeShade="80"/>
        </w:rPr>
        <w:t>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w:t>
      </w:r>
      <w:r w:rsidR="00795B5A" w:rsidRPr="00D21E56">
        <w:rPr>
          <w:rFonts w:ascii="Arial" w:hAnsi="Arial" w:cs="Arial"/>
          <w:color w:val="0F243E" w:themeColor="text2" w:themeShade="80"/>
        </w:rPr>
        <w:t>,</w:t>
      </w:r>
      <w:r w:rsidRPr="00D21E56">
        <w:rPr>
          <w:rFonts w:ascii="Arial" w:hAnsi="Arial" w:cs="Arial"/>
          <w:color w:val="0F243E" w:themeColor="text2" w:themeShade="80"/>
        </w:rPr>
        <w:t xml:space="preserve"> se declara </w:t>
      </w:r>
      <w:r w:rsidRPr="00D21E56">
        <w:rPr>
          <w:rFonts w:ascii="Arial" w:hAnsi="Arial" w:cs="Arial"/>
          <w:b/>
          <w:color w:val="0F243E" w:themeColor="text2" w:themeShade="80"/>
          <w:u w:val="single"/>
        </w:rPr>
        <w:t>cumplida</w:t>
      </w:r>
      <w:r w:rsidRPr="00D21E56">
        <w:rPr>
          <w:rFonts w:ascii="Arial" w:hAnsi="Arial" w:cs="Arial"/>
          <w:b/>
          <w:color w:val="0F243E" w:themeColor="text2" w:themeShade="80"/>
        </w:rPr>
        <w:t xml:space="preserve"> </w:t>
      </w:r>
      <w:r w:rsidRPr="00D21E56">
        <w:rPr>
          <w:rFonts w:ascii="Arial" w:hAnsi="Arial" w:cs="Arial"/>
          <w:color w:val="0F243E" w:themeColor="text2" w:themeShade="80"/>
        </w:rPr>
        <w:t xml:space="preserve">la presente resolución. </w:t>
      </w:r>
    </w:p>
    <w:p w:rsidR="003B62E4" w:rsidRPr="00D21E56" w:rsidRDefault="003B62E4" w:rsidP="003B62E4">
      <w:pPr>
        <w:rPr>
          <w:rFonts w:ascii="Arial" w:hAnsi="Arial" w:cs="Arial"/>
          <w:color w:val="0F243E" w:themeColor="text2" w:themeShade="80"/>
        </w:rPr>
      </w:pPr>
      <w:r w:rsidRPr="00D21E56">
        <w:rPr>
          <w:rFonts w:ascii="Arial" w:hAnsi="Arial" w:cs="Arial"/>
          <w:color w:val="0F243E" w:themeColor="text2" w:themeShade="80"/>
        </w:rPr>
        <w:t>Por lo anteriormente expuesto y fundado, se emite el siguiente:</w:t>
      </w:r>
    </w:p>
    <w:p w:rsidR="00E579D4" w:rsidRPr="00D21E56" w:rsidRDefault="00E579D4" w:rsidP="003B62E4">
      <w:pPr>
        <w:spacing w:line="360" w:lineRule="auto"/>
        <w:jc w:val="both"/>
        <w:rPr>
          <w:rFonts w:ascii="Arial" w:hAnsi="Arial" w:cs="Arial"/>
          <w:color w:val="0F243E" w:themeColor="text2" w:themeShade="80"/>
        </w:rPr>
      </w:pPr>
    </w:p>
    <w:p w:rsidR="00D21E56" w:rsidRPr="00D21E56" w:rsidRDefault="00D21E56" w:rsidP="00E579D4">
      <w:pPr>
        <w:spacing w:line="360" w:lineRule="auto"/>
        <w:jc w:val="center"/>
        <w:rPr>
          <w:rFonts w:ascii="Arial" w:hAnsi="Arial" w:cs="Arial"/>
          <w:b/>
          <w:color w:val="0F243E" w:themeColor="text2" w:themeShade="80"/>
        </w:rPr>
      </w:pPr>
    </w:p>
    <w:p w:rsidR="00D21E56" w:rsidRPr="00D21E56" w:rsidRDefault="00D21E56" w:rsidP="00E579D4">
      <w:pPr>
        <w:spacing w:line="360" w:lineRule="auto"/>
        <w:jc w:val="center"/>
        <w:rPr>
          <w:rFonts w:ascii="Arial" w:hAnsi="Arial" w:cs="Arial"/>
          <w:b/>
          <w:color w:val="0F243E" w:themeColor="text2" w:themeShade="80"/>
        </w:rPr>
      </w:pPr>
    </w:p>
    <w:p w:rsidR="003B62E4" w:rsidRPr="00D21E56" w:rsidRDefault="003B62E4" w:rsidP="00E579D4">
      <w:pPr>
        <w:spacing w:line="360" w:lineRule="auto"/>
        <w:jc w:val="center"/>
        <w:rPr>
          <w:rFonts w:ascii="Arial" w:hAnsi="Arial" w:cs="Arial"/>
          <w:b/>
          <w:color w:val="0F243E" w:themeColor="text2" w:themeShade="80"/>
        </w:rPr>
      </w:pPr>
      <w:r w:rsidRPr="00D21E56">
        <w:rPr>
          <w:rFonts w:ascii="Arial" w:hAnsi="Arial" w:cs="Arial"/>
          <w:b/>
          <w:color w:val="0F243E" w:themeColor="text2" w:themeShade="80"/>
        </w:rPr>
        <w:lastRenderedPageBreak/>
        <w:t>ACUERDO</w:t>
      </w:r>
    </w:p>
    <w:p w:rsidR="003B62E4" w:rsidRPr="00D21E56" w:rsidRDefault="003B62E4" w:rsidP="003B62E4">
      <w:pPr>
        <w:spacing w:line="360" w:lineRule="auto"/>
        <w:ind w:right="111"/>
        <w:jc w:val="both"/>
        <w:rPr>
          <w:rFonts w:ascii="Arial" w:hAnsi="Arial" w:cs="Arial"/>
          <w:color w:val="0F243E" w:themeColor="text2" w:themeShade="80"/>
          <w:spacing w:val="1"/>
        </w:rPr>
      </w:pPr>
      <w:r w:rsidRPr="00D21E56">
        <w:rPr>
          <w:rFonts w:ascii="Arial" w:hAnsi="Arial" w:cs="Arial"/>
          <w:b/>
          <w:color w:val="0F243E" w:themeColor="text2" w:themeShade="80"/>
          <w:spacing w:val="1"/>
        </w:rPr>
        <w:t xml:space="preserve">PRIMERO. </w:t>
      </w:r>
      <w:r w:rsidRPr="00D21E56">
        <w:rPr>
          <w:rFonts w:ascii="Arial" w:hAnsi="Arial" w:cs="Arial"/>
          <w:color w:val="0F243E" w:themeColor="text2" w:themeShade="80"/>
          <w:spacing w:val="1"/>
        </w:rPr>
        <w:t>Con bas</w:t>
      </w:r>
      <w:r w:rsidR="00E22ADA" w:rsidRPr="00D21E56">
        <w:rPr>
          <w:rFonts w:ascii="Arial" w:hAnsi="Arial" w:cs="Arial"/>
          <w:color w:val="0F243E" w:themeColor="text2" w:themeShade="80"/>
          <w:spacing w:val="1"/>
        </w:rPr>
        <w:t>e en el artículo 185</w:t>
      </w:r>
      <w:r w:rsidRPr="00D21E56">
        <w:rPr>
          <w:rFonts w:ascii="Arial" w:hAnsi="Arial" w:cs="Arial"/>
          <w:color w:val="0F243E" w:themeColor="text2" w:themeShade="80"/>
          <w:spacing w:val="1"/>
        </w:rPr>
        <w:t xml:space="preserve"> de la Ley de Transparencia y Acceso a la Información Pública del Estado, declara </w:t>
      </w:r>
      <w:r w:rsidRPr="00D21E56">
        <w:rPr>
          <w:rFonts w:ascii="Arial" w:hAnsi="Arial" w:cs="Arial"/>
          <w:b/>
          <w:color w:val="0F243E" w:themeColor="text2" w:themeShade="80"/>
          <w:spacing w:val="1"/>
          <w:u w:val="single"/>
        </w:rPr>
        <w:t>cumplida</w:t>
      </w:r>
      <w:r w:rsidRPr="00D21E56">
        <w:rPr>
          <w:rFonts w:ascii="Arial" w:hAnsi="Arial" w:cs="Arial"/>
          <w:color w:val="0F243E" w:themeColor="text2" w:themeShade="80"/>
          <w:spacing w:val="1"/>
        </w:rPr>
        <w:t xml:space="preserve"> la resolución que en definitiva se dictó en el presente asunto.</w:t>
      </w:r>
    </w:p>
    <w:p w:rsidR="003B62E4" w:rsidRPr="00D21E56" w:rsidRDefault="003B62E4" w:rsidP="003B62E4">
      <w:pPr>
        <w:spacing w:line="360" w:lineRule="auto"/>
        <w:jc w:val="center"/>
        <w:rPr>
          <w:rFonts w:ascii="Arial" w:hAnsi="Arial" w:cs="Arial"/>
          <w:color w:val="0F243E" w:themeColor="text2" w:themeShade="80"/>
        </w:rPr>
      </w:pPr>
    </w:p>
    <w:p w:rsidR="003B62E4" w:rsidRPr="00D21E56" w:rsidRDefault="003B62E4" w:rsidP="003B62E4">
      <w:pPr>
        <w:spacing w:line="360" w:lineRule="auto"/>
        <w:jc w:val="both"/>
        <w:rPr>
          <w:rFonts w:ascii="Arial" w:hAnsi="Arial" w:cs="Arial"/>
          <w:color w:val="0F243E" w:themeColor="text2" w:themeShade="80"/>
        </w:rPr>
      </w:pPr>
      <w:r w:rsidRPr="00D21E56">
        <w:rPr>
          <w:rFonts w:ascii="Arial" w:hAnsi="Arial" w:cs="Arial"/>
          <w:b/>
          <w:color w:val="0F243E" w:themeColor="text2" w:themeShade="80"/>
          <w:highlight w:val="white"/>
        </w:rPr>
        <w:t>SEGUNDO.</w:t>
      </w:r>
      <w:r w:rsidRPr="00D21E56">
        <w:rPr>
          <w:rFonts w:ascii="Arial" w:hAnsi="Arial" w:cs="Arial"/>
          <w:b/>
          <w:color w:val="0F243E" w:themeColor="text2" w:themeShade="80"/>
        </w:rPr>
        <w:t xml:space="preserve"> </w:t>
      </w:r>
      <w:r w:rsidRPr="00D21E56">
        <w:rPr>
          <w:rFonts w:ascii="Arial" w:hAnsi="Arial" w:cs="Arial"/>
          <w:color w:val="0F243E" w:themeColor="text2" w:themeShade="80"/>
        </w:rPr>
        <w:t>Con fundamento en los artículos 2 fracción XII y 9 de los Lineamientos para la Gestión de Archivos Administrativos y Resguardo de la Información Pública del Estado de San Luis Potosí, emitidos por esta Comisión,</w:t>
      </w:r>
      <w:r w:rsidRPr="00D21E56">
        <w:rPr>
          <w:rFonts w:ascii="Arial" w:hAnsi="Arial" w:cs="Arial"/>
          <w:b/>
          <w:color w:val="0F243E" w:themeColor="text2" w:themeShade="80"/>
        </w:rPr>
        <w:t xml:space="preserve"> se remite el presente asunto al Archivo de Concentración de este Órgano Garante, </w:t>
      </w:r>
      <w:r w:rsidRPr="00D21E56">
        <w:rPr>
          <w:rFonts w:ascii="Arial" w:hAnsi="Arial" w:cs="Arial"/>
          <w:color w:val="0F243E" w:themeColor="text2" w:themeShade="80"/>
        </w:rPr>
        <w:t>como asunto concluido.</w:t>
      </w:r>
    </w:p>
    <w:p w:rsidR="003B62E4" w:rsidRPr="00D21E56" w:rsidRDefault="003B62E4" w:rsidP="003B62E4">
      <w:pPr>
        <w:spacing w:line="360" w:lineRule="auto"/>
        <w:jc w:val="both"/>
        <w:rPr>
          <w:rFonts w:ascii="Arial" w:hAnsi="Arial" w:cs="Arial"/>
          <w:b/>
          <w:color w:val="0F243E" w:themeColor="text2" w:themeShade="80"/>
        </w:rPr>
      </w:pPr>
    </w:p>
    <w:p w:rsidR="003B62E4" w:rsidRPr="00D21E56" w:rsidRDefault="003B62E4" w:rsidP="003B62E4">
      <w:pPr>
        <w:spacing w:line="360" w:lineRule="auto"/>
        <w:jc w:val="both"/>
        <w:rPr>
          <w:rFonts w:ascii="Arial" w:hAnsi="Arial" w:cs="Arial"/>
          <w:color w:val="0F243E" w:themeColor="text2" w:themeShade="80"/>
        </w:rPr>
      </w:pPr>
      <w:r w:rsidRPr="00D21E56">
        <w:rPr>
          <w:rFonts w:ascii="Arial" w:hAnsi="Arial" w:cs="Arial"/>
          <w:b/>
          <w:color w:val="0F243E" w:themeColor="text2" w:themeShade="80"/>
        </w:rPr>
        <w:t>TERCERO.</w:t>
      </w:r>
      <w:r w:rsidRPr="00D21E56">
        <w:rPr>
          <w:rFonts w:ascii="Arial" w:hAnsi="Arial" w:cs="Arial"/>
          <w:color w:val="0F243E" w:themeColor="text2" w:themeShade="80"/>
        </w:rPr>
        <w:t xml:space="preserve"> Notifíquese personalmente.</w:t>
      </w:r>
    </w:p>
    <w:p w:rsidR="003B62E4" w:rsidRPr="00D21E56" w:rsidRDefault="003B62E4" w:rsidP="003B62E4">
      <w:pPr>
        <w:ind w:left="284"/>
        <w:jc w:val="both"/>
        <w:rPr>
          <w:rFonts w:ascii="Arial" w:hAnsi="Arial" w:cs="Arial"/>
          <w:i/>
          <w:color w:val="0F243E" w:themeColor="text2" w:themeShade="80"/>
        </w:rPr>
      </w:pPr>
    </w:p>
    <w:p w:rsidR="003B62E4" w:rsidRPr="00D21E56" w:rsidRDefault="003B62E4" w:rsidP="003B62E4">
      <w:pPr>
        <w:spacing w:line="360" w:lineRule="auto"/>
        <w:jc w:val="both"/>
        <w:rPr>
          <w:rFonts w:ascii="Arial" w:hAnsi="Arial" w:cs="Arial"/>
          <w:color w:val="0F243E" w:themeColor="text2" w:themeShade="80"/>
        </w:rPr>
      </w:pPr>
      <w:r w:rsidRPr="00D21E56">
        <w:rPr>
          <w:rFonts w:ascii="Arial" w:hAnsi="Arial" w:cs="Arial"/>
          <w:color w:val="0F243E" w:themeColor="text2" w:themeShade="80"/>
        </w:rPr>
        <w:t xml:space="preserve">Así lo acordó y firma </w:t>
      </w:r>
      <w:r w:rsidR="00E22ADA" w:rsidRPr="00D21E56">
        <w:rPr>
          <w:rFonts w:ascii="Arial" w:hAnsi="Arial" w:cs="Arial"/>
          <w:color w:val="0F243E" w:themeColor="text2" w:themeShade="80"/>
        </w:rPr>
        <w:t>Ana Cristina García Nales</w:t>
      </w:r>
      <w:r w:rsidRPr="00D21E56">
        <w:rPr>
          <w:rFonts w:ascii="Arial" w:hAnsi="Arial" w:cs="Arial"/>
          <w:color w:val="0F243E" w:themeColor="text2" w:themeShade="80"/>
        </w:rPr>
        <w:t xml:space="preserve">, Comisionada de la Comisión Estatal de Garantía de Acceso a la Información Pública, que actúa con Rosa María Motilla García, Secretaria de Pleno que da fe, en San Luis Potosí, S.L.P., el </w:t>
      </w:r>
      <w:proofErr w:type="spellStart"/>
      <w:r w:rsidR="00D21E56" w:rsidRPr="00D21E56">
        <w:rPr>
          <w:rFonts w:ascii="Arial" w:hAnsi="Arial" w:cs="Arial"/>
          <w:color w:val="0F243E" w:themeColor="text2" w:themeShade="80"/>
        </w:rPr>
        <w:t>veintirés</w:t>
      </w:r>
      <w:proofErr w:type="spellEnd"/>
      <w:r w:rsidR="00E22ADA" w:rsidRPr="00D21E56">
        <w:rPr>
          <w:rFonts w:ascii="Arial" w:hAnsi="Arial" w:cs="Arial"/>
          <w:color w:val="0F243E" w:themeColor="text2" w:themeShade="80"/>
        </w:rPr>
        <w:t xml:space="preserve"> de </w:t>
      </w:r>
      <w:r w:rsidR="00496A9A" w:rsidRPr="00D21E56">
        <w:rPr>
          <w:rFonts w:ascii="Arial" w:hAnsi="Arial" w:cs="Arial"/>
          <w:color w:val="0F243E" w:themeColor="text2" w:themeShade="80"/>
        </w:rPr>
        <w:t>marzo de dos mil veintitrés</w:t>
      </w:r>
      <w:r w:rsidR="003B1B3F" w:rsidRPr="00D21E56">
        <w:rPr>
          <w:rFonts w:ascii="Arial" w:hAnsi="Arial" w:cs="Arial"/>
          <w:color w:val="0F243E" w:themeColor="text2" w:themeShade="80"/>
        </w:rPr>
        <w:t xml:space="preserve">. </w:t>
      </w:r>
    </w:p>
    <w:p w:rsidR="003B1B3F" w:rsidRPr="00D21E56" w:rsidRDefault="003B1B3F" w:rsidP="003B62E4">
      <w:pPr>
        <w:spacing w:line="360" w:lineRule="auto"/>
        <w:jc w:val="both"/>
        <w:rPr>
          <w:rFonts w:ascii="Arial" w:hAnsi="Arial" w:cs="Arial"/>
          <w:color w:val="0F243E" w:themeColor="text2" w:themeShade="80"/>
        </w:rPr>
      </w:pPr>
    </w:p>
    <w:p w:rsidR="00E579D4" w:rsidRPr="00D21E56" w:rsidRDefault="00E579D4" w:rsidP="003B62E4">
      <w:pPr>
        <w:spacing w:line="360" w:lineRule="auto"/>
        <w:jc w:val="both"/>
        <w:rPr>
          <w:rFonts w:ascii="Arial" w:hAnsi="Arial" w:cs="Arial"/>
          <w:color w:val="0F243E" w:themeColor="text2" w:themeShade="80"/>
        </w:rPr>
      </w:pPr>
    </w:p>
    <w:p w:rsidR="00E579D4" w:rsidRPr="00D21E56" w:rsidRDefault="00E579D4" w:rsidP="003B62E4">
      <w:pPr>
        <w:spacing w:line="360" w:lineRule="auto"/>
        <w:jc w:val="both"/>
        <w:rPr>
          <w:rFonts w:ascii="Arial" w:hAnsi="Arial" w:cs="Arial"/>
          <w:color w:val="0F243E" w:themeColor="text2" w:themeShade="80"/>
        </w:rPr>
      </w:pPr>
    </w:p>
    <w:p w:rsidR="003B62E4" w:rsidRPr="00D21E56" w:rsidRDefault="003B62E4" w:rsidP="003B62E4">
      <w:pPr>
        <w:spacing w:line="360" w:lineRule="auto"/>
        <w:jc w:val="both"/>
        <w:rPr>
          <w:rFonts w:ascii="Arial" w:hAnsi="Arial" w:cs="Arial"/>
          <w:b/>
          <w:color w:val="0F243E" w:themeColor="text2" w:themeShade="80"/>
        </w:rPr>
      </w:pPr>
      <w:r w:rsidRPr="00D21E56">
        <w:rPr>
          <w:rFonts w:ascii="Arial" w:hAnsi="Arial" w:cs="Arial"/>
          <w:b/>
          <w:color w:val="0F243E" w:themeColor="text2" w:themeShade="80"/>
        </w:rPr>
        <w:t>M</w:t>
      </w:r>
      <w:r w:rsidR="00E22ADA" w:rsidRPr="00D21E56">
        <w:rPr>
          <w:rFonts w:ascii="Arial" w:hAnsi="Arial" w:cs="Arial"/>
          <w:b/>
          <w:color w:val="0F243E" w:themeColor="text2" w:themeShade="80"/>
        </w:rPr>
        <w:t>tra. Ana Cristina García Nales</w:t>
      </w:r>
      <w:r w:rsidRPr="00D21E56">
        <w:rPr>
          <w:rFonts w:ascii="Arial" w:hAnsi="Arial" w:cs="Arial"/>
          <w:b/>
          <w:color w:val="0F243E" w:themeColor="text2" w:themeShade="80"/>
        </w:rPr>
        <w:t xml:space="preserve">  </w:t>
      </w:r>
      <w:r w:rsidRPr="00D21E56">
        <w:rPr>
          <w:rFonts w:ascii="Arial" w:hAnsi="Arial" w:cs="Arial"/>
          <w:color w:val="0F243E" w:themeColor="text2" w:themeShade="80"/>
        </w:rPr>
        <w:t xml:space="preserve">                    </w:t>
      </w:r>
      <w:r w:rsidRPr="00D21E56">
        <w:rPr>
          <w:rFonts w:ascii="Arial" w:hAnsi="Arial" w:cs="Arial"/>
          <w:b/>
          <w:color w:val="0F243E" w:themeColor="text2" w:themeShade="80"/>
        </w:rPr>
        <w:t xml:space="preserve"> </w:t>
      </w:r>
      <w:r w:rsidR="00E22ADA" w:rsidRPr="00D21E56">
        <w:rPr>
          <w:rFonts w:ascii="Arial" w:hAnsi="Arial" w:cs="Arial"/>
          <w:b/>
          <w:color w:val="0F243E" w:themeColor="text2" w:themeShade="80"/>
        </w:rPr>
        <w:t xml:space="preserve">Lic. </w:t>
      </w:r>
      <w:r w:rsidRPr="00D21E56">
        <w:rPr>
          <w:rFonts w:ascii="Arial" w:hAnsi="Arial" w:cs="Arial"/>
          <w:b/>
          <w:color w:val="0F243E" w:themeColor="text2" w:themeShade="80"/>
          <w:lang w:val="es-ES"/>
        </w:rPr>
        <w:t>Rosa María Motilla García</w:t>
      </w:r>
      <w:r w:rsidRPr="00D21E56">
        <w:rPr>
          <w:rFonts w:ascii="Arial" w:hAnsi="Arial" w:cs="Arial"/>
          <w:b/>
          <w:color w:val="0F243E" w:themeColor="text2" w:themeShade="80"/>
        </w:rPr>
        <w:t xml:space="preserve">   </w:t>
      </w:r>
    </w:p>
    <w:p w:rsidR="00E579D4" w:rsidRPr="00D21E56" w:rsidRDefault="003B62E4" w:rsidP="00E579D4">
      <w:pPr>
        <w:spacing w:line="360" w:lineRule="auto"/>
        <w:jc w:val="both"/>
        <w:rPr>
          <w:rFonts w:ascii="Arial" w:hAnsi="Arial" w:cs="Arial"/>
          <w:b/>
          <w:color w:val="0F243E" w:themeColor="text2" w:themeShade="80"/>
        </w:rPr>
      </w:pPr>
      <w:r w:rsidRPr="00D21E56">
        <w:rPr>
          <w:rFonts w:ascii="Arial" w:hAnsi="Arial" w:cs="Arial"/>
          <w:b/>
          <w:color w:val="0F243E" w:themeColor="text2" w:themeShade="80"/>
        </w:rPr>
        <w:t xml:space="preserve">          Comisionada                                           </w:t>
      </w:r>
      <w:r w:rsidR="00E22ADA" w:rsidRPr="00D21E56">
        <w:rPr>
          <w:rFonts w:ascii="Arial" w:hAnsi="Arial" w:cs="Arial"/>
          <w:b/>
          <w:color w:val="0F243E" w:themeColor="text2" w:themeShade="80"/>
        </w:rPr>
        <w:t xml:space="preserve">        </w:t>
      </w:r>
      <w:r w:rsidRPr="00D21E56">
        <w:rPr>
          <w:rFonts w:ascii="Arial" w:hAnsi="Arial" w:cs="Arial"/>
          <w:b/>
          <w:color w:val="0F243E" w:themeColor="text2" w:themeShade="80"/>
        </w:rPr>
        <w:t>Secretaria de Pleno</w:t>
      </w:r>
    </w:p>
    <w:p w:rsidR="00E579D4" w:rsidRPr="00D21E56" w:rsidRDefault="00E579D4" w:rsidP="00E579D4">
      <w:pPr>
        <w:spacing w:line="360" w:lineRule="auto"/>
        <w:jc w:val="both"/>
        <w:rPr>
          <w:rFonts w:ascii="Arial" w:hAnsi="Arial" w:cs="Arial"/>
          <w:b/>
          <w:color w:val="0F243E" w:themeColor="text2" w:themeShade="80"/>
        </w:rPr>
      </w:pPr>
    </w:p>
    <w:p w:rsidR="003B1B3F" w:rsidRPr="00D21E56" w:rsidRDefault="003B62E4" w:rsidP="00E579D4">
      <w:pPr>
        <w:spacing w:line="360" w:lineRule="auto"/>
        <w:jc w:val="both"/>
        <w:rPr>
          <w:rFonts w:ascii="Arial" w:hAnsi="Arial" w:cs="Arial"/>
          <w:color w:val="0F243E" w:themeColor="text2" w:themeShade="80"/>
          <w:sz w:val="18"/>
          <w:szCs w:val="18"/>
        </w:rPr>
      </w:pPr>
      <w:proofErr w:type="spellStart"/>
      <w:proofErr w:type="gramStart"/>
      <w:r w:rsidRPr="00D21E56">
        <w:rPr>
          <w:rFonts w:ascii="Arial" w:hAnsi="Arial" w:cs="Arial"/>
          <w:color w:val="0F243E" w:themeColor="text2" w:themeShade="80"/>
          <w:sz w:val="18"/>
          <w:szCs w:val="18"/>
        </w:rPr>
        <w:t>Elaboró</w:t>
      </w:r>
      <w:r w:rsidR="00E22ADA" w:rsidRPr="00D21E56">
        <w:rPr>
          <w:rFonts w:ascii="Arial" w:hAnsi="Arial" w:cs="Arial"/>
          <w:color w:val="0F243E" w:themeColor="text2" w:themeShade="80"/>
          <w:sz w:val="18"/>
          <w:szCs w:val="18"/>
        </w:rPr>
        <w:t>:CCL</w:t>
      </w:r>
      <w:proofErr w:type="spellEnd"/>
      <w:proofErr w:type="gramEnd"/>
    </w:p>
    <w:sectPr w:rsidR="003B1B3F" w:rsidRPr="00D21E56" w:rsidSect="00A123CB">
      <w:headerReference w:type="default" r:id="rId9"/>
      <w:pgSz w:w="12242" w:h="20163" w:code="5"/>
      <w:pgMar w:top="2665"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9AC" w:rsidRDefault="001E39AC" w:rsidP="00C423FB">
      <w:r>
        <w:separator/>
      </w:r>
    </w:p>
  </w:endnote>
  <w:endnote w:type="continuationSeparator" w:id="0">
    <w:p w:rsidR="001E39AC" w:rsidRDefault="001E39AC" w:rsidP="00C42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9AC" w:rsidRDefault="001E39AC" w:rsidP="00C423FB">
      <w:r>
        <w:separator/>
      </w:r>
    </w:p>
  </w:footnote>
  <w:footnote w:type="continuationSeparator" w:id="0">
    <w:p w:rsidR="001E39AC" w:rsidRDefault="001E39AC" w:rsidP="00C423F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7B60" w:rsidRDefault="001E39AC" w:rsidP="00D1424D">
    <w:pPr>
      <w:pStyle w:val="Encabezado"/>
      <w:rPr>
        <w:rFonts w:ascii="Arial" w:hAnsi="Arial" w:cs="Arial"/>
        <w:b/>
        <w:sz w:val="26"/>
        <w:szCs w:val="26"/>
      </w:rPr>
    </w:pPr>
  </w:p>
  <w:p w:rsidR="00767B60" w:rsidRDefault="001E39AC" w:rsidP="00D1424D">
    <w:pPr>
      <w:pStyle w:val="Encabezado"/>
      <w:rPr>
        <w:rFonts w:ascii="Arial" w:hAnsi="Arial" w:cs="Arial"/>
        <w:b/>
        <w:sz w:val="26"/>
        <w:szCs w:val="26"/>
      </w:rPr>
    </w:pPr>
  </w:p>
  <w:p w:rsidR="00D1424D" w:rsidRPr="00F07E82" w:rsidRDefault="0057452D" w:rsidP="00E63410">
    <w:pPr>
      <w:pStyle w:val="Encabezado"/>
      <w:jc w:val="right"/>
      <w:rPr>
        <w:rFonts w:ascii="Arial" w:hAnsi="Arial" w:cs="Arial"/>
        <w:b/>
        <w:sz w:val="26"/>
        <w:szCs w:val="26"/>
      </w:rPr>
    </w:pPr>
    <w:r w:rsidRPr="00FA0476">
      <w:rPr>
        <w:rFonts w:ascii="Arial" w:hAnsi="Arial" w:cs="Arial"/>
        <w:b/>
        <w:sz w:val="26"/>
        <w:szCs w:val="26"/>
      </w:rPr>
      <w:t>RR-</w:t>
    </w:r>
    <w:r w:rsidR="003C16C7">
      <w:rPr>
        <w:rFonts w:ascii="Arial" w:hAnsi="Arial" w:cs="Arial"/>
        <w:b/>
        <w:sz w:val="26"/>
        <w:szCs w:val="26"/>
      </w:rPr>
      <w:t>2149</w:t>
    </w:r>
    <w:r>
      <w:rPr>
        <w:rFonts w:ascii="Arial" w:hAnsi="Arial" w:cs="Arial"/>
        <w:b/>
        <w:sz w:val="26"/>
        <w:szCs w:val="26"/>
      </w:rPr>
      <w:t>/</w:t>
    </w:r>
    <w:r w:rsidR="00496A9A">
      <w:rPr>
        <w:rFonts w:ascii="Arial" w:hAnsi="Arial" w:cs="Arial"/>
        <w:b/>
        <w:sz w:val="26"/>
        <w:szCs w:val="26"/>
      </w:rPr>
      <w:t>2022</w:t>
    </w:r>
    <w:r w:rsidRPr="00FA0476">
      <w:rPr>
        <w:rFonts w:ascii="Arial" w:hAnsi="Arial" w:cs="Arial"/>
        <w:b/>
        <w:sz w:val="26"/>
        <w:szCs w:val="26"/>
      </w:rPr>
      <w:t>-3</w:t>
    </w:r>
    <w:r>
      <w:rPr>
        <w:rFonts w:ascii="Arial" w:hAnsi="Arial" w:cs="Arial"/>
        <w:b/>
        <w:sz w:val="26"/>
        <w:szCs w:val="26"/>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7413E"/>
    <w:multiLevelType w:val="hybridMultilevel"/>
    <w:tmpl w:val="638A203C"/>
    <w:lvl w:ilvl="0" w:tplc="0C0A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5E17A7D"/>
    <w:multiLevelType w:val="hybridMultilevel"/>
    <w:tmpl w:val="EC7CFDE6"/>
    <w:lvl w:ilvl="0" w:tplc="0430DD18">
      <w:start w:val="1"/>
      <w:numFmt w:val="upperRoman"/>
      <w:lvlText w:val="%1."/>
      <w:lvlJc w:val="left"/>
      <w:pPr>
        <w:ind w:left="436" w:hanging="720"/>
      </w:pPr>
      <w:rPr>
        <w:rFonts w:ascii="Arial" w:eastAsia="Arial Unicode MS" w:hAnsi="Arial" w:cs="Arial"/>
        <w:b/>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2" w15:restartNumberingAfterBreak="0">
    <w:nsid w:val="261060B6"/>
    <w:multiLevelType w:val="hybridMultilevel"/>
    <w:tmpl w:val="CB228F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88D75D9"/>
    <w:multiLevelType w:val="hybridMultilevel"/>
    <w:tmpl w:val="636A49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9CD452B"/>
    <w:multiLevelType w:val="hybridMultilevel"/>
    <w:tmpl w:val="62D873E0"/>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3FB"/>
    <w:rsid w:val="00017436"/>
    <w:rsid w:val="00035924"/>
    <w:rsid w:val="000742BE"/>
    <w:rsid w:val="000E67FE"/>
    <w:rsid w:val="001812F8"/>
    <w:rsid w:val="001B5059"/>
    <w:rsid w:val="001C4E99"/>
    <w:rsid w:val="001E39AC"/>
    <w:rsid w:val="00204A06"/>
    <w:rsid w:val="0024327C"/>
    <w:rsid w:val="00296AEA"/>
    <w:rsid w:val="002A1CC8"/>
    <w:rsid w:val="002C3875"/>
    <w:rsid w:val="00304C39"/>
    <w:rsid w:val="003254B3"/>
    <w:rsid w:val="003439C9"/>
    <w:rsid w:val="003A32D9"/>
    <w:rsid w:val="003B1B3F"/>
    <w:rsid w:val="003B62E4"/>
    <w:rsid w:val="003C16C7"/>
    <w:rsid w:val="003C6E1F"/>
    <w:rsid w:val="003D34DC"/>
    <w:rsid w:val="00422BBB"/>
    <w:rsid w:val="00496A9A"/>
    <w:rsid w:val="0057452D"/>
    <w:rsid w:val="00586FE2"/>
    <w:rsid w:val="006319DC"/>
    <w:rsid w:val="006F02F5"/>
    <w:rsid w:val="00706609"/>
    <w:rsid w:val="00722E74"/>
    <w:rsid w:val="00744127"/>
    <w:rsid w:val="00793C26"/>
    <w:rsid w:val="00795B5A"/>
    <w:rsid w:val="007F13DD"/>
    <w:rsid w:val="00832476"/>
    <w:rsid w:val="008B32BE"/>
    <w:rsid w:val="008C149A"/>
    <w:rsid w:val="008D191E"/>
    <w:rsid w:val="008F2203"/>
    <w:rsid w:val="009148B0"/>
    <w:rsid w:val="00927239"/>
    <w:rsid w:val="00947B45"/>
    <w:rsid w:val="00975D8B"/>
    <w:rsid w:val="0098221E"/>
    <w:rsid w:val="009A51A5"/>
    <w:rsid w:val="009F09DF"/>
    <w:rsid w:val="00A06BCB"/>
    <w:rsid w:val="00A123CB"/>
    <w:rsid w:val="00A17FAC"/>
    <w:rsid w:val="00A848A8"/>
    <w:rsid w:val="00B25A7F"/>
    <w:rsid w:val="00B35AC3"/>
    <w:rsid w:val="00B52743"/>
    <w:rsid w:val="00B9613D"/>
    <w:rsid w:val="00BB448D"/>
    <w:rsid w:val="00BE1DD8"/>
    <w:rsid w:val="00BF0757"/>
    <w:rsid w:val="00C423FB"/>
    <w:rsid w:val="00D1312B"/>
    <w:rsid w:val="00D21E56"/>
    <w:rsid w:val="00D32A07"/>
    <w:rsid w:val="00DA687D"/>
    <w:rsid w:val="00DF1EAA"/>
    <w:rsid w:val="00E22ADA"/>
    <w:rsid w:val="00E26918"/>
    <w:rsid w:val="00E579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81FBC"/>
  <w15:docId w15:val="{F207BC38-AA43-42E1-AF3F-E630B728C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23FB"/>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423FB"/>
    <w:pPr>
      <w:tabs>
        <w:tab w:val="center" w:pos="4252"/>
        <w:tab w:val="right" w:pos="8504"/>
      </w:tabs>
    </w:pPr>
  </w:style>
  <w:style w:type="character" w:customStyle="1" w:styleId="EncabezadoCar">
    <w:name w:val="Encabezado Car"/>
    <w:basedOn w:val="Fuentedeprrafopredeter"/>
    <w:link w:val="Encabezado"/>
    <w:rsid w:val="00C423FB"/>
    <w:rPr>
      <w:rFonts w:ascii="Times New Roman" w:eastAsia="Times New Roman" w:hAnsi="Times New Roman" w:cs="Times New Roman"/>
      <w:sz w:val="24"/>
      <w:szCs w:val="24"/>
      <w:lang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C423FB"/>
    <w:pPr>
      <w:ind w:left="720"/>
      <w:contextualSpacing/>
    </w:pPr>
    <w:rPr>
      <w:rFonts w:ascii="Arial" w:hAnsi="Arial" w:cs="Arial"/>
    </w:rPr>
  </w:style>
  <w:style w:type="paragraph" w:styleId="Textonotapie">
    <w:name w:val="footnote text"/>
    <w:basedOn w:val="Normal"/>
    <w:link w:val="TextonotapieCar"/>
    <w:uiPriority w:val="99"/>
    <w:semiHidden/>
    <w:unhideWhenUsed/>
    <w:rsid w:val="00C423FB"/>
    <w:rPr>
      <w:sz w:val="20"/>
      <w:szCs w:val="20"/>
    </w:rPr>
  </w:style>
  <w:style w:type="character" w:customStyle="1" w:styleId="TextonotapieCar">
    <w:name w:val="Texto nota pie Car"/>
    <w:basedOn w:val="Fuentedeprrafopredeter"/>
    <w:link w:val="Textonotapie"/>
    <w:uiPriority w:val="99"/>
    <w:semiHidden/>
    <w:rsid w:val="00C423FB"/>
    <w:rPr>
      <w:rFonts w:ascii="Times New Roman" w:eastAsia="Times New Roman" w:hAnsi="Times New Roman" w:cs="Times New Roman"/>
      <w:sz w:val="20"/>
      <w:szCs w:val="20"/>
      <w:lang w:eastAsia="es-ES"/>
    </w:rPr>
  </w:style>
  <w:style w:type="character" w:styleId="Refdenotaalpie">
    <w:name w:val="footnote reference"/>
    <w:uiPriority w:val="99"/>
    <w:semiHidden/>
    <w:unhideWhenUsed/>
    <w:rsid w:val="00C423FB"/>
    <w:rPr>
      <w:vertAlign w:val="superscript"/>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C423FB"/>
    <w:rPr>
      <w:rFonts w:ascii="Arial" w:eastAsia="Times New Roman" w:hAnsi="Arial" w:cs="Arial"/>
      <w:sz w:val="24"/>
      <w:szCs w:val="24"/>
      <w:lang w:eastAsia="es-ES"/>
    </w:rPr>
  </w:style>
  <w:style w:type="character" w:styleId="Hipervnculo">
    <w:name w:val="Hyperlink"/>
    <w:uiPriority w:val="99"/>
    <w:unhideWhenUsed/>
    <w:rsid w:val="003B62E4"/>
    <w:rPr>
      <w:color w:val="0000FF"/>
      <w:u w:val="single"/>
    </w:rPr>
  </w:style>
  <w:style w:type="paragraph" w:styleId="Textoindependiente">
    <w:name w:val="Body Text"/>
    <w:basedOn w:val="Normal"/>
    <w:link w:val="TextoindependienteCar"/>
    <w:uiPriority w:val="99"/>
    <w:semiHidden/>
    <w:unhideWhenUsed/>
    <w:rsid w:val="003B62E4"/>
    <w:pPr>
      <w:spacing w:after="120"/>
    </w:pPr>
  </w:style>
  <w:style w:type="character" w:customStyle="1" w:styleId="TextoindependienteCar">
    <w:name w:val="Texto independiente Car"/>
    <w:basedOn w:val="Fuentedeprrafopredeter"/>
    <w:link w:val="Textoindependiente"/>
    <w:uiPriority w:val="99"/>
    <w:semiHidden/>
    <w:rsid w:val="003B62E4"/>
    <w:rPr>
      <w:rFonts w:ascii="Times New Roman" w:eastAsia="Times New Roman" w:hAnsi="Times New Roman" w:cs="Times New Roman"/>
      <w:sz w:val="24"/>
      <w:szCs w:val="24"/>
      <w:lang w:eastAsia="es-ES"/>
    </w:rPr>
  </w:style>
  <w:style w:type="paragraph" w:styleId="Textoindependienteprimerasangra">
    <w:name w:val="Body Text First Indent"/>
    <w:basedOn w:val="Textoindependiente"/>
    <w:link w:val="TextoindependienteprimerasangraCar"/>
    <w:uiPriority w:val="99"/>
    <w:rsid w:val="003B62E4"/>
    <w:pPr>
      <w:spacing w:line="360" w:lineRule="auto"/>
      <w:ind w:firstLine="210"/>
      <w:jc w:val="both"/>
    </w:pPr>
    <w:rPr>
      <w:rFonts w:ascii="Calibri" w:hAnsi="Calibri"/>
      <w:sz w:val="26"/>
    </w:rPr>
  </w:style>
  <w:style w:type="character" w:customStyle="1" w:styleId="TextoindependienteprimerasangraCar">
    <w:name w:val="Texto independiente primera sangría Car"/>
    <w:basedOn w:val="TextoindependienteCar"/>
    <w:link w:val="Textoindependienteprimerasangra"/>
    <w:uiPriority w:val="99"/>
    <w:rsid w:val="003B62E4"/>
    <w:rPr>
      <w:rFonts w:ascii="Calibri" w:eastAsia="Times New Roman" w:hAnsi="Calibri" w:cs="Times New Roman"/>
      <w:sz w:val="26"/>
      <w:szCs w:val="24"/>
      <w:lang w:eastAsia="es-ES"/>
    </w:rPr>
  </w:style>
  <w:style w:type="paragraph" w:styleId="Piedepgina">
    <w:name w:val="footer"/>
    <w:basedOn w:val="Normal"/>
    <w:link w:val="PiedepginaCar"/>
    <w:uiPriority w:val="99"/>
    <w:unhideWhenUsed/>
    <w:rsid w:val="00D1312B"/>
    <w:pPr>
      <w:tabs>
        <w:tab w:val="center" w:pos="4419"/>
        <w:tab w:val="right" w:pos="8838"/>
      </w:tabs>
    </w:pPr>
  </w:style>
  <w:style w:type="character" w:customStyle="1" w:styleId="PiedepginaCar">
    <w:name w:val="Pie de página Car"/>
    <w:basedOn w:val="Fuentedeprrafopredeter"/>
    <w:link w:val="Piedepgina"/>
    <w:uiPriority w:val="99"/>
    <w:rsid w:val="00D1312B"/>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22AD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22ADA"/>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27DF95-5193-4E6C-8752-F007D578A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1650</Words>
  <Characters>9080</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FATIMA</dc:creator>
  <cp:lastModifiedBy>Ponencia3</cp:lastModifiedBy>
  <cp:revision>2</cp:revision>
  <cp:lastPrinted>2023-03-23T19:53:00Z</cp:lastPrinted>
  <dcterms:created xsi:type="dcterms:W3CDTF">2023-03-23T19:53:00Z</dcterms:created>
  <dcterms:modified xsi:type="dcterms:W3CDTF">2023-03-23T19:53:00Z</dcterms:modified>
</cp:coreProperties>
</file>