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C1B" w:rsidRPr="00613C04" w:rsidRDefault="00613C04">
      <w:pPr>
        <w:rPr>
          <w:sz w:val="44"/>
          <w:szCs w:val="44"/>
        </w:rPr>
      </w:pPr>
      <w:r w:rsidRPr="00613C04">
        <w:rPr>
          <w:sz w:val="44"/>
          <w:szCs w:val="44"/>
        </w:rPr>
        <w:t>No se genera información a publicar corresponderá a las donaciones en especie bienes muebles o inmuebles entregadas a terceros e incluirá los hipervínculos a los correspondientes contratos de</w:t>
      </w:r>
      <w:bookmarkStart w:id="0" w:name="_GoBack"/>
      <w:bookmarkEnd w:id="0"/>
      <w:r w:rsidRPr="00613C04">
        <w:rPr>
          <w:sz w:val="44"/>
          <w:szCs w:val="44"/>
        </w:rPr>
        <w:t xml:space="preserve"> donación</w:t>
      </w:r>
    </w:p>
    <w:sectPr w:rsidR="009B3C1B" w:rsidRPr="00613C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04"/>
    <w:rsid w:val="00613C04"/>
    <w:rsid w:val="009B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64E93C-0C85-4114-A953-425E7115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2021-12-09T20:50:00Z</dcterms:created>
  <dcterms:modified xsi:type="dcterms:W3CDTF">2021-12-09T20:51:00Z</dcterms:modified>
</cp:coreProperties>
</file>