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8561CB" w14:textId="1ABFEB80" w:rsidR="00C843FB" w:rsidRPr="00285F0D" w:rsidRDefault="00C843FB" w:rsidP="00C843FB">
      <w:pPr>
        <w:pStyle w:val="corte1datos"/>
        <w:jc w:val="right"/>
        <w:rPr>
          <w:rFonts w:eastAsia="Arial" w:cs="Arial"/>
          <w:color w:val="5B9BD5" w:themeColor="accent1"/>
          <w:sz w:val="24"/>
          <w:szCs w:val="24"/>
        </w:rPr>
      </w:pPr>
      <w:bookmarkStart w:id="0" w:name="_GoBack"/>
      <w:bookmarkEnd w:id="0"/>
      <w:r w:rsidRPr="00285F0D">
        <w:rPr>
          <w:rFonts w:eastAsia="Arial" w:cs="Arial"/>
          <w:color w:val="5B9BD5" w:themeColor="accent1"/>
          <w:sz w:val="24"/>
          <w:szCs w:val="24"/>
        </w:rPr>
        <w:t xml:space="preserve">  RECURSO DE REVISIÓN </w:t>
      </w:r>
      <w:r w:rsidR="00E85217" w:rsidRPr="00285F0D">
        <w:rPr>
          <w:rFonts w:eastAsia="Arial" w:cs="Arial"/>
          <w:color w:val="5B9BD5" w:themeColor="accent1"/>
          <w:sz w:val="24"/>
          <w:szCs w:val="24"/>
        </w:rPr>
        <w:t>1058</w:t>
      </w:r>
      <w:r w:rsidR="00031A9B" w:rsidRPr="00285F0D">
        <w:rPr>
          <w:rFonts w:eastAsia="Arial" w:cs="Arial"/>
          <w:color w:val="5B9BD5" w:themeColor="accent1"/>
          <w:sz w:val="24"/>
          <w:szCs w:val="24"/>
        </w:rPr>
        <w:t>/2019-2</w:t>
      </w:r>
      <w:r w:rsidRPr="00285F0D">
        <w:rPr>
          <w:rFonts w:eastAsia="Arial" w:cs="Arial"/>
          <w:color w:val="5B9BD5" w:themeColor="accent1"/>
          <w:sz w:val="24"/>
          <w:szCs w:val="24"/>
        </w:rPr>
        <w:t xml:space="preserve"> </w:t>
      </w:r>
      <w:r w:rsidR="00031A9B" w:rsidRPr="00285F0D">
        <w:rPr>
          <w:rFonts w:eastAsia="Arial" w:cs="Arial"/>
          <w:color w:val="5B9BD5" w:themeColor="accent1"/>
          <w:sz w:val="24"/>
          <w:szCs w:val="24"/>
        </w:rPr>
        <w:t>PNT</w:t>
      </w:r>
      <w:r w:rsidRPr="00285F0D">
        <w:rPr>
          <w:rFonts w:eastAsia="Arial" w:cs="Arial"/>
          <w:color w:val="5B9BD5" w:themeColor="accent1"/>
          <w:sz w:val="24"/>
          <w:szCs w:val="24"/>
        </w:rPr>
        <w:t>.</w:t>
      </w:r>
    </w:p>
    <w:p w14:paraId="75055FE4" w14:textId="77777777" w:rsidR="00C843FB" w:rsidRPr="00285F0D" w:rsidRDefault="00C843FB" w:rsidP="00C843FB">
      <w:pPr>
        <w:spacing w:after="0" w:line="240" w:lineRule="auto"/>
        <w:ind w:left="2552"/>
        <w:jc w:val="right"/>
        <w:rPr>
          <w:rFonts w:ascii="Arial" w:eastAsia="Arial" w:hAnsi="Arial" w:cs="Arial"/>
          <w:b/>
          <w:bCs/>
          <w:caps/>
          <w:color w:val="5B9BD5" w:themeColor="accent1"/>
          <w:sz w:val="24"/>
          <w:szCs w:val="24"/>
        </w:rPr>
      </w:pPr>
    </w:p>
    <w:p w14:paraId="6A3CA20A" w14:textId="77777777" w:rsidR="00C843FB" w:rsidRPr="00285F0D" w:rsidRDefault="00C843FB" w:rsidP="00C843FB">
      <w:pPr>
        <w:pStyle w:val="corte2ponente"/>
        <w:jc w:val="right"/>
        <w:rPr>
          <w:rFonts w:eastAsia="Arial" w:cs="Arial"/>
          <w:color w:val="5B9BD5" w:themeColor="accent1"/>
          <w:sz w:val="24"/>
          <w:szCs w:val="24"/>
        </w:rPr>
      </w:pPr>
      <w:r w:rsidRPr="00285F0D">
        <w:rPr>
          <w:rFonts w:eastAsia="Arial" w:cs="Arial"/>
          <w:color w:val="5B9BD5" w:themeColor="accent1"/>
          <w:sz w:val="24"/>
          <w:szCs w:val="24"/>
        </w:rPr>
        <w:t xml:space="preserve">COMISIONADO PONENTE: </w:t>
      </w:r>
    </w:p>
    <w:p w14:paraId="33215AE3" w14:textId="77777777" w:rsidR="00C843FB" w:rsidRPr="00285F0D" w:rsidRDefault="00C843FB" w:rsidP="00C843FB">
      <w:pPr>
        <w:pStyle w:val="corte2ponente"/>
        <w:jc w:val="right"/>
        <w:rPr>
          <w:rFonts w:eastAsia="Arial" w:cs="Arial"/>
          <w:color w:val="5B9BD5" w:themeColor="accent1"/>
          <w:sz w:val="24"/>
          <w:szCs w:val="24"/>
        </w:rPr>
      </w:pPr>
      <w:r w:rsidRPr="00285F0D">
        <w:rPr>
          <w:rFonts w:eastAsia="Arial" w:cs="Arial"/>
          <w:color w:val="5B9BD5" w:themeColor="accent1"/>
          <w:sz w:val="24"/>
          <w:szCs w:val="24"/>
        </w:rPr>
        <w:t>LIC. PAULINA SÁNCHEZ PÉREZ DEL POZO</w:t>
      </w:r>
    </w:p>
    <w:p w14:paraId="21A8769B" w14:textId="77777777" w:rsidR="00C843FB" w:rsidRPr="00285F0D" w:rsidRDefault="00C843FB" w:rsidP="00C843FB">
      <w:pPr>
        <w:spacing w:after="0" w:line="240" w:lineRule="auto"/>
        <w:jc w:val="right"/>
        <w:rPr>
          <w:rFonts w:ascii="Arial" w:eastAsia="Arial" w:hAnsi="Arial" w:cs="Arial"/>
          <w:b/>
          <w:bCs/>
          <w:caps/>
          <w:color w:val="5B9BD5" w:themeColor="accent1"/>
          <w:sz w:val="24"/>
          <w:szCs w:val="24"/>
        </w:rPr>
      </w:pPr>
    </w:p>
    <w:p w14:paraId="56DADE5E" w14:textId="77777777" w:rsidR="00C843FB" w:rsidRPr="00285F0D" w:rsidRDefault="00C843FB" w:rsidP="00C843FB">
      <w:pPr>
        <w:pStyle w:val="corte2ponente"/>
        <w:jc w:val="right"/>
        <w:rPr>
          <w:rFonts w:eastAsia="Arial" w:cs="Arial"/>
          <w:color w:val="5B9BD5" w:themeColor="accent1"/>
          <w:sz w:val="24"/>
          <w:szCs w:val="24"/>
        </w:rPr>
      </w:pPr>
      <w:r w:rsidRPr="00285F0D">
        <w:rPr>
          <w:rFonts w:eastAsia="Arial" w:cs="Arial"/>
          <w:color w:val="5B9BD5" w:themeColor="accent1"/>
          <w:sz w:val="24"/>
          <w:szCs w:val="24"/>
        </w:rPr>
        <w:t>ENTE OBLIGADO:</w:t>
      </w:r>
    </w:p>
    <w:p w14:paraId="25918F9F" w14:textId="01C0E28E" w:rsidR="00C843FB" w:rsidRPr="00285F0D" w:rsidRDefault="00E85217" w:rsidP="00C843FB">
      <w:pPr>
        <w:pStyle w:val="corte2ponente"/>
        <w:ind w:left="708" w:hanging="708"/>
        <w:jc w:val="right"/>
        <w:rPr>
          <w:rFonts w:eastAsia="Arial" w:cs="Arial"/>
          <w:color w:val="5B9BD5" w:themeColor="accent1"/>
          <w:sz w:val="24"/>
          <w:szCs w:val="24"/>
        </w:rPr>
      </w:pPr>
      <w:r w:rsidRPr="00285F0D">
        <w:rPr>
          <w:rFonts w:eastAsia="Arial" w:cs="Arial"/>
          <w:color w:val="5B9BD5" w:themeColor="accent1"/>
          <w:sz w:val="24"/>
          <w:szCs w:val="24"/>
        </w:rPr>
        <w:t>COORDINACIÓN GENERAL DE PROTECCIÓN CIVIL DEL ESTADO</w:t>
      </w:r>
      <w:r w:rsidR="00C843FB" w:rsidRPr="00285F0D">
        <w:rPr>
          <w:rFonts w:eastAsia="Arial" w:cs="Arial"/>
          <w:color w:val="5B9BD5" w:themeColor="accent1"/>
          <w:sz w:val="24"/>
          <w:szCs w:val="24"/>
        </w:rPr>
        <w:t>.</w:t>
      </w:r>
    </w:p>
    <w:p w14:paraId="5C3F8793" w14:textId="0C7C0EA3" w:rsidR="00C843FB" w:rsidRPr="00285F0D" w:rsidRDefault="00C843FB" w:rsidP="00C843FB">
      <w:pPr>
        <w:spacing w:after="0" w:line="240" w:lineRule="auto"/>
        <w:rPr>
          <w:rFonts w:ascii="Arial" w:eastAsia="Arial" w:hAnsi="Arial" w:cs="Arial"/>
          <w:b/>
          <w:bCs/>
          <w:caps/>
          <w:color w:val="5B9BD5" w:themeColor="accent1"/>
          <w:sz w:val="24"/>
          <w:szCs w:val="24"/>
        </w:rPr>
      </w:pPr>
    </w:p>
    <w:p w14:paraId="0C40F0D1" w14:textId="5762F9B8" w:rsidR="00C843FB" w:rsidRDefault="00C843FB" w:rsidP="00C843FB">
      <w:pPr>
        <w:spacing w:after="0" w:line="240" w:lineRule="auto"/>
        <w:rPr>
          <w:rFonts w:ascii="Arial" w:eastAsia="Arial" w:hAnsi="Arial" w:cs="Arial"/>
          <w:b/>
          <w:bCs/>
          <w:caps/>
          <w:color w:val="5B9BD5" w:themeColor="accent1"/>
          <w:sz w:val="24"/>
          <w:szCs w:val="24"/>
        </w:rPr>
      </w:pPr>
    </w:p>
    <w:p w14:paraId="0B12F29F" w14:textId="77777777" w:rsidR="00C11394" w:rsidRPr="00285F0D" w:rsidRDefault="00C11394" w:rsidP="00C843FB">
      <w:pPr>
        <w:spacing w:after="0" w:line="240" w:lineRule="auto"/>
        <w:rPr>
          <w:rFonts w:ascii="Arial" w:eastAsia="Arial" w:hAnsi="Arial" w:cs="Arial"/>
          <w:b/>
          <w:bCs/>
          <w:caps/>
          <w:color w:val="5B9BD5" w:themeColor="accent1"/>
          <w:sz w:val="24"/>
          <w:szCs w:val="24"/>
        </w:rPr>
      </w:pPr>
    </w:p>
    <w:p w14:paraId="3263304F" w14:textId="6513ABA5"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color w:val="5B9BD5" w:themeColor="accent1"/>
          <w:sz w:val="22"/>
          <w:szCs w:val="22"/>
        </w:rPr>
        <w:t xml:space="preserve">San Luis Potosí, San Luis Potosí. Acuerdo del Pleno de la Comisión Estatal de Garantía de Acceso a la Información Pública, correspondiente a la Sesión Extraordinaria </w:t>
      </w:r>
      <w:r w:rsidR="00E85217" w:rsidRPr="00C11394">
        <w:rPr>
          <w:rFonts w:eastAsia="Arial" w:cs="Arial"/>
          <w:color w:val="5B9BD5" w:themeColor="accent1"/>
          <w:sz w:val="22"/>
          <w:szCs w:val="22"/>
        </w:rPr>
        <w:t>25</w:t>
      </w:r>
      <w:r w:rsidR="00031A9B" w:rsidRPr="00C11394">
        <w:rPr>
          <w:rFonts w:eastAsia="Arial" w:cs="Arial"/>
          <w:color w:val="5B9BD5" w:themeColor="accent1"/>
          <w:sz w:val="22"/>
          <w:szCs w:val="22"/>
        </w:rPr>
        <w:t xml:space="preserve"> </w:t>
      </w:r>
      <w:r w:rsidR="00E85217" w:rsidRPr="00C11394">
        <w:rPr>
          <w:rFonts w:eastAsia="Arial" w:cs="Arial"/>
          <w:color w:val="5B9BD5" w:themeColor="accent1"/>
          <w:sz w:val="22"/>
          <w:szCs w:val="22"/>
        </w:rPr>
        <w:t>veinticinco</w:t>
      </w:r>
      <w:r w:rsidR="00031A9B" w:rsidRPr="00C11394">
        <w:rPr>
          <w:rFonts w:eastAsia="Arial" w:cs="Arial"/>
          <w:color w:val="5B9BD5" w:themeColor="accent1"/>
          <w:sz w:val="22"/>
          <w:szCs w:val="22"/>
        </w:rPr>
        <w:t xml:space="preserve"> de septiembre de 2019 dos mil diecinueve</w:t>
      </w:r>
      <w:r w:rsidRPr="00C11394">
        <w:rPr>
          <w:rFonts w:eastAsia="Arial" w:cs="Arial"/>
          <w:color w:val="5B9BD5" w:themeColor="accent1"/>
          <w:sz w:val="22"/>
          <w:szCs w:val="22"/>
        </w:rPr>
        <w:t xml:space="preserve">. </w:t>
      </w:r>
      <w:r w:rsidRPr="00C11394">
        <w:rPr>
          <w:rFonts w:eastAsia="Arial" w:cs="Arial"/>
          <w:b/>
          <w:bCs/>
          <w:color w:val="5B9BD5" w:themeColor="accent1"/>
          <w:sz w:val="22"/>
          <w:szCs w:val="22"/>
          <w:vertAlign w:val="subscript"/>
        </w:rPr>
        <w:t xml:space="preserve"> </w:t>
      </w:r>
    </w:p>
    <w:p w14:paraId="22410AE3" w14:textId="70F26B04" w:rsidR="00C843FB" w:rsidRDefault="00C843FB" w:rsidP="00C843FB">
      <w:pPr>
        <w:spacing w:after="0" w:line="240" w:lineRule="auto"/>
        <w:ind w:firstLine="709"/>
        <w:jc w:val="both"/>
        <w:rPr>
          <w:rFonts w:ascii="Arial" w:eastAsia="Arial" w:hAnsi="Arial" w:cs="Arial"/>
          <w:color w:val="5B9BD5" w:themeColor="accent1"/>
        </w:rPr>
      </w:pPr>
    </w:p>
    <w:p w14:paraId="1F006D92" w14:textId="77777777" w:rsidR="00C11394" w:rsidRPr="00C11394" w:rsidRDefault="00C11394" w:rsidP="00C843FB">
      <w:pPr>
        <w:spacing w:after="0" w:line="240" w:lineRule="auto"/>
        <w:ind w:firstLine="709"/>
        <w:jc w:val="both"/>
        <w:rPr>
          <w:rFonts w:ascii="Arial" w:eastAsia="Arial" w:hAnsi="Arial" w:cs="Arial"/>
          <w:color w:val="5B9BD5" w:themeColor="accent1"/>
        </w:rPr>
      </w:pPr>
    </w:p>
    <w:p w14:paraId="344B652E" w14:textId="13A8DB7E"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VISTOS</w:t>
      </w:r>
      <w:r w:rsidRPr="00C11394">
        <w:rPr>
          <w:rFonts w:eastAsia="Arial" w:cs="Arial"/>
          <w:color w:val="5B9BD5" w:themeColor="accent1"/>
          <w:sz w:val="22"/>
          <w:szCs w:val="22"/>
        </w:rPr>
        <w:t>, para resolver, los autos del recurso de revisión identificado al rubro; y</w:t>
      </w:r>
    </w:p>
    <w:p w14:paraId="4B7570D3" w14:textId="6E7829EA" w:rsidR="00C843FB" w:rsidRDefault="00C843FB" w:rsidP="00C843FB">
      <w:pPr>
        <w:spacing w:after="0" w:line="240" w:lineRule="auto"/>
        <w:ind w:firstLine="709"/>
        <w:jc w:val="both"/>
        <w:rPr>
          <w:rFonts w:ascii="Arial" w:eastAsia="Arial" w:hAnsi="Arial" w:cs="Arial"/>
          <w:color w:val="5B9BD5" w:themeColor="accent1"/>
        </w:rPr>
      </w:pPr>
    </w:p>
    <w:p w14:paraId="12ECF8D6" w14:textId="77777777" w:rsidR="00C11394" w:rsidRPr="00C11394" w:rsidRDefault="00C11394" w:rsidP="00C843FB">
      <w:pPr>
        <w:spacing w:after="0" w:line="240" w:lineRule="auto"/>
        <w:ind w:firstLine="709"/>
        <w:jc w:val="both"/>
        <w:rPr>
          <w:rFonts w:ascii="Arial" w:eastAsia="Arial" w:hAnsi="Arial" w:cs="Arial"/>
          <w:color w:val="5B9BD5" w:themeColor="accent1"/>
        </w:rPr>
      </w:pPr>
    </w:p>
    <w:p w14:paraId="164443BA" w14:textId="2812E2EA" w:rsidR="00C843FB" w:rsidRDefault="00C843FB" w:rsidP="00C843FB">
      <w:pPr>
        <w:pStyle w:val="corte4fondo"/>
        <w:spacing w:line="240" w:lineRule="auto"/>
        <w:jc w:val="center"/>
        <w:rPr>
          <w:rFonts w:eastAsia="Arial" w:cs="Arial"/>
          <w:color w:val="5B9BD5" w:themeColor="accent1"/>
          <w:sz w:val="22"/>
          <w:szCs w:val="22"/>
        </w:rPr>
      </w:pPr>
      <w:r w:rsidRPr="00C11394">
        <w:rPr>
          <w:rFonts w:eastAsia="Arial" w:cs="Arial"/>
          <w:b/>
          <w:bCs/>
          <w:color w:val="5B9BD5" w:themeColor="accent1"/>
          <w:sz w:val="22"/>
          <w:szCs w:val="22"/>
        </w:rPr>
        <w:t>R E S U L T A N D O</w:t>
      </w:r>
      <w:r w:rsidRPr="00C11394">
        <w:rPr>
          <w:rFonts w:eastAsia="Arial" w:cs="Arial"/>
          <w:color w:val="5B9BD5" w:themeColor="accent1"/>
          <w:sz w:val="22"/>
          <w:szCs w:val="22"/>
        </w:rPr>
        <w:t>:</w:t>
      </w:r>
    </w:p>
    <w:p w14:paraId="7797F52F" w14:textId="77777777" w:rsidR="00C11394" w:rsidRPr="00C11394" w:rsidRDefault="00C11394" w:rsidP="00C843FB">
      <w:pPr>
        <w:pStyle w:val="corte4fondo"/>
        <w:spacing w:line="240" w:lineRule="auto"/>
        <w:jc w:val="center"/>
        <w:rPr>
          <w:rFonts w:eastAsia="Arial" w:cs="Arial"/>
          <w:color w:val="5B9BD5" w:themeColor="accent1"/>
          <w:sz w:val="22"/>
          <w:szCs w:val="22"/>
        </w:rPr>
      </w:pPr>
    </w:p>
    <w:p w14:paraId="53E6E4F3" w14:textId="77777777" w:rsidR="00C843FB" w:rsidRPr="00C11394" w:rsidRDefault="00C843FB" w:rsidP="00C843FB">
      <w:pPr>
        <w:spacing w:after="0" w:line="240" w:lineRule="auto"/>
        <w:ind w:firstLine="709"/>
        <w:jc w:val="center"/>
        <w:rPr>
          <w:rFonts w:ascii="Arial" w:eastAsia="Arial" w:hAnsi="Arial" w:cs="Arial"/>
          <w:color w:val="5B9BD5" w:themeColor="accent1"/>
        </w:rPr>
      </w:pPr>
    </w:p>
    <w:p w14:paraId="5BEA28D3" w14:textId="2DBB6289"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PRIMERO. Solicitud de acceso a la información pública.</w:t>
      </w:r>
      <w:r w:rsidRPr="00C11394">
        <w:rPr>
          <w:rFonts w:eastAsia="Arial" w:cs="Arial"/>
          <w:color w:val="5B9BD5" w:themeColor="accent1"/>
          <w:sz w:val="22"/>
          <w:szCs w:val="22"/>
        </w:rPr>
        <w:t xml:space="preserve"> Según consta en la Plataforma Nacional de Transparencia con folio </w:t>
      </w:r>
      <w:r w:rsidR="00E85217" w:rsidRPr="00C11394">
        <w:rPr>
          <w:rFonts w:eastAsia="Arial" w:cs="Arial"/>
          <w:color w:val="5B9BD5" w:themeColor="accent1"/>
          <w:sz w:val="22"/>
          <w:szCs w:val="22"/>
        </w:rPr>
        <w:t>00555219</w:t>
      </w:r>
      <w:r w:rsidRPr="00C11394">
        <w:rPr>
          <w:rFonts w:eastAsia="Arial" w:cs="Arial"/>
          <w:color w:val="5B9BD5" w:themeColor="accent1"/>
          <w:sz w:val="22"/>
          <w:szCs w:val="22"/>
        </w:rPr>
        <w:t xml:space="preserve"> el </w:t>
      </w:r>
      <w:r w:rsidR="00E85217" w:rsidRPr="00C11394">
        <w:rPr>
          <w:rFonts w:eastAsia="Arial" w:cs="Arial"/>
          <w:color w:val="5B9BD5" w:themeColor="accent1"/>
          <w:sz w:val="22"/>
          <w:szCs w:val="22"/>
        </w:rPr>
        <w:t>30 treinta</w:t>
      </w:r>
      <w:r w:rsidR="00031A9B" w:rsidRPr="00C11394">
        <w:rPr>
          <w:rFonts w:eastAsia="Arial" w:cs="Arial"/>
          <w:color w:val="5B9BD5" w:themeColor="accent1"/>
          <w:sz w:val="22"/>
          <w:szCs w:val="22"/>
        </w:rPr>
        <w:t xml:space="preserve"> de abril</w:t>
      </w:r>
      <w:r w:rsidRPr="00C11394">
        <w:rPr>
          <w:rFonts w:eastAsia="Arial" w:cs="Arial"/>
          <w:color w:val="5B9BD5" w:themeColor="accent1"/>
          <w:sz w:val="22"/>
          <w:szCs w:val="22"/>
        </w:rPr>
        <w:t xml:space="preserve"> de 20</w:t>
      </w:r>
      <w:r w:rsidR="00B75AC2" w:rsidRPr="00C11394">
        <w:rPr>
          <w:rFonts w:eastAsia="Arial" w:cs="Arial"/>
          <w:color w:val="5B9BD5" w:themeColor="accent1"/>
          <w:sz w:val="22"/>
          <w:szCs w:val="22"/>
        </w:rPr>
        <w:t>19</w:t>
      </w:r>
      <w:r w:rsidRPr="00C11394">
        <w:rPr>
          <w:rFonts w:eastAsia="Arial" w:cs="Arial"/>
          <w:color w:val="5B9BD5" w:themeColor="accent1"/>
          <w:sz w:val="22"/>
          <w:szCs w:val="22"/>
        </w:rPr>
        <w:t xml:space="preserve"> dos mil </w:t>
      </w:r>
      <w:r w:rsidR="00B75AC2" w:rsidRPr="00C11394">
        <w:rPr>
          <w:rFonts w:eastAsia="Arial" w:cs="Arial"/>
          <w:color w:val="5B9BD5" w:themeColor="accent1"/>
          <w:sz w:val="22"/>
          <w:szCs w:val="22"/>
        </w:rPr>
        <w:t>diecinueve</w:t>
      </w:r>
      <w:r w:rsidRPr="00C11394">
        <w:rPr>
          <w:rFonts w:eastAsia="Arial" w:cs="Arial"/>
          <w:color w:val="5B9BD5" w:themeColor="accent1"/>
          <w:sz w:val="22"/>
          <w:szCs w:val="22"/>
        </w:rPr>
        <w:t xml:space="preserve"> la </w:t>
      </w:r>
      <w:r w:rsidR="00E85217" w:rsidRPr="00C11394">
        <w:rPr>
          <w:rFonts w:eastAsia="Arial" w:cs="Arial"/>
          <w:color w:val="5B9BD5" w:themeColor="accent1"/>
          <w:sz w:val="22"/>
          <w:szCs w:val="22"/>
        </w:rPr>
        <w:t>COORDINACIÓN GENERAL DE PROTECCIÓN CIVIL DEL ESTADO</w:t>
      </w:r>
      <w:r w:rsidRPr="00C11394">
        <w:rPr>
          <w:rFonts w:eastAsia="Arial" w:cs="Arial"/>
          <w:color w:val="5B9BD5" w:themeColor="accent1"/>
          <w:sz w:val="22"/>
          <w:szCs w:val="22"/>
        </w:rPr>
        <w:t>, recibió una solicitud de acceso a la información requiriendo lo siguiente:</w:t>
      </w:r>
    </w:p>
    <w:p w14:paraId="412D0BBB" w14:textId="45A110E3" w:rsidR="00C843FB" w:rsidRPr="00C11394" w:rsidRDefault="00C843FB" w:rsidP="00C843FB">
      <w:pPr>
        <w:spacing w:after="0" w:line="240" w:lineRule="auto"/>
        <w:ind w:firstLine="709"/>
        <w:jc w:val="both"/>
        <w:rPr>
          <w:rFonts w:ascii="Arial" w:eastAsia="Arial" w:hAnsi="Arial" w:cs="Arial"/>
          <w:color w:val="5B9BD5" w:themeColor="accent1"/>
        </w:rPr>
      </w:pPr>
    </w:p>
    <w:p w14:paraId="6FA880A6" w14:textId="77777777" w:rsidR="00E85217" w:rsidRPr="00C11394" w:rsidRDefault="00C843FB" w:rsidP="00E85217">
      <w:pPr>
        <w:pStyle w:val="corte4fondo"/>
        <w:spacing w:line="240" w:lineRule="auto"/>
        <w:ind w:left="709" w:right="900"/>
        <w:rPr>
          <w:rFonts w:eastAsia="Arial" w:cs="Arial"/>
          <w:i/>
          <w:iCs/>
          <w:color w:val="5B9BD5" w:themeColor="accent1"/>
          <w:sz w:val="22"/>
          <w:szCs w:val="22"/>
        </w:rPr>
      </w:pPr>
      <w:r w:rsidRPr="00C11394">
        <w:rPr>
          <w:rFonts w:eastAsia="Arial" w:cs="Arial"/>
          <w:i/>
          <w:iCs/>
          <w:color w:val="5B9BD5" w:themeColor="accent1"/>
          <w:sz w:val="22"/>
          <w:szCs w:val="22"/>
        </w:rPr>
        <w:t>“</w:t>
      </w:r>
      <w:r w:rsidR="00E85217" w:rsidRPr="00C11394">
        <w:rPr>
          <w:rFonts w:eastAsia="Arial" w:cs="Arial"/>
          <w:i/>
          <w:iCs/>
          <w:color w:val="5B9BD5" w:themeColor="accent1"/>
          <w:sz w:val="22"/>
          <w:szCs w:val="22"/>
        </w:rPr>
        <w:t>1- que se me informe cuanto dinero fue destinado para la atención de la DECLARATORIA de Emergencia Extraordinaria por la presencia de onda cálida ocurrida del 23 al 26 de julio de 2018, en 19 municipios del Estado de San Luis Potosí.</w:t>
      </w:r>
    </w:p>
    <w:p w14:paraId="2E5C5A84" w14:textId="77777777" w:rsidR="00E85217" w:rsidRPr="00C11394" w:rsidRDefault="00E85217" w:rsidP="00E85217">
      <w:pPr>
        <w:pStyle w:val="corte4fondo"/>
        <w:spacing w:line="240" w:lineRule="auto"/>
        <w:ind w:left="709" w:right="900"/>
        <w:rPr>
          <w:rFonts w:eastAsia="Arial" w:cs="Arial"/>
          <w:i/>
          <w:iCs/>
          <w:color w:val="5B9BD5" w:themeColor="accent1"/>
          <w:sz w:val="22"/>
          <w:szCs w:val="22"/>
        </w:rPr>
      </w:pPr>
      <w:r w:rsidRPr="00C11394">
        <w:rPr>
          <w:rFonts w:eastAsia="Arial" w:cs="Arial"/>
          <w:i/>
          <w:iCs/>
          <w:color w:val="5B9BD5" w:themeColor="accent1"/>
          <w:sz w:val="22"/>
          <w:szCs w:val="22"/>
        </w:rPr>
        <w:t>2. que se informe De la declaratoria de Emergencia Extraordinaria por la presencia de onda cálida ocurrida del 23 al 26 de julio de 2018, en 19 municipios del Estado de San Luis Potosí, cuantos recursos fueron entregados al municipio de san ciro de acosta, en que consistieron los recursos entregados, a quienes fueron entregados y se me proporcione una copia de  recibido de los recursos entregados.</w:t>
      </w:r>
    </w:p>
    <w:p w14:paraId="2CCB0168" w14:textId="28093752" w:rsidR="00C843FB" w:rsidRPr="00C11394" w:rsidRDefault="00E85217" w:rsidP="00E85217">
      <w:pPr>
        <w:pStyle w:val="corte4fondo"/>
        <w:spacing w:line="240" w:lineRule="auto"/>
        <w:ind w:left="709" w:right="900" w:firstLine="0"/>
        <w:rPr>
          <w:rFonts w:eastAsia="Arial" w:cs="Arial"/>
          <w:color w:val="5B9BD5" w:themeColor="accent1"/>
          <w:sz w:val="22"/>
          <w:szCs w:val="22"/>
        </w:rPr>
      </w:pPr>
      <w:r w:rsidRPr="00C11394">
        <w:rPr>
          <w:rFonts w:eastAsia="Arial" w:cs="Arial"/>
          <w:i/>
          <w:iCs/>
          <w:color w:val="5B9BD5" w:themeColor="accent1"/>
          <w:sz w:val="22"/>
          <w:szCs w:val="22"/>
        </w:rPr>
        <w:t>3- Que la información que se me proporcione no incurra en lo especificado en el capitulo III articulo 97 fraccion IV Y V de la Ley  de Transparencia y Acceso a la Información Pública del Estado de San Luis Potosí.</w:t>
      </w:r>
      <w:r w:rsidR="00C843FB" w:rsidRPr="00C11394">
        <w:rPr>
          <w:rFonts w:eastAsia="Arial" w:cs="Arial"/>
          <w:i/>
          <w:iCs/>
          <w:color w:val="5B9BD5" w:themeColor="accent1"/>
          <w:sz w:val="22"/>
          <w:szCs w:val="22"/>
        </w:rPr>
        <w:t xml:space="preserve">” (sic). </w:t>
      </w:r>
    </w:p>
    <w:p w14:paraId="0301AC8E" w14:textId="7007153C" w:rsidR="00C843FB" w:rsidRPr="00C11394" w:rsidRDefault="00C843FB" w:rsidP="00C843FB">
      <w:pPr>
        <w:spacing w:after="0" w:line="240" w:lineRule="auto"/>
        <w:ind w:firstLine="709"/>
        <w:jc w:val="both"/>
        <w:rPr>
          <w:rFonts w:ascii="Arial" w:eastAsia="Arial" w:hAnsi="Arial" w:cs="Arial"/>
          <w:color w:val="5B9BD5" w:themeColor="accent1"/>
        </w:rPr>
      </w:pPr>
    </w:p>
    <w:p w14:paraId="724578C8" w14:textId="0749A3EC"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SEGUNDO. Respuesta a la solicitud de acceso a la información pública.</w:t>
      </w:r>
      <w:r w:rsidRPr="00C11394">
        <w:rPr>
          <w:rFonts w:eastAsia="Arial" w:cs="Arial"/>
          <w:color w:val="5B9BD5" w:themeColor="accent1"/>
          <w:sz w:val="22"/>
          <w:szCs w:val="22"/>
        </w:rPr>
        <w:t xml:space="preserve"> El </w:t>
      </w:r>
      <w:r w:rsidR="00E85217" w:rsidRPr="00C11394">
        <w:rPr>
          <w:rFonts w:eastAsia="Arial" w:cs="Arial"/>
          <w:color w:val="5B9BD5" w:themeColor="accent1"/>
          <w:sz w:val="22"/>
          <w:szCs w:val="22"/>
        </w:rPr>
        <w:t>08 ocho</w:t>
      </w:r>
      <w:r w:rsidR="00B75AC2" w:rsidRPr="00C11394">
        <w:rPr>
          <w:rFonts w:eastAsia="Arial" w:cs="Arial"/>
          <w:color w:val="5B9BD5" w:themeColor="accent1"/>
          <w:sz w:val="22"/>
          <w:szCs w:val="22"/>
        </w:rPr>
        <w:t xml:space="preserve"> de may</w:t>
      </w:r>
      <w:r w:rsidR="00B73CC4" w:rsidRPr="00C11394">
        <w:rPr>
          <w:rFonts w:eastAsia="Arial" w:cs="Arial"/>
          <w:color w:val="5B9BD5" w:themeColor="accent1"/>
          <w:sz w:val="22"/>
          <w:szCs w:val="22"/>
        </w:rPr>
        <w:t>o</w:t>
      </w:r>
      <w:r w:rsidRPr="00C11394">
        <w:rPr>
          <w:rFonts w:eastAsia="Arial" w:cs="Arial"/>
          <w:color w:val="5B9BD5" w:themeColor="accent1"/>
          <w:sz w:val="22"/>
          <w:szCs w:val="22"/>
        </w:rPr>
        <w:t xml:space="preserve"> de 201</w:t>
      </w:r>
      <w:r w:rsidR="00B75AC2" w:rsidRPr="00C11394">
        <w:rPr>
          <w:rFonts w:eastAsia="Arial" w:cs="Arial"/>
          <w:color w:val="5B9BD5" w:themeColor="accent1"/>
          <w:sz w:val="22"/>
          <w:szCs w:val="22"/>
        </w:rPr>
        <w:t>9</w:t>
      </w:r>
      <w:r w:rsidRPr="00C11394">
        <w:rPr>
          <w:rFonts w:eastAsia="Arial" w:cs="Arial"/>
          <w:color w:val="5B9BD5" w:themeColor="accent1"/>
          <w:sz w:val="22"/>
          <w:szCs w:val="22"/>
        </w:rPr>
        <w:t xml:space="preserve"> dos mil </w:t>
      </w:r>
      <w:r w:rsidR="00B75AC2" w:rsidRPr="00C11394">
        <w:rPr>
          <w:rFonts w:eastAsia="Arial" w:cs="Arial"/>
          <w:color w:val="5B9BD5" w:themeColor="accent1"/>
          <w:sz w:val="22"/>
          <w:szCs w:val="22"/>
        </w:rPr>
        <w:t>diecinueve</w:t>
      </w:r>
      <w:r w:rsidRPr="00C11394">
        <w:rPr>
          <w:rFonts w:eastAsia="Arial" w:cs="Arial"/>
          <w:color w:val="5B9BD5" w:themeColor="accent1"/>
          <w:sz w:val="22"/>
          <w:szCs w:val="22"/>
        </w:rPr>
        <w:t>, el sujeto obligado consta que, a través de la Plataforma nacional de transparencia, otorgó respuesta al escrito de solicitud del recurrente de la manera siguiente:</w:t>
      </w:r>
    </w:p>
    <w:p w14:paraId="6E378F82" w14:textId="26F90921" w:rsidR="00C843FB" w:rsidRPr="00C11394" w:rsidRDefault="00C843FB" w:rsidP="00C843FB">
      <w:pPr>
        <w:spacing w:after="0" w:line="240" w:lineRule="auto"/>
        <w:ind w:firstLine="709"/>
        <w:jc w:val="both"/>
        <w:rPr>
          <w:rFonts w:ascii="Arial" w:eastAsia="Arial" w:hAnsi="Arial" w:cs="Arial"/>
          <w:color w:val="5B9BD5" w:themeColor="accent1"/>
        </w:rPr>
      </w:pPr>
    </w:p>
    <w:p w14:paraId="648972EC" w14:textId="2AD7F269" w:rsidR="00C843FB" w:rsidRPr="00C11394" w:rsidRDefault="00B73CC4" w:rsidP="00E85217">
      <w:pPr>
        <w:pStyle w:val="corte4fondo"/>
        <w:spacing w:line="240" w:lineRule="auto"/>
        <w:ind w:left="709" w:right="900" w:firstLine="0"/>
        <w:rPr>
          <w:rFonts w:eastAsia="Arial" w:cs="Arial"/>
          <w:i/>
          <w:iCs/>
          <w:color w:val="5B9BD5" w:themeColor="accent1"/>
          <w:sz w:val="22"/>
          <w:szCs w:val="22"/>
        </w:rPr>
      </w:pPr>
      <w:r w:rsidRPr="00C11394">
        <w:rPr>
          <w:rFonts w:eastAsia="Arial" w:cs="Arial"/>
          <w:i/>
          <w:iCs/>
          <w:color w:val="5B9BD5" w:themeColor="accent1"/>
          <w:sz w:val="22"/>
          <w:szCs w:val="22"/>
        </w:rPr>
        <w:t>“</w:t>
      </w:r>
      <w:r w:rsidR="00E85217" w:rsidRPr="00C11394">
        <w:rPr>
          <w:rFonts w:eastAsia="Arial" w:cs="Arial"/>
          <w:i/>
          <w:iCs/>
          <w:color w:val="5B9BD5" w:themeColor="accent1"/>
          <w:sz w:val="22"/>
          <w:szCs w:val="22"/>
        </w:rPr>
        <w:t>buena tarde, se adjunta información que solicito.</w:t>
      </w:r>
      <w:r w:rsidRPr="00C11394">
        <w:rPr>
          <w:rFonts w:eastAsia="Arial" w:cs="Arial"/>
          <w:i/>
          <w:iCs/>
          <w:color w:val="5B9BD5" w:themeColor="accent1"/>
          <w:sz w:val="22"/>
          <w:szCs w:val="22"/>
        </w:rPr>
        <w:t>”</w:t>
      </w:r>
      <w:r w:rsidR="00B75AC2" w:rsidRPr="00C11394">
        <w:rPr>
          <w:rFonts w:eastAsia="Arial" w:cs="Arial"/>
          <w:i/>
          <w:iCs/>
          <w:color w:val="5B9BD5" w:themeColor="accent1"/>
          <w:sz w:val="22"/>
          <w:szCs w:val="22"/>
        </w:rPr>
        <w:t xml:space="preserve"> (</w:t>
      </w:r>
      <w:r w:rsidR="00C843FB" w:rsidRPr="00C11394">
        <w:rPr>
          <w:rFonts w:eastAsia="Arial" w:cs="Arial"/>
          <w:i/>
          <w:iCs/>
          <w:color w:val="5B9BD5" w:themeColor="accent1"/>
          <w:sz w:val="22"/>
          <w:szCs w:val="22"/>
        </w:rPr>
        <w:t>sic</w:t>
      </w:r>
      <w:r w:rsidR="00B75AC2" w:rsidRPr="00C11394">
        <w:rPr>
          <w:rFonts w:eastAsia="Arial" w:cs="Arial"/>
          <w:i/>
          <w:iCs/>
          <w:color w:val="5B9BD5" w:themeColor="accent1"/>
          <w:sz w:val="22"/>
          <w:szCs w:val="22"/>
        </w:rPr>
        <w:t>)</w:t>
      </w:r>
      <w:r w:rsidR="00C843FB" w:rsidRPr="00C11394">
        <w:rPr>
          <w:rFonts w:eastAsia="Arial" w:cs="Arial"/>
          <w:i/>
          <w:iCs/>
          <w:color w:val="5B9BD5" w:themeColor="accent1"/>
          <w:sz w:val="22"/>
          <w:szCs w:val="22"/>
        </w:rPr>
        <w:t>.</w:t>
      </w:r>
    </w:p>
    <w:p w14:paraId="7C25FAEC" w14:textId="41BEECB7" w:rsidR="00B75AC2" w:rsidRPr="00C11394" w:rsidRDefault="00B75AC2" w:rsidP="00C843FB">
      <w:pPr>
        <w:pStyle w:val="corte4fondo"/>
        <w:spacing w:line="240" w:lineRule="auto"/>
        <w:rPr>
          <w:rFonts w:eastAsia="Arial" w:cs="Arial"/>
          <w:i/>
          <w:iCs/>
          <w:color w:val="5B9BD5" w:themeColor="accent1"/>
          <w:sz w:val="22"/>
          <w:szCs w:val="22"/>
        </w:rPr>
      </w:pPr>
    </w:p>
    <w:p w14:paraId="590C7E98"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4F617D29" w14:textId="3F4B59B3" w:rsidR="00C843FB" w:rsidRPr="00C11394" w:rsidRDefault="00C843FB" w:rsidP="00C843FB">
      <w:pPr>
        <w:pStyle w:val="corte4fondo"/>
        <w:tabs>
          <w:tab w:val="left" w:pos="5825"/>
        </w:tabs>
        <w:spacing w:line="240" w:lineRule="auto"/>
        <w:rPr>
          <w:rFonts w:eastAsia="Arial" w:cs="Arial"/>
          <w:color w:val="5B9BD5" w:themeColor="accent1"/>
          <w:sz w:val="22"/>
          <w:szCs w:val="22"/>
        </w:rPr>
      </w:pPr>
      <w:r w:rsidRPr="00C11394">
        <w:rPr>
          <w:rFonts w:eastAsia="Arial" w:cs="Arial"/>
          <w:b/>
          <w:bCs/>
          <w:color w:val="5B9BD5" w:themeColor="accent1"/>
          <w:sz w:val="22"/>
          <w:szCs w:val="22"/>
        </w:rPr>
        <w:t xml:space="preserve">TERCERO. Interposición del recurso. </w:t>
      </w:r>
      <w:r w:rsidRPr="00C11394">
        <w:rPr>
          <w:rFonts w:eastAsia="Arial" w:cs="Arial"/>
          <w:color w:val="5B9BD5" w:themeColor="accent1"/>
          <w:sz w:val="22"/>
          <w:szCs w:val="22"/>
        </w:rPr>
        <w:t xml:space="preserve">El </w:t>
      </w:r>
      <w:r w:rsidR="00E85217" w:rsidRPr="00C11394">
        <w:rPr>
          <w:rFonts w:eastAsia="Arial" w:cs="Arial"/>
          <w:color w:val="5B9BD5" w:themeColor="accent1"/>
          <w:sz w:val="22"/>
          <w:szCs w:val="22"/>
        </w:rPr>
        <w:t>22 veintidós de may</w:t>
      </w:r>
      <w:r w:rsidR="00B73CC4" w:rsidRPr="00C11394">
        <w:rPr>
          <w:rFonts w:eastAsia="Arial" w:cs="Arial"/>
          <w:color w:val="5B9BD5" w:themeColor="accent1"/>
          <w:sz w:val="22"/>
          <w:szCs w:val="22"/>
        </w:rPr>
        <w:t>o de 20</w:t>
      </w:r>
      <w:r w:rsidR="00E85217" w:rsidRPr="00C11394">
        <w:rPr>
          <w:rFonts w:eastAsia="Arial" w:cs="Arial"/>
          <w:color w:val="5B9BD5" w:themeColor="accent1"/>
          <w:sz w:val="22"/>
          <w:szCs w:val="22"/>
        </w:rPr>
        <w:t>19</w:t>
      </w:r>
      <w:r w:rsidR="00B73CC4" w:rsidRPr="00C11394">
        <w:rPr>
          <w:rFonts w:eastAsia="Arial" w:cs="Arial"/>
          <w:color w:val="5B9BD5" w:themeColor="accent1"/>
          <w:sz w:val="22"/>
          <w:szCs w:val="22"/>
        </w:rPr>
        <w:t xml:space="preserve"> dos mil </w:t>
      </w:r>
      <w:r w:rsidR="00E85217" w:rsidRPr="00C11394">
        <w:rPr>
          <w:rFonts w:eastAsia="Arial" w:cs="Arial"/>
          <w:color w:val="5B9BD5" w:themeColor="accent1"/>
          <w:sz w:val="22"/>
          <w:szCs w:val="22"/>
        </w:rPr>
        <w:t>diecinueve</w:t>
      </w:r>
      <w:r w:rsidRPr="00C11394">
        <w:rPr>
          <w:rFonts w:eastAsia="Arial" w:cs="Arial"/>
          <w:color w:val="5B9BD5" w:themeColor="accent1"/>
          <w:sz w:val="22"/>
          <w:szCs w:val="22"/>
        </w:rPr>
        <w:t>, el hoy recurrente interpuso el presente medio de impugnación a través del</w:t>
      </w:r>
      <w:r w:rsidR="0028298B" w:rsidRPr="00C11394">
        <w:rPr>
          <w:rFonts w:eastAsia="Arial" w:cs="Arial"/>
          <w:color w:val="5B9BD5" w:themeColor="accent1"/>
          <w:sz w:val="22"/>
          <w:szCs w:val="22"/>
        </w:rPr>
        <w:t xml:space="preserve"> Sistema de Comunicación con los Sujetos obligados de la</w:t>
      </w:r>
      <w:r w:rsidRPr="00C11394">
        <w:rPr>
          <w:rFonts w:eastAsia="Arial" w:cs="Arial"/>
          <w:color w:val="5B9BD5" w:themeColor="accent1"/>
          <w:sz w:val="22"/>
          <w:szCs w:val="22"/>
        </w:rPr>
        <w:t xml:space="preserve"> Plataforma Nacional de Transparencia, el cual quedó presentado </w:t>
      </w:r>
      <w:r w:rsidR="00B73CC4" w:rsidRPr="00C11394">
        <w:rPr>
          <w:rFonts w:eastAsia="Arial" w:cs="Arial"/>
          <w:color w:val="5B9BD5" w:themeColor="accent1"/>
          <w:sz w:val="22"/>
          <w:szCs w:val="22"/>
        </w:rPr>
        <w:t>el</w:t>
      </w:r>
      <w:r w:rsidRPr="00C11394">
        <w:rPr>
          <w:rFonts w:eastAsia="Arial" w:cs="Arial"/>
          <w:color w:val="5B9BD5" w:themeColor="accent1"/>
          <w:sz w:val="22"/>
          <w:szCs w:val="22"/>
        </w:rPr>
        <w:t xml:space="preserve"> mismo</w:t>
      </w:r>
      <w:r w:rsidR="00B73CC4" w:rsidRPr="00C11394">
        <w:rPr>
          <w:rFonts w:eastAsia="Arial" w:cs="Arial"/>
          <w:color w:val="5B9BD5" w:themeColor="accent1"/>
          <w:sz w:val="22"/>
          <w:szCs w:val="22"/>
        </w:rPr>
        <w:t xml:space="preserve"> día,</w:t>
      </w:r>
      <w:r w:rsidRPr="00C11394">
        <w:rPr>
          <w:rFonts w:eastAsia="Arial" w:cs="Arial"/>
          <w:color w:val="5B9BD5" w:themeColor="accent1"/>
          <w:sz w:val="22"/>
          <w:szCs w:val="22"/>
        </w:rPr>
        <w:t xml:space="preserve"> mes y año ante oficialía de partes de esta Comisión; mediante el cual señaló como inconformidad lo siguiente:</w:t>
      </w:r>
    </w:p>
    <w:p w14:paraId="6A0B75F8" w14:textId="1BA60589" w:rsidR="00C843FB" w:rsidRDefault="00C843FB" w:rsidP="00C843FB">
      <w:pPr>
        <w:spacing w:after="0" w:line="240" w:lineRule="auto"/>
        <w:ind w:firstLine="709"/>
        <w:jc w:val="both"/>
        <w:rPr>
          <w:rFonts w:ascii="Arial" w:eastAsia="Arial" w:hAnsi="Arial" w:cs="Arial"/>
          <w:color w:val="5B9BD5" w:themeColor="accent1"/>
        </w:rPr>
      </w:pPr>
    </w:p>
    <w:p w14:paraId="4B2F1D2E" w14:textId="697F4154" w:rsidR="00C11394" w:rsidRDefault="00C11394" w:rsidP="00C843FB">
      <w:pPr>
        <w:spacing w:after="0" w:line="240" w:lineRule="auto"/>
        <w:ind w:firstLine="709"/>
        <w:jc w:val="both"/>
        <w:rPr>
          <w:rFonts w:ascii="Arial" w:eastAsia="Arial" w:hAnsi="Arial" w:cs="Arial"/>
          <w:color w:val="5B9BD5" w:themeColor="accent1"/>
        </w:rPr>
      </w:pPr>
    </w:p>
    <w:p w14:paraId="51FA28A1" w14:textId="04F57EA9" w:rsidR="00C11394" w:rsidRDefault="00C11394" w:rsidP="00C843FB">
      <w:pPr>
        <w:spacing w:after="0" w:line="240" w:lineRule="auto"/>
        <w:ind w:firstLine="709"/>
        <w:jc w:val="both"/>
        <w:rPr>
          <w:rFonts w:ascii="Arial" w:eastAsia="Arial" w:hAnsi="Arial" w:cs="Arial"/>
          <w:color w:val="5B9BD5" w:themeColor="accent1"/>
        </w:rPr>
      </w:pPr>
    </w:p>
    <w:p w14:paraId="5908C886" w14:textId="77777777" w:rsidR="00C11394" w:rsidRPr="00C11394" w:rsidRDefault="00C11394" w:rsidP="00C843FB">
      <w:pPr>
        <w:spacing w:after="0" w:line="240" w:lineRule="auto"/>
        <w:ind w:firstLine="709"/>
        <w:jc w:val="both"/>
        <w:rPr>
          <w:rFonts w:ascii="Arial" w:eastAsia="Arial" w:hAnsi="Arial" w:cs="Arial"/>
          <w:color w:val="5B9BD5" w:themeColor="accent1"/>
        </w:rPr>
      </w:pPr>
    </w:p>
    <w:p w14:paraId="54B99065" w14:textId="2C3A8A17" w:rsidR="00C843FB" w:rsidRPr="00C11394" w:rsidRDefault="00C843FB" w:rsidP="00E85217">
      <w:pPr>
        <w:pStyle w:val="corte4fondo"/>
        <w:spacing w:line="240" w:lineRule="auto"/>
        <w:ind w:left="709" w:right="900" w:firstLine="0"/>
        <w:rPr>
          <w:rFonts w:eastAsia="Arial" w:cs="Arial"/>
          <w:color w:val="5B9BD5" w:themeColor="accent1"/>
          <w:sz w:val="22"/>
          <w:szCs w:val="22"/>
        </w:rPr>
      </w:pPr>
      <w:r w:rsidRPr="00C11394">
        <w:rPr>
          <w:rFonts w:eastAsia="Arial" w:cs="Arial"/>
          <w:i/>
          <w:iCs/>
          <w:color w:val="5B9BD5" w:themeColor="accent1"/>
          <w:sz w:val="22"/>
          <w:szCs w:val="22"/>
        </w:rPr>
        <w:lastRenderedPageBreak/>
        <w:t>“</w:t>
      </w:r>
      <w:r w:rsidR="00E85217" w:rsidRPr="00C11394">
        <w:rPr>
          <w:rFonts w:eastAsia="Arial" w:cs="Arial"/>
          <w:i/>
          <w:iCs/>
          <w:color w:val="5B9BD5" w:themeColor="accent1"/>
          <w:sz w:val="22"/>
          <w:szCs w:val="22"/>
        </w:rPr>
        <w:t>la información solicitada no fue proporcionada los archivos electrónicos no fueron cargados, por lo que se incurrió en lo especificado en el capitulo III artículo 97 fracción IV y V</w:t>
      </w:r>
      <w:r w:rsidR="0028298B" w:rsidRPr="00C11394">
        <w:rPr>
          <w:rFonts w:eastAsia="Arial" w:cs="Arial"/>
          <w:i/>
          <w:iCs/>
          <w:color w:val="5B9BD5" w:themeColor="accent1"/>
          <w:sz w:val="22"/>
          <w:szCs w:val="22"/>
        </w:rPr>
        <w:t>”.</w:t>
      </w:r>
      <w:r w:rsidRPr="00C11394">
        <w:rPr>
          <w:rFonts w:eastAsia="Arial" w:cs="Arial"/>
          <w:i/>
          <w:iCs/>
          <w:color w:val="5B9BD5" w:themeColor="accent1"/>
          <w:sz w:val="22"/>
          <w:szCs w:val="22"/>
        </w:rPr>
        <w:t xml:space="preserve"> (sic)</w:t>
      </w:r>
    </w:p>
    <w:p w14:paraId="6DE562B5"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1408A8CD"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2B407B71" w14:textId="56DC5E25"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 xml:space="preserve">CUARTO. Trámite del recurso de revisión ante esta Comisión Estatal de Garantía de Acceso a la Información Pública. </w:t>
      </w:r>
      <w:r w:rsidRPr="00C11394">
        <w:rPr>
          <w:rFonts w:eastAsia="Arial" w:cs="Arial"/>
          <w:color w:val="5B9BD5" w:themeColor="accent1"/>
          <w:sz w:val="22"/>
          <w:szCs w:val="22"/>
        </w:rPr>
        <w:t xml:space="preserve">Mediante auto de </w:t>
      </w:r>
      <w:r w:rsidR="00E85217" w:rsidRPr="00C11394">
        <w:rPr>
          <w:rFonts w:eastAsia="Arial" w:cs="Arial"/>
          <w:color w:val="5B9BD5" w:themeColor="accent1"/>
          <w:sz w:val="22"/>
          <w:szCs w:val="22"/>
        </w:rPr>
        <w:t>23 veinti</w:t>
      </w:r>
      <w:r w:rsidR="008777E1" w:rsidRPr="00C11394">
        <w:rPr>
          <w:rFonts w:eastAsia="Arial" w:cs="Arial"/>
          <w:color w:val="5B9BD5" w:themeColor="accent1"/>
          <w:sz w:val="22"/>
          <w:szCs w:val="22"/>
        </w:rPr>
        <w:t>tr</w:t>
      </w:r>
      <w:r w:rsidR="00E85217" w:rsidRPr="00C11394">
        <w:rPr>
          <w:rFonts w:eastAsia="Arial" w:cs="Arial"/>
          <w:color w:val="5B9BD5" w:themeColor="accent1"/>
          <w:sz w:val="22"/>
          <w:szCs w:val="22"/>
        </w:rPr>
        <w:t>é</w:t>
      </w:r>
      <w:r w:rsidR="008777E1" w:rsidRPr="00C11394">
        <w:rPr>
          <w:rFonts w:eastAsia="Arial" w:cs="Arial"/>
          <w:color w:val="5B9BD5" w:themeColor="accent1"/>
          <w:sz w:val="22"/>
          <w:szCs w:val="22"/>
        </w:rPr>
        <w:t xml:space="preserve">s de </w:t>
      </w:r>
      <w:r w:rsidR="00E85217" w:rsidRPr="00C11394">
        <w:rPr>
          <w:rFonts w:eastAsia="Arial" w:cs="Arial"/>
          <w:color w:val="5B9BD5" w:themeColor="accent1"/>
          <w:sz w:val="22"/>
          <w:szCs w:val="22"/>
        </w:rPr>
        <w:t>may</w:t>
      </w:r>
      <w:r w:rsidR="008777E1" w:rsidRPr="00C11394">
        <w:rPr>
          <w:rFonts w:eastAsia="Arial" w:cs="Arial"/>
          <w:color w:val="5B9BD5" w:themeColor="accent1"/>
          <w:sz w:val="22"/>
          <w:szCs w:val="22"/>
        </w:rPr>
        <w:t>o de 2019 dos mil diecinueve</w:t>
      </w:r>
      <w:r w:rsidRPr="00C11394">
        <w:rPr>
          <w:rFonts w:eastAsia="Arial" w:cs="Arial"/>
          <w:color w:val="5B9BD5" w:themeColor="accent1"/>
          <w:sz w:val="22"/>
          <w:szCs w:val="22"/>
        </w:rPr>
        <w:t xml:space="preserve">, la Presidencia de esta Comisión tuvo por recibido el recurso de revisión que hoy nos ocupa, por lo que razón de turno toco conocer a la ponencia de la Comisionada Paulina Sánchez Pérez del Pozo, por lo que se le turnó dicho expediente bajo el número </w:t>
      </w:r>
      <w:r w:rsidR="00E85217" w:rsidRPr="00C11394">
        <w:rPr>
          <w:rFonts w:eastAsia="Arial" w:cs="Arial"/>
          <w:b/>
          <w:bCs/>
          <w:color w:val="5B9BD5" w:themeColor="accent1"/>
          <w:sz w:val="22"/>
          <w:szCs w:val="22"/>
        </w:rPr>
        <w:t>1058</w:t>
      </w:r>
      <w:r w:rsidR="00031A9B" w:rsidRPr="00C11394">
        <w:rPr>
          <w:rFonts w:eastAsia="Arial" w:cs="Arial"/>
          <w:b/>
          <w:bCs/>
          <w:color w:val="5B9BD5" w:themeColor="accent1"/>
          <w:sz w:val="22"/>
          <w:szCs w:val="22"/>
        </w:rPr>
        <w:t>/2019-2</w:t>
      </w:r>
      <w:r w:rsidRPr="00C11394">
        <w:rPr>
          <w:rFonts w:eastAsia="Arial" w:cs="Arial"/>
          <w:b/>
          <w:bCs/>
          <w:color w:val="5B9BD5" w:themeColor="accent1"/>
          <w:sz w:val="22"/>
          <w:szCs w:val="22"/>
        </w:rPr>
        <w:t xml:space="preserve"> </w:t>
      </w:r>
      <w:r w:rsidR="00031A9B" w:rsidRPr="00C11394">
        <w:rPr>
          <w:rFonts w:eastAsia="Arial" w:cs="Arial"/>
          <w:b/>
          <w:bCs/>
          <w:color w:val="5B9BD5" w:themeColor="accent1"/>
          <w:sz w:val="22"/>
          <w:szCs w:val="22"/>
        </w:rPr>
        <w:t>PNT</w:t>
      </w:r>
      <w:r w:rsidRPr="00C11394">
        <w:rPr>
          <w:rFonts w:eastAsia="Arial" w:cs="Arial"/>
          <w:b/>
          <w:bCs/>
          <w:color w:val="5B9BD5" w:themeColor="accent1"/>
          <w:sz w:val="22"/>
          <w:szCs w:val="22"/>
        </w:rPr>
        <w:t xml:space="preserve">, </w:t>
      </w:r>
      <w:r w:rsidRPr="00C11394">
        <w:rPr>
          <w:rFonts w:eastAsia="Arial" w:cs="Arial"/>
          <w:color w:val="5B9BD5" w:themeColor="accent1"/>
          <w:sz w:val="22"/>
          <w:szCs w:val="22"/>
        </w:rPr>
        <w:t xml:space="preserve">para que procediera, previo análisis a su admisión o desechamiento según fuera el caso. </w:t>
      </w:r>
    </w:p>
    <w:p w14:paraId="63CC7604"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35D85ABC"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481DAB9F" w14:textId="55846931" w:rsidR="00C843FB" w:rsidRPr="00C11394" w:rsidRDefault="00C843FB" w:rsidP="00C843FB">
      <w:pPr>
        <w:spacing w:after="200" w:line="240" w:lineRule="auto"/>
        <w:ind w:firstLine="709"/>
        <w:jc w:val="both"/>
        <w:rPr>
          <w:rFonts w:ascii="Arial" w:eastAsia="Arial" w:hAnsi="Arial" w:cs="Arial"/>
          <w:color w:val="5B9BD5" w:themeColor="accent1"/>
        </w:rPr>
      </w:pPr>
      <w:r w:rsidRPr="00C11394">
        <w:rPr>
          <w:rFonts w:ascii="Arial" w:eastAsia="Arial" w:hAnsi="Arial" w:cs="Arial"/>
          <w:b/>
          <w:bCs/>
          <w:color w:val="5B9BD5" w:themeColor="accent1"/>
        </w:rPr>
        <w:t xml:space="preserve">QUINTO. Auto de admisión y trámite. </w:t>
      </w:r>
      <w:r w:rsidRPr="00C11394">
        <w:rPr>
          <w:rFonts w:ascii="Arial" w:eastAsia="Arial" w:hAnsi="Arial" w:cs="Arial"/>
          <w:color w:val="5B9BD5" w:themeColor="accent1"/>
        </w:rPr>
        <w:t xml:space="preserve">El </w:t>
      </w:r>
      <w:r w:rsidR="00E85217" w:rsidRPr="00C11394">
        <w:rPr>
          <w:rFonts w:ascii="Arial" w:eastAsia="Arial" w:hAnsi="Arial" w:cs="Arial"/>
          <w:color w:val="5B9BD5" w:themeColor="accent1"/>
        </w:rPr>
        <w:t>03 tres</w:t>
      </w:r>
      <w:r w:rsidR="008777E1" w:rsidRPr="00C11394">
        <w:rPr>
          <w:rFonts w:ascii="Arial" w:eastAsia="Arial" w:hAnsi="Arial" w:cs="Arial"/>
          <w:color w:val="5B9BD5" w:themeColor="accent1"/>
        </w:rPr>
        <w:t xml:space="preserve"> de ju</w:t>
      </w:r>
      <w:r w:rsidR="00E85217" w:rsidRPr="00C11394">
        <w:rPr>
          <w:rFonts w:ascii="Arial" w:eastAsia="Arial" w:hAnsi="Arial" w:cs="Arial"/>
          <w:color w:val="5B9BD5" w:themeColor="accent1"/>
        </w:rPr>
        <w:t>l</w:t>
      </w:r>
      <w:r w:rsidR="008777E1" w:rsidRPr="00C11394">
        <w:rPr>
          <w:rFonts w:ascii="Arial" w:eastAsia="Arial" w:hAnsi="Arial" w:cs="Arial"/>
          <w:color w:val="5B9BD5" w:themeColor="accent1"/>
        </w:rPr>
        <w:t>io de 2019 dos mil diecinueve</w:t>
      </w:r>
      <w:r w:rsidRPr="00C11394">
        <w:rPr>
          <w:rFonts w:ascii="Arial" w:eastAsia="Arial" w:hAnsi="Arial" w:cs="Arial"/>
          <w:color w:val="5B9BD5" w:themeColor="accent1"/>
        </w:rPr>
        <w:t>, la Comisionado Ponente acordó la admisión del recurso de recisión por actualizarse la hi</w:t>
      </w:r>
      <w:r w:rsidR="00B73CC4" w:rsidRPr="00C11394">
        <w:rPr>
          <w:rFonts w:ascii="Arial" w:eastAsia="Arial" w:hAnsi="Arial" w:cs="Arial"/>
          <w:color w:val="5B9BD5" w:themeColor="accent1"/>
        </w:rPr>
        <w:t>pótesis de las fracciones V</w:t>
      </w:r>
      <w:r w:rsidR="008777E1" w:rsidRPr="00C11394">
        <w:rPr>
          <w:rFonts w:ascii="Arial" w:eastAsia="Arial" w:hAnsi="Arial" w:cs="Arial"/>
          <w:color w:val="5B9BD5" w:themeColor="accent1"/>
        </w:rPr>
        <w:t xml:space="preserve"> y VI</w:t>
      </w:r>
      <w:r w:rsidRPr="00C11394">
        <w:rPr>
          <w:rFonts w:ascii="Arial" w:eastAsia="Arial" w:hAnsi="Arial" w:cs="Arial"/>
          <w:color w:val="5B9BD5" w:themeColor="accent1"/>
        </w:rPr>
        <w:t xml:space="preserve"> del artículo 167 de la Ley de Transparencia y Acceso a la Información Pública del Esta</w:t>
      </w:r>
      <w:r w:rsidR="00F5045A" w:rsidRPr="00C11394">
        <w:rPr>
          <w:rFonts w:ascii="Arial" w:eastAsia="Arial" w:hAnsi="Arial" w:cs="Arial"/>
          <w:color w:val="5B9BD5" w:themeColor="accent1"/>
        </w:rPr>
        <w:t>do, tuvo como ente obligado al</w:t>
      </w:r>
      <w:r w:rsidRPr="00C11394">
        <w:rPr>
          <w:rFonts w:ascii="Arial" w:eastAsia="Arial" w:hAnsi="Arial" w:cs="Arial"/>
          <w:color w:val="5B9BD5" w:themeColor="accent1"/>
        </w:rPr>
        <w:t xml:space="preserve"> </w:t>
      </w:r>
      <w:r w:rsidR="00E85217" w:rsidRPr="00C11394">
        <w:rPr>
          <w:rFonts w:ascii="Arial" w:eastAsia="Arial" w:hAnsi="Arial" w:cs="Arial"/>
          <w:b/>
          <w:bCs/>
          <w:color w:val="5B9BD5" w:themeColor="accent1"/>
        </w:rPr>
        <w:t>COORDINACIÓN GENERAL DE PROTECCIÓN CIVIL DEL ESTADO</w:t>
      </w:r>
      <w:r w:rsidRPr="00C11394">
        <w:rPr>
          <w:rFonts w:ascii="Arial" w:eastAsia="Arial" w:hAnsi="Arial" w:cs="Arial"/>
          <w:b/>
          <w:bCs/>
          <w:color w:val="5B9BD5" w:themeColor="accent1"/>
        </w:rPr>
        <w:t xml:space="preserve">, </w:t>
      </w:r>
      <w:r w:rsidRPr="00C11394">
        <w:rPr>
          <w:rFonts w:ascii="Arial" w:eastAsia="Arial" w:hAnsi="Arial" w:cs="Arial"/>
          <w:color w:val="5B9BD5" w:themeColor="accent1"/>
        </w:rPr>
        <w:t xml:space="preserve">en lo sucesivo sujeto obligado. </w:t>
      </w:r>
    </w:p>
    <w:p w14:paraId="354DDDFC" w14:textId="19AA95E3" w:rsidR="00C843FB" w:rsidRPr="00C11394" w:rsidRDefault="00C843FB" w:rsidP="00C843FB">
      <w:pPr>
        <w:spacing w:after="20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 xml:space="preserve">Se puso a disposición de las partes el expediente para que en un plazo máximo de </w:t>
      </w:r>
      <w:r w:rsidR="0028298B" w:rsidRPr="00C11394">
        <w:rPr>
          <w:rFonts w:ascii="Arial" w:eastAsia="Arial" w:hAnsi="Arial" w:cs="Arial"/>
          <w:color w:val="5B9BD5" w:themeColor="accent1"/>
        </w:rPr>
        <w:t>0</w:t>
      </w:r>
      <w:r w:rsidRPr="00C11394">
        <w:rPr>
          <w:rFonts w:ascii="Arial" w:eastAsia="Arial" w:hAnsi="Arial" w:cs="Arial"/>
          <w:color w:val="5B9BD5" w:themeColor="accent1"/>
        </w:rPr>
        <w:t xml:space="preserve">7 siete días manifestaran lo que a su derecho conviniera –ofrecer pruebas y alegar–. </w:t>
      </w:r>
    </w:p>
    <w:p w14:paraId="0749E39E" w14:textId="77777777" w:rsidR="00C843FB" w:rsidRPr="00C11394" w:rsidRDefault="00C843FB" w:rsidP="00C843FB">
      <w:pPr>
        <w:spacing w:after="200" w:line="240" w:lineRule="auto"/>
        <w:jc w:val="both"/>
        <w:rPr>
          <w:rFonts w:ascii="Arial" w:eastAsia="Arial" w:hAnsi="Arial" w:cs="Arial"/>
          <w:color w:val="5B9BD5" w:themeColor="accent1"/>
        </w:rPr>
      </w:pPr>
    </w:p>
    <w:p w14:paraId="38ADDA6C" w14:textId="72097938" w:rsidR="00C843FB" w:rsidRPr="00C11394" w:rsidRDefault="00C843FB" w:rsidP="00C843FB">
      <w:pPr>
        <w:spacing w:after="200" w:line="240" w:lineRule="auto"/>
        <w:ind w:firstLine="708"/>
        <w:jc w:val="both"/>
        <w:rPr>
          <w:rFonts w:ascii="Arial" w:eastAsia="Arial" w:hAnsi="Arial" w:cs="Arial"/>
          <w:color w:val="5B9BD5" w:themeColor="accent1"/>
        </w:rPr>
      </w:pPr>
      <w:r w:rsidRPr="00C11394">
        <w:rPr>
          <w:rFonts w:ascii="Arial" w:eastAsia="Arial" w:hAnsi="Arial" w:cs="Arial"/>
          <w:b/>
          <w:bCs/>
          <w:color w:val="5B9BD5" w:themeColor="accent1"/>
        </w:rPr>
        <w:t>SÉXTO. Rendición del informe de los sujetos obligados</w:t>
      </w:r>
      <w:r w:rsidRPr="00C11394">
        <w:rPr>
          <w:rFonts w:ascii="Arial" w:eastAsia="Arial" w:hAnsi="Arial" w:cs="Arial"/>
          <w:color w:val="5B9BD5" w:themeColor="accent1"/>
        </w:rPr>
        <w:t>. El</w:t>
      </w:r>
      <w:r w:rsidR="00B73CC4" w:rsidRPr="00C11394">
        <w:rPr>
          <w:rFonts w:ascii="Arial" w:eastAsia="Arial" w:hAnsi="Arial" w:cs="Arial"/>
          <w:color w:val="5B9BD5" w:themeColor="accent1"/>
        </w:rPr>
        <w:t xml:space="preserve"> </w:t>
      </w:r>
      <w:r w:rsidR="00E85217" w:rsidRPr="00C11394">
        <w:rPr>
          <w:rFonts w:ascii="Arial" w:eastAsia="Arial" w:hAnsi="Arial" w:cs="Arial"/>
          <w:color w:val="5B9BD5" w:themeColor="accent1"/>
        </w:rPr>
        <w:t>05 cinco</w:t>
      </w:r>
      <w:r w:rsidR="0028298B" w:rsidRPr="00C11394">
        <w:rPr>
          <w:rFonts w:ascii="Arial" w:eastAsia="Arial" w:hAnsi="Arial" w:cs="Arial"/>
          <w:color w:val="5B9BD5" w:themeColor="accent1"/>
        </w:rPr>
        <w:t xml:space="preserve"> de </w:t>
      </w:r>
      <w:r w:rsidR="00E85217" w:rsidRPr="00C11394">
        <w:rPr>
          <w:rFonts w:ascii="Arial" w:eastAsia="Arial" w:hAnsi="Arial" w:cs="Arial"/>
          <w:color w:val="5B9BD5" w:themeColor="accent1"/>
        </w:rPr>
        <w:t>agost</w:t>
      </w:r>
      <w:r w:rsidR="0028298B" w:rsidRPr="00C11394">
        <w:rPr>
          <w:rFonts w:ascii="Arial" w:eastAsia="Arial" w:hAnsi="Arial" w:cs="Arial"/>
          <w:color w:val="5B9BD5" w:themeColor="accent1"/>
        </w:rPr>
        <w:t>o</w:t>
      </w:r>
      <w:r w:rsidRPr="00C11394">
        <w:rPr>
          <w:rFonts w:ascii="Arial" w:eastAsia="Arial" w:hAnsi="Arial" w:cs="Arial"/>
          <w:color w:val="5B9BD5" w:themeColor="accent1"/>
        </w:rPr>
        <w:t xml:space="preserve"> de </w:t>
      </w:r>
      <w:r w:rsidR="00E85217" w:rsidRPr="00C11394">
        <w:rPr>
          <w:rFonts w:ascii="Arial" w:eastAsia="Arial" w:hAnsi="Arial" w:cs="Arial"/>
          <w:color w:val="5B9BD5" w:themeColor="accent1"/>
        </w:rPr>
        <w:t>2019 dos mil diecinueve</w:t>
      </w:r>
      <w:r w:rsidRPr="00C11394">
        <w:rPr>
          <w:rFonts w:ascii="Arial" w:eastAsia="Arial" w:hAnsi="Arial" w:cs="Arial"/>
          <w:color w:val="5B9BD5" w:themeColor="accent1"/>
        </w:rPr>
        <w:t xml:space="preserve">, esta Comisión tuvo por recibido oficio </w:t>
      </w:r>
      <w:r w:rsidR="00F5045A" w:rsidRPr="00C11394">
        <w:rPr>
          <w:rFonts w:ascii="Arial" w:eastAsia="Arial" w:hAnsi="Arial" w:cs="Arial"/>
          <w:color w:val="5B9BD5" w:themeColor="accent1"/>
        </w:rPr>
        <w:t>número</w:t>
      </w:r>
      <w:r w:rsidRPr="00C11394">
        <w:rPr>
          <w:rFonts w:ascii="Arial" w:eastAsia="Arial" w:hAnsi="Arial" w:cs="Arial"/>
          <w:color w:val="5B9BD5" w:themeColor="accent1"/>
        </w:rPr>
        <w:t xml:space="preserve"> </w:t>
      </w:r>
      <w:bookmarkStart w:id="1" w:name="_Hlk72741567"/>
      <w:r w:rsidR="00E85217" w:rsidRPr="00C11394">
        <w:rPr>
          <w:rFonts w:ascii="Arial" w:eastAsia="Arial" w:hAnsi="Arial" w:cs="Arial"/>
          <w:color w:val="5B9BD5" w:themeColor="accent1"/>
        </w:rPr>
        <w:t>CEPC/2513/2019</w:t>
      </w:r>
      <w:r w:rsidR="0028298B" w:rsidRPr="00C11394">
        <w:rPr>
          <w:rFonts w:ascii="Arial" w:eastAsia="Arial" w:hAnsi="Arial" w:cs="Arial"/>
          <w:color w:val="5B9BD5" w:themeColor="accent1"/>
        </w:rPr>
        <w:t>,</w:t>
      </w:r>
      <w:r w:rsidRPr="00C11394">
        <w:rPr>
          <w:rFonts w:ascii="Arial" w:eastAsia="Arial" w:hAnsi="Arial" w:cs="Arial"/>
          <w:color w:val="5B9BD5" w:themeColor="accent1"/>
        </w:rPr>
        <w:t xml:space="preserve"> </w:t>
      </w:r>
      <w:r w:rsidR="0028298B" w:rsidRPr="00C11394">
        <w:rPr>
          <w:rFonts w:ascii="Arial" w:eastAsia="Arial" w:hAnsi="Arial" w:cs="Arial"/>
          <w:color w:val="5B9BD5" w:themeColor="accent1"/>
        </w:rPr>
        <w:t xml:space="preserve">emitido el </w:t>
      </w:r>
      <w:r w:rsidR="00E85217" w:rsidRPr="00C11394">
        <w:rPr>
          <w:rFonts w:ascii="Arial" w:eastAsia="Arial" w:hAnsi="Arial" w:cs="Arial"/>
          <w:color w:val="5B9BD5" w:themeColor="accent1"/>
        </w:rPr>
        <w:t>17 diecisiete de julio de 2019 dos mil diecinueve</w:t>
      </w:r>
      <w:bookmarkEnd w:id="1"/>
      <w:r w:rsidR="0028298B" w:rsidRPr="00C11394">
        <w:rPr>
          <w:rFonts w:ascii="Arial" w:eastAsia="Arial" w:hAnsi="Arial" w:cs="Arial"/>
          <w:color w:val="5B9BD5" w:themeColor="accent1"/>
        </w:rPr>
        <w:t xml:space="preserve">, </w:t>
      </w:r>
      <w:r w:rsidRPr="00C11394">
        <w:rPr>
          <w:rFonts w:ascii="Arial" w:eastAsia="Arial" w:hAnsi="Arial" w:cs="Arial"/>
          <w:color w:val="5B9BD5" w:themeColor="accent1"/>
        </w:rPr>
        <w:t xml:space="preserve">por </w:t>
      </w:r>
      <w:r w:rsidR="00E85217" w:rsidRPr="00C11394">
        <w:rPr>
          <w:rFonts w:ascii="Arial" w:eastAsia="Arial" w:hAnsi="Arial" w:cs="Arial"/>
          <w:color w:val="5B9BD5" w:themeColor="accent1"/>
        </w:rPr>
        <w:t>el Director General de la</w:t>
      </w:r>
      <w:r w:rsidR="0028298B" w:rsidRPr="00C11394">
        <w:rPr>
          <w:rFonts w:ascii="Arial" w:eastAsia="Arial" w:hAnsi="Arial" w:cs="Arial"/>
          <w:color w:val="5B9BD5" w:themeColor="accent1"/>
        </w:rPr>
        <w:t xml:space="preserve"> </w:t>
      </w:r>
      <w:r w:rsidR="00E85217" w:rsidRPr="00C11394">
        <w:rPr>
          <w:rFonts w:ascii="Arial" w:eastAsia="Arial" w:hAnsi="Arial" w:cs="Arial"/>
          <w:color w:val="5B9BD5" w:themeColor="accent1"/>
        </w:rPr>
        <w:t>Coordinación General de Protección Civil del Estado</w:t>
      </w:r>
      <w:r w:rsidRPr="00C11394">
        <w:rPr>
          <w:rFonts w:ascii="Arial" w:eastAsia="Arial" w:hAnsi="Arial" w:cs="Arial"/>
          <w:color w:val="5B9BD5" w:themeColor="accent1"/>
        </w:rPr>
        <w:t xml:space="preserve">, </w:t>
      </w:r>
      <w:r w:rsidR="00F5045A" w:rsidRPr="00C11394">
        <w:rPr>
          <w:rFonts w:ascii="Arial" w:eastAsia="Arial" w:hAnsi="Arial" w:cs="Arial"/>
          <w:color w:val="5B9BD5" w:themeColor="accent1"/>
        </w:rPr>
        <w:t xml:space="preserve">con </w:t>
      </w:r>
      <w:r w:rsidR="008C6339" w:rsidRPr="00C11394">
        <w:rPr>
          <w:rFonts w:ascii="Arial" w:eastAsia="Arial" w:hAnsi="Arial" w:cs="Arial"/>
          <w:color w:val="5B9BD5" w:themeColor="accent1"/>
        </w:rPr>
        <w:t>dos</w:t>
      </w:r>
      <w:r w:rsidRPr="00C11394">
        <w:rPr>
          <w:rFonts w:ascii="Arial" w:eastAsia="Arial" w:hAnsi="Arial" w:cs="Arial"/>
          <w:color w:val="5B9BD5" w:themeColor="accent1"/>
        </w:rPr>
        <w:t xml:space="preserve"> anexo</w:t>
      </w:r>
      <w:r w:rsidR="00F17763" w:rsidRPr="00C11394">
        <w:rPr>
          <w:rFonts w:ascii="Arial" w:eastAsia="Arial" w:hAnsi="Arial" w:cs="Arial"/>
          <w:color w:val="5B9BD5" w:themeColor="accent1"/>
        </w:rPr>
        <w:t>s</w:t>
      </w:r>
      <w:r w:rsidRPr="00C11394">
        <w:rPr>
          <w:rFonts w:ascii="Arial" w:eastAsia="Arial" w:hAnsi="Arial" w:cs="Arial"/>
          <w:color w:val="5B9BD5" w:themeColor="accent1"/>
        </w:rPr>
        <w:t>; a través del cual se realizaron diversas manifestaciones respecto al agravio señalado por el hoy recurrente en su recurso de revisión</w:t>
      </w:r>
      <w:r w:rsidR="008C6339" w:rsidRPr="00C11394">
        <w:rPr>
          <w:rFonts w:ascii="Arial" w:eastAsia="Arial" w:hAnsi="Arial" w:cs="Arial"/>
          <w:color w:val="5B9BD5" w:themeColor="accent1"/>
        </w:rPr>
        <w:t>, asimismo solicitó el sobreseimiento del presente recurso de revisión</w:t>
      </w:r>
      <w:r w:rsidRPr="00C11394">
        <w:rPr>
          <w:rFonts w:ascii="Arial" w:eastAsia="Arial" w:hAnsi="Arial" w:cs="Arial"/>
          <w:color w:val="5B9BD5" w:themeColor="accent1"/>
        </w:rPr>
        <w:t>.</w:t>
      </w:r>
    </w:p>
    <w:p w14:paraId="00A139A7" w14:textId="2C0C2148" w:rsidR="00C843FB" w:rsidRPr="00C11394" w:rsidRDefault="008C6339" w:rsidP="008C6339">
      <w:pPr>
        <w:spacing w:after="200" w:line="240" w:lineRule="auto"/>
        <w:ind w:firstLine="426"/>
        <w:jc w:val="both"/>
        <w:rPr>
          <w:rFonts w:ascii="Arial" w:eastAsia="Arial" w:hAnsi="Arial" w:cs="Arial"/>
          <w:bCs/>
          <w:color w:val="5B9BD5" w:themeColor="accent1"/>
        </w:rPr>
      </w:pPr>
      <w:r w:rsidRPr="00C11394">
        <w:rPr>
          <w:rFonts w:ascii="Arial" w:eastAsia="Arial" w:hAnsi="Arial" w:cs="Arial"/>
          <w:b/>
          <w:color w:val="5B9BD5" w:themeColor="accent1"/>
        </w:rPr>
        <w:t xml:space="preserve">El oficio CEPC/2513/2019, emitido el 17 diecisiete de julio de 2019 dos mil diecinueve, señala: </w:t>
      </w:r>
      <w:r w:rsidRPr="00C11394">
        <w:rPr>
          <w:rFonts w:ascii="Arial" w:eastAsia="Arial" w:hAnsi="Arial" w:cs="Arial"/>
          <w:bCs/>
          <w:color w:val="5B9BD5" w:themeColor="accent1"/>
        </w:rPr>
        <w:t>“</w:t>
      </w:r>
      <w:r w:rsidR="00285F0D" w:rsidRPr="00C11394">
        <w:rPr>
          <w:rFonts w:ascii="Arial" w:eastAsia="Arial" w:hAnsi="Arial" w:cs="Arial"/>
          <w:bCs/>
          <w:color w:val="5B9BD5" w:themeColor="accent1"/>
        </w:rPr>
        <w:t>[…]</w:t>
      </w:r>
      <w:r w:rsidRPr="00C11394">
        <w:rPr>
          <w:rFonts w:ascii="Arial" w:eastAsia="Arial" w:hAnsi="Arial" w:cs="Arial"/>
          <w:bCs/>
          <w:i/>
          <w:iCs/>
          <w:color w:val="5B9BD5" w:themeColor="accent1"/>
        </w:rPr>
        <w:t>Por este conducto me permito informar a usted que dicha respuesta fue debidamente entregada al peticionario en tiempo y forma a través de la vía en que fue solicitada</w:t>
      </w:r>
      <w:r w:rsidR="00285F0D" w:rsidRPr="00C11394">
        <w:rPr>
          <w:rFonts w:ascii="Arial" w:eastAsia="Arial" w:hAnsi="Arial" w:cs="Arial"/>
          <w:bCs/>
          <w:i/>
          <w:iCs/>
          <w:color w:val="5B9BD5" w:themeColor="accent1"/>
        </w:rPr>
        <w:t>, siendo esta, el día 08 de mayo del año en curso por correo electrónico a través del sistema de solicitudes de acceso a la información de la plataforma nacional de transparencia, sin embargo nos percatamos hasta el momento en que fuimos notificados del presente recurso que dicha información no fue cargada en el sistema, por lo tanto me permito anexar al presente la respuesta que surgió posterior a la petición del solicitante, misma que fue en tiempo y forma, para los efectos legales conducentes , asimismo, me permito anexar copia certificada de la captura de pantalla en donde se aprecia que fue entregada al solicitante por la misma vías solicitada.”</w:t>
      </w:r>
      <w:r w:rsidR="00285F0D" w:rsidRPr="00C11394">
        <w:rPr>
          <w:rFonts w:ascii="Arial" w:eastAsia="Arial" w:hAnsi="Arial" w:cs="Arial"/>
          <w:bCs/>
          <w:color w:val="5B9BD5" w:themeColor="accent1"/>
        </w:rPr>
        <w:t xml:space="preserve"> </w:t>
      </w:r>
    </w:p>
    <w:p w14:paraId="6AEEFF59" w14:textId="77777777" w:rsidR="008C6339" w:rsidRPr="00C11394" w:rsidRDefault="008C6339" w:rsidP="00C843FB">
      <w:pPr>
        <w:spacing w:after="200" w:line="240" w:lineRule="auto"/>
        <w:jc w:val="both"/>
        <w:rPr>
          <w:rFonts w:ascii="Arial" w:eastAsia="Arial" w:hAnsi="Arial" w:cs="Arial"/>
          <w:color w:val="5B9BD5" w:themeColor="accent1"/>
        </w:rPr>
      </w:pPr>
    </w:p>
    <w:p w14:paraId="3D313277" w14:textId="77777777" w:rsidR="008C6339" w:rsidRPr="00C11394" w:rsidRDefault="00C843FB" w:rsidP="00C843FB">
      <w:pPr>
        <w:spacing w:after="200" w:line="240" w:lineRule="auto"/>
        <w:ind w:firstLine="708"/>
        <w:jc w:val="both"/>
        <w:rPr>
          <w:rFonts w:ascii="Arial" w:eastAsia="Arial" w:hAnsi="Arial" w:cs="Arial"/>
          <w:color w:val="5B9BD5" w:themeColor="accent1"/>
        </w:rPr>
      </w:pPr>
      <w:r w:rsidRPr="00C11394">
        <w:rPr>
          <w:rFonts w:ascii="Arial" w:eastAsia="Arial" w:hAnsi="Arial" w:cs="Arial"/>
          <w:color w:val="5B9BD5" w:themeColor="accent1"/>
        </w:rPr>
        <w:t xml:space="preserve">En cuanto al recurrente, no compareció a realizar las manifestaciones que a su derecho considero convenientes. Asimismo, en el contexto del mismo proveído </w:t>
      </w:r>
      <w:r w:rsidR="008C6339" w:rsidRPr="00C11394">
        <w:rPr>
          <w:rFonts w:ascii="Arial" w:eastAsia="Arial" w:hAnsi="Arial" w:cs="Arial"/>
          <w:color w:val="5B9BD5" w:themeColor="accent1"/>
        </w:rPr>
        <w:t xml:space="preserve">se decretó </w:t>
      </w:r>
      <w:r w:rsidRPr="00C11394">
        <w:rPr>
          <w:rFonts w:ascii="Arial" w:eastAsia="Arial" w:hAnsi="Arial" w:cs="Arial"/>
          <w:color w:val="5B9BD5" w:themeColor="accent1"/>
        </w:rPr>
        <w:t>el cierre de instrucción y se ordenó se elaborará el proyecto de resolución correspondiente</w:t>
      </w:r>
      <w:r w:rsidR="008C6339" w:rsidRPr="00C11394">
        <w:rPr>
          <w:rFonts w:ascii="Arial" w:eastAsia="Arial" w:hAnsi="Arial" w:cs="Arial"/>
          <w:color w:val="5B9BD5" w:themeColor="accent1"/>
        </w:rPr>
        <w:t>.</w:t>
      </w:r>
    </w:p>
    <w:p w14:paraId="442D7C08" w14:textId="7867E5C1" w:rsidR="00C843FB" w:rsidRPr="00C11394" w:rsidRDefault="008C6339" w:rsidP="00C843FB">
      <w:pPr>
        <w:spacing w:after="200" w:line="240" w:lineRule="auto"/>
        <w:ind w:firstLine="708"/>
        <w:jc w:val="both"/>
        <w:rPr>
          <w:rFonts w:ascii="Arial" w:eastAsia="Arial" w:hAnsi="Arial" w:cs="Arial"/>
          <w:color w:val="5B9BD5" w:themeColor="accent1"/>
        </w:rPr>
      </w:pPr>
      <w:r w:rsidRPr="00C11394">
        <w:rPr>
          <w:rFonts w:ascii="Arial" w:eastAsia="Arial" w:hAnsi="Arial" w:cs="Arial"/>
          <w:color w:val="5B9BD5" w:themeColor="accent1"/>
        </w:rPr>
        <w:t>Mediante proveído de 26 veintiséis de agosto de 2019 dos mil diecinueve, se decretó la ampliación del plazo para resolver el presente recurso de revisión.</w:t>
      </w:r>
      <w:r w:rsidR="00C843FB" w:rsidRPr="00C11394">
        <w:rPr>
          <w:rFonts w:ascii="Arial" w:eastAsia="Arial" w:hAnsi="Arial" w:cs="Arial"/>
          <w:color w:val="5B9BD5" w:themeColor="accent1"/>
        </w:rPr>
        <w:t xml:space="preserve"> </w:t>
      </w:r>
    </w:p>
    <w:p w14:paraId="1FFC19DF" w14:textId="77777777" w:rsidR="00C843FB" w:rsidRPr="00C11394" w:rsidRDefault="00C843FB" w:rsidP="00C843FB">
      <w:pPr>
        <w:spacing w:after="200" w:line="240" w:lineRule="auto"/>
        <w:jc w:val="both"/>
        <w:rPr>
          <w:rFonts w:ascii="Arial" w:eastAsia="Arial" w:hAnsi="Arial" w:cs="Arial"/>
          <w:color w:val="5B9BD5" w:themeColor="accent1"/>
        </w:rPr>
      </w:pPr>
    </w:p>
    <w:p w14:paraId="25795296" w14:textId="77777777" w:rsidR="00C843FB" w:rsidRPr="00C11394" w:rsidRDefault="00C843FB" w:rsidP="00C843FB">
      <w:pPr>
        <w:spacing w:after="200" w:line="240" w:lineRule="auto"/>
        <w:jc w:val="both"/>
        <w:rPr>
          <w:rFonts w:ascii="Arial" w:eastAsia="Arial" w:hAnsi="Arial" w:cs="Arial"/>
          <w:color w:val="5B9BD5" w:themeColor="accent1"/>
        </w:rPr>
      </w:pPr>
    </w:p>
    <w:p w14:paraId="3A61FE6A" w14:textId="77777777" w:rsidR="00C843FB" w:rsidRPr="00C11394" w:rsidRDefault="00C843FB" w:rsidP="00C843FB">
      <w:pPr>
        <w:spacing w:after="200" w:line="240" w:lineRule="auto"/>
        <w:jc w:val="center"/>
        <w:rPr>
          <w:rFonts w:ascii="Arial" w:eastAsia="Arial" w:hAnsi="Arial" w:cs="Arial"/>
          <w:color w:val="5B9BD5" w:themeColor="accent1"/>
        </w:rPr>
      </w:pPr>
      <w:r w:rsidRPr="00C11394">
        <w:rPr>
          <w:rFonts w:ascii="Arial" w:eastAsia="Arial" w:hAnsi="Arial" w:cs="Arial"/>
          <w:b/>
          <w:bCs/>
          <w:color w:val="5B9BD5" w:themeColor="accent1"/>
        </w:rPr>
        <w:t>C O N S I D E R A N D O</w:t>
      </w:r>
    </w:p>
    <w:p w14:paraId="5C69EBA4" w14:textId="77777777" w:rsidR="00C843FB" w:rsidRPr="00C11394" w:rsidRDefault="00C843FB" w:rsidP="00C843FB">
      <w:pPr>
        <w:spacing w:after="200" w:line="240" w:lineRule="auto"/>
        <w:jc w:val="center"/>
        <w:rPr>
          <w:rFonts w:ascii="Arial" w:eastAsia="Arial" w:hAnsi="Arial" w:cs="Arial"/>
          <w:color w:val="5B9BD5" w:themeColor="accent1"/>
        </w:rPr>
      </w:pPr>
    </w:p>
    <w:p w14:paraId="6681E930" w14:textId="77777777"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 xml:space="preserve">PRIMERO. Competencia. </w:t>
      </w:r>
      <w:r w:rsidRPr="00C11394">
        <w:rPr>
          <w:rFonts w:eastAsia="Arial" w:cs="Arial"/>
          <w:color w:val="5B9BD5" w:themeColor="accent1"/>
          <w:sz w:val="22"/>
          <w:szCs w:val="22"/>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20DBC4E2" w14:textId="77777777"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color w:val="5B9BD5" w:themeColor="accent1"/>
          <w:sz w:val="22"/>
          <w:szCs w:val="22"/>
        </w:rPr>
        <w:t xml:space="preserve">      </w:t>
      </w:r>
    </w:p>
    <w:p w14:paraId="2A1CE1E7" w14:textId="77777777"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 xml:space="preserve">SEGUNDO. Procedencia. </w:t>
      </w:r>
      <w:r w:rsidRPr="00C11394">
        <w:rPr>
          <w:rFonts w:eastAsia="Arial" w:cs="Arial"/>
          <w:color w:val="5B9BD5" w:themeColor="accent1"/>
          <w:sz w:val="22"/>
          <w:szCs w:val="22"/>
        </w:rPr>
        <w:t>El recurso de revisión es procedente en términos del artículo 166 de la Ley de Transparencia y Acceso a la Información Pública, en virtud de que fue interpuesto en tiempo y se encuentran satisfechos los requisitos que establece la misma; asimismo el recurrente se inconformó en contra de la respuesta a su solicitud de información por parte del sujeto obligado.</w:t>
      </w:r>
    </w:p>
    <w:p w14:paraId="31131F8E" w14:textId="55452FDD" w:rsidR="00C843FB" w:rsidRPr="00C11394" w:rsidRDefault="00C843FB" w:rsidP="00C843FB">
      <w:pPr>
        <w:spacing w:after="0" w:line="240" w:lineRule="auto"/>
        <w:ind w:firstLine="709"/>
        <w:jc w:val="both"/>
        <w:rPr>
          <w:rFonts w:ascii="Arial" w:eastAsia="Arial" w:hAnsi="Arial" w:cs="Arial"/>
          <w:color w:val="5B9BD5" w:themeColor="accent1"/>
        </w:rPr>
      </w:pPr>
    </w:p>
    <w:p w14:paraId="29D8FA5E" w14:textId="1C2FDF8B" w:rsidR="008C6339" w:rsidRPr="00C11394" w:rsidRDefault="008C6339" w:rsidP="008C6339">
      <w:pPr>
        <w:spacing w:after="0" w:line="240" w:lineRule="auto"/>
        <w:ind w:firstLine="709"/>
        <w:jc w:val="both"/>
        <w:rPr>
          <w:rFonts w:ascii="Arial" w:eastAsia="Arial" w:hAnsi="Arial" w:cs="Arial"/>
          <w:b/>
          <w:color w:val="5B9BD5" w:themeColor="accent1"/>
        </w:rPr>
      </w:pPr>
      <w:r w:rsidRPr="00C11394">
        <w:rPr>
          <w:rFonts w:ascii="Arial" w:eastAsia="Arial" w:hAnsi="Arial" w:cs="Arial"/>
          <w:b/>
          <w:color w:val="5B9BD5" w:themeColor="accent1"/>
        </w:rPr>
        <w:t>TERCERO</w:t>
      </w:r>
      <w:r w:rsidRPr="00C11394">
        <w:rPr>
          <w:rFonts w:ascii="Arial" w:eastAsia="Arial" w:hAnsi="Arial" w:cs="Arial"/>
          <w:color w:val="5B9BD5" w:themeColor="accent1"/>
        </w:rPr>
        <w:t xml:space="preserve">. </w:t>
      </w:r>
      <w:r w:rsidRPr="00C11394">
        <w:rPr>
          <w:rFonts w:ascii="Arial" w:eastAsia="Arial" w:hAnsi="Arial" w:cs="Arial"/>
          <w:b/>
          <w:color w:val="5B9BD5" w:themeColor="accent1"/>
        </w:rPr>
        <w:t xml:space="preserve">Sobreseimiento. </w:t>
      </w:r>
      <w:r w:rsidRPr="00C11394">
        <w:rPr>
          <w:rFonts w:ascii="Arial" w:eastAsia="Arial" w:hAnsi="Arial" w:cs="Arial"/>
          <w:color w:val="5B9BD5" w:themeColor="accent1"/>
        </w:rPr>
        <w:t>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14:paraId="0409A6CB" w14:textId="77777777" w:rsidR="008C6339" w:rsidRPr="00C11394" w:rsidRDefault="008C6339" w:rsidP="008C6339">
      <w:pPr>
        <w:spacing w:after="0" w:line="240" w:lineRule="auto"/>
        <w:ind w:firstLine="709"/>
        <w:jc w:val="both"/>
        <w:rPr>
          <w:rFonts w:ascii="Arial" w:eastAsia="Arial" w:hAnsi="Arial" w:cs="Arial"/>
          <w:color w:val="5B9BD5" w:themeColor="accent1"/>
        </w:rPr>
      </w:pPr>
    </w:p>
    <w:p w14:paraId="01506788" w14:textId="709832DA" w:rsidR="008C6339" w:rsidRPr="00C11394" w:rsidRDefault="008C6339" w:rsidP="008C6339">
      <w:pPr>
        <w:spacing w:after="0" w:line="240" w:lineRule="auto"/>
        <w:ind w:firstLine="709"/>
        <w:jc w:val="both"/>
        <w:rPr>
          <w:rFonts w:ascii="Arial" w:eastAsia="Arial" w:hAnsi="Arial" w:cs="Arial"/>
          <w:i/>
          <w:color w:val="5B9BD5" w:themeColor="accent1"/>
        </w:rPr>
      </w:pPr>
      <w:r w:rsidRPr="00C11394">
        <w:rPr>
          <w:rFonts w:ascii="Arial" w:eastAsia="Arial" w:hAnsi="Arial" w:cs="Arial"/>
          <w:color w:val="5B9BD5" w:themeColor="accent1"/>
        </w:rPr>
        <w:t xml:space="preserve">Pues bien, el sujeto obligado solicitó el sobreseimiento del presente asunto toda vez que al analizar las documentales que se acompañan a su escrito de informe se actualiza la hipótesis enmarcada en el artículo 180, fracción </w:t>
      </w:r>
      <w:r w:rsidR="00285F0D" w:rsidRPr="00C11394">
        <w:rPr>
          <w:rFonts w:ascii="Arial" w:eastAsia="Arial" w:hAnsi="Arial" w:cs="Arial"/>
          <w:color w:val="5B9BD5" w:themeColor="accent1"/>
        </w:rPr>
        <w:t>III</w:t>
      </w:r>
      <w:r w:rsidRPr="00C11394">
        <w:rPr>
          <w:rFonts w:ascii="Arial" w:eastAsia="Arial" w:hAnsi="Arial" w:cs="Arial"/>
          <w:color w:val="5B9BD5" w:themeColor="accent1"/>
        </w:rPr>
        <w:t xml:space="preserve"> de la Ley de Transparencia y Acceso a la Información Pública del Estado.</w:t>
      </w:r>
    </w:p>
    <w:p w14:paraId="04A07F36" w14:textId="77777777" w:rsidR="008C6339" w:rsidRPr="00C11394" w:rsidRDefault="008C6339" w:rsidP="008C6339">
      <w:pPr>
        <w:spacing w:after="0" w:line="240" w:lineRule="auto"/>
        <w:ind w:firstLine="709"/>
        <w:jc w:val="both"/>
        <w:rPr>
          <w:rFonts w:ascii="Arial" w:eastAsia="Arial" w:hAnsi="Arial" w:cs="Arial"/>
          <w:color w:val="5B9BD5" w:themeColor="accent1"/>
        </w:rPr>
      </w:pPr>
    </w:p>
    <w:p w14:paraId="1C3CF3F1" w14:textId="77777777" w:rsidR="008C6339" w:rsidRPr="00C11394" w:rsidRDefault="008C6339" w:rsidP="008C6339">
      <w:pPr>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Previo al análisis del presente asunto, en el presente considerando se hará un pronunciamiento respecto de lo solicitado por el Sujeto obligado en el cuerpo de su escrito de informe, en el sentido de sobreseer el presente recurso de revisión.</w:t>
      </w:r>
    </w:p>
    <w:p w14:paraId="696721CC" w14:textId="77777777" w:rsidR="008C6339" w:rsidRPr="00C11394" w:rsidRDefault="008C6339" w:rsidP="008C6339">
      <w:pPr>
        <w:spacing w:after="0" w:line="240" w:lineRule="auto"/>
        <w:ind w:firstLine="709"/>
        <w:jc w:val="both"/>
        <w:rPr>
          <w:rFonts w:ascii="Arial" w:eastAsia="Arial" w:hAnsi="Arial" w:cs="Arial"/>
          <w:color w:val="5B9BD5" w:themeColor="accent1"/>
        </w:rPr>
      </w:pPr>
    </w:p>
    <w:p w14:paraId="34888755" w14:textId="77777777" w:rsidR="008C6339" w:rsidRPr="00C11394" w:rsidRDefault="008C6339" w:rsidP="008C6339">
      <w:pPr>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Al respecto, es de señalarse que las causales de sobreseimiento previstas en la Ley de Transparencia y Acceso a la Información Pública del Estado, se encuentran establecidas en el artículo 180, el cual establece, a la letra, lo siguiente:</w:t>
      </w:r>
    </w:p>
    <w:p w14:paraId="74BC9F8B" w14:textId="77777777" w:rsidR="008C6339" w:rsidRPr="00C11394" w:rsidRDefault="008C6339" w:rsidP="008C6339">
      <w:pPr>
        <w:spacing w:after="0" w:line="240" w:lineRule="auto"/>
        <w:ind w:firstLine="709"/>
        <w:jc w:val="both"/>
        <w:rPr>
          <w:rFonts w:ascii="Arial" w:eastAsia="Arial" w:hAnsi="Arial" w:cs="Arial"/>
          <w:i/>
          <w:color w:val="5B9BD5" w:themeColor="accent1"/>
        </w:rPr>
      </w:pPr>
    </w:p>
    <w:p w14:paraId="03418545" w14:textId="77777777" w:rsidR="008C6339" w:rsidRPr="00C11394" w:rsidRDefault="008C6339" w:rsidP="008C6339">
      <w:pPr>
        <w:spacing w:after="0" w:line="240" w:lineRule="auto"/>
        <w:ind w:firstLine="709"/>
        <w:jc w:val="both"/>
        <w:rPr>
          <w:rFonts w:ascii="Arial" w:eastAsia="Arial" w:hAnsi="Arial" w:cs="Arial"/>
          <w:i/>
          <w:color w:val="5B9BD5" w:themeColor="accent1"/>
        </w:rPr>
      </w:pPr>
      <w:r w:rsidRPr="00C11394">
        <w:rPr>
          <w:rFonts w:ascii="Arial" w:eastAsia="Arial" w:hAnsi="Arial" w:cs="Arial"/>
          <w:i/>
          <w:color w:val="5B9BD5" w:themeColor="accent1"/>
        </w:rPr>
        <w:t xml:space="preserve">“ARTÍCULO 180. El recurso será sobreseído, en todo o en parte, cuando, una vez admitido, se actualicen alguno de los siguientes supuestos: </w:t>
      </w:r>
    </w:p>
    <w:p w14:paraId="03A25F98" w14:textId="77777777" w:rsidR="008C6339" w:rsidRPr="00C11394" w:rsidRDefault="008C6339" w:rsidP="008C6339">
      <w:pPr>
        <w:spacing w:after="0" w:line="240" w:lineRule="auto"/>
        <w:ind w:firstLine="709"/>
        <w:jc w:val="both"/>
        <w:rPr>
          <w:rFonts w:ascii="Arial" w:eastAsia="Arial" w:hAnsi="Arial" w:cs="Arial"/>
          <w:i/>
          <w:color w:val="5B9BD5" w:themeColor="accent1"/>
        </w:rPr>
      </w:pPr>
    </w:p>
    <w:p w14:paraId="0739EE31" w14:textId="77777777" w:rsidR="008C6339" w:rsidRPr="00C11394" w:rsidRDefault="008C6339" w:rsidP="008C6339">
      <w:pPr>
        <w:spacing w:after="0" w:line="240" w:lineRule="auto"/>
        <w:ind w:firstLine="709"/>
        <w:jc w:val="both"/>
        <w:rPr>
          <w:rFonts w:ascii="Arial" w:eastAsia="Arial" w:hAnsi="Arial" w:cs="Arial"/>
          <w:i/>
          <w:color w:val="5B9BD5" w:themeColor="accent1"/>
        </w:rPr>
      </w:pPr>
      <w:r w:rsidRPr="00C11394">
        <w:rPr>
          <w:rFonts w:ascii="Arial" w:eastAsia="Arial" w:hAnsi="Arial" w:cs="Arial"/>
          <w:i/>
          <w:color w:val="5B9BD5" w:themeColor="accent1"/>
        </w:rPr>
        <w:t xml:space="preserve">I. El recurrente se desista; </w:t>
      </w:r>
    </w:p>
    <w:p w14:paraId="54737919" w14:textId="77777777" w:rsidR="008C6339" w:rsidRPr="00C11394" w:rsidRDefault="008C6339" w:rsidP="008C6339">
      <w:pPr>
        <w:spacing w:after="0" w:line="240" w:lineRule="auto"/>
        <w:ind w:firstLine="709"/>
        <w:jc w:val="both"/>
        <w:rPr>
          <w:rFonts w:ascii="Arial" w:eastAsia="Arial" w:hAnsi="Arial" w:cs="Arial"/>
          <w:i/>
          <w:color w:val="5B9BD5" w:themeColor="accent1"/>
        </w:rPr>
      </w:pPr>
    </w:p>
    <w:p w14:paraId="6CF9A493" w14:textId="77777777" w:rsidR="008C6339" w:rsidRPr="00C11394" w:rsidRDefault="008C6339" w:rsidP="008C6339">
      <w:pPr>
        <w:spacing w:after="0" w:line="240" w:lineRule="auto"/>
        <w:ind w:firstLine="709"/>
        <w:jc w:val="both"/>
        <w:rPr>
          <w:rFonts w:ascii="Arial" w:eastAsia="Arial" w:hAnsi="Arial" w:cs="Arial"/>
          <w:i/>
          <w:color w:val="5B9BD5" w:themeColor="accent1"/>
        </w:rPr>
      </w:pPr>
      <w:r w:rsidRPr="00C11394">
        <w:rPr>
          <w:rFonts w:ascii="Arial" w:eastAsia="Arial" w:hAnsi="Arial" w:cs="Arial"/>
          <w:i/>
          <w:color w:val="5B9BD5" w:themeColor="accent1"/>
        </w:rPr>
        <w:t xml:space="preserve">II. El recurrente fallezca; </w:t>
      </w:r>
    </w:p>
    <w:p w14:paraId="402B9550" w14:textId="77777777" w:rsidR="008C6339" w:rsidRPr="00C11394" w:rsidRDefault="008C6339" w:rsidP="008C6339">
      <w:pPr>
        <w:spacing w:after="0" w:line="240" w:lineRule="auto"/>
        <w:ind w:firstLine="709"/>
        <w:jc w:val="both"/>
        <w:rPr>
          <w:rFonts w:ascii="Arial" w:eastAsia="Arial" w:hAnsi="Arial" w:cs="Arial"/>
          <w:i/>
          <w:color w:val="5B9BD5" w:themeColor="accent1"/>
        </w:rPr>
      </w:pPr>
    </w:p>
    <w:p w14:paraId="630BE5EB" w14:textId="77777777" w:rsidR="008C6339" w:rsidRPr="00C11394" w:rsidRDefault="008C6339" w:rsidP="008C6339">
      <w:pPr>
        <w:spacing w:after="0" w:line="240" w:lineRule="auto"/>
        <w:ind w:firstLine="709"/>
        <w:jc w:val="both"/>
        <w:rPr>
          <w:rFonts w:ascii="Arial" w:eastAsia="Arial" w:hAnsi="Arial" w:cs="Arial"/>
          <w:i/>
          <w:color w:val="5B9BD5" w:themeColor="accent1"/>
        </w:rPr>
      </w:pPr>
      <w:r w:rsidRPr="00C11394">
        <w:rPr>
          <w:rFonts w:ascii="Arial" w:eastAsia="Arial" w:hAnsi="Arial" w:cs="Arial"/>
          <w:i/>
          <w:color w:val="5B9BD5" w:themeColor="accent1"/>
        </w:rPr>
        <w:t>III. El sujeto obligado responsable del acto lo modifique o revoque de tal manera que el recurso de revisión quede sin materia, o</w:t>
      </w:r>
    </w:p>
    <w:p w14:paraId="5A8049A0" w14:textId="77777777" w:rsidR="008C6339" w:rsidRPr="00C11394" w:rsidRDefault="008C6339" w:rsidP="008C6339">
      <w:pPr>
        <w:spacing w:after="0" w:line="240" w:lineRule="auto"/>
        <w:ind w:firstLine="709"/>
        <w:jc w:val="both"/>
        <w:rPr>
          <w:rFonts w:ascii="Arial" w:eastAsia="Arial" w:hAnsi="Arial" w:cs="Arial"/>
          <w:i/>
          <w:color w:val="5B9BD5" w:themeColor="accent1"/>
        </w:rPr>
      </w:pPr>
    </w:p>
    <w:p w14:paraId="0695767D" w14:textId="77777777" w:rsidR="008C6339" w:rsidRPr="00C11394" w:rsidRDefault="008C6339" w:rsidP="008C6339">
      <w:pPr>
        <w:spacing w:after="0" w:line="240" w:lineRule="auto"/>
        <w:ind w:firstLine="709"/>
        <w:jc w:val="both"/>
        <w:rPr>
          <w:rFonts w:ascii="Arial" w:eastAsia="Arial" w:hAnsi="Arial" w:cs="Arial"/>
          <w:i/>
          <w:color w:val="5B9BD5" w:themeColor="accent1"/>
        </w:rPr>
      </w:pPr>
      <w:r w:rsidRPr="00C11394">
        <w:rPr>
          <w:rFonts w:ascii="Arial" w:eastAsia="Arial" w:hAnsi="Arial" w:cs="Arial"/>
          <w:i/>
          <w:color w:val="5B9BD5" w:themeColor="accent1"/>
        </w:rPr>
        <w:t>IV Admitido el recurso de revisión, aparezca alguna causal de improcedencia en los términos del presente Capítulo.”</w:t>
      </w:r>
    </w:p>
    <w:p w14:paraId="2EEF5A73" w14:textId="77777777" w:rsidR="008C6339" w:rsidRPr="00C11394" w:rsidRDefault="008C6339" w:rsidP="008C6339">
      <w:pPr>
        <w:spacing w:after="0" w:line="240" w:lineRule="auto"/>
        <w:ind w:firstLine="709"/>
        <w:jc w:val="both"/>
        <w:rPr>
          <w:rFonts w:ascii="Arial" w:eastAsia="Arial" w:hAnsi="Arial" w:cs="Arial"/>
          <w:color w:val="5B9BD5" w:themeColor="accent1"/>
        </w:rPr>
      </w:pPr>
    </w:p>
    <w:p w14:paraId="2F6DBABB" w14:textId="77777777" w:rsidR="008C6339" w:rsidRPr="00C11394" w:rsidRDefault="008C6339" w:rsidP="008C6339">
      <w:pPr>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En el presente caso, no se actualiza alguna de las causales anteriormente citadas, y por el contrario, según se analizará en la presente resolución, la litis en este asunto es determinar si la información entregada al particular por el sujeto obligado, hasta interpuesto el recurso de revisión que hoy nos ocupa, satisface a cabalidad su solicitud, razón por la cual existe materia de análisis y no resulta procedente sobreseer el presente recurso de revisión.</w:t>
      </w:r>
    </w:p>
    <w:p w14:paraId="5A4A1A42" w14:textId="67DE422C" w:rsidR="008C6339" w:rsidRPr="00C11394" w:rsidRDefault="008C6339" w:rsidP="00C843FB">
      <w:pPr>
        <w:spacing w:after="0" w:line="240" w:lineRule="auto"/>
        <w:ind w:firstLine="709"/>
        <w:jc w:val="both"/>
        <w:rPr>
          <w:rFonts w:ascii="Arial" w:eastAsia="Arial" w:hAnsi="Arial" w:cs="Arial"/>
          <w:color w:val="5B9BD5" w:themeColor="accent1"/>
        </w:rPr>
      </w:pPr>
    </w:p>
    <w:p w14:paraId="502B345C" w14:textId="77777777" w:rsidR="008C6339" w:rsidRPr="00C11394" w:rsidRDefault="008C6339" w:rsidP="00C843FB">
      <w:pPr>
        <w:spacing w:after="0" w:line="240" w:lineRule="auto"/>
        <w:ind w:firstLine="709"/>
        <w:jc w:val="both"/>
        <w:rPr>
          <w:rFonts w:ascii="Arial" w:eastAsia="Arial" w:hAnsi="Arial" w:cs="Arial"/>
          <w:color w:val="5B9BD5" w:themeColor="accent1"/>
        </w:rPr>
      </w:pPr>
    </w:p>
    <w:p w14:paraId="45AE4CBF" w14:textId="0BFB7446"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TERCERO</w:t>
      </w:r>
      <w:r w:rsidRPr="00C11394">
        <w:rPr>
          <w:rFonts w:eastAsia="Arial" w:cs="Arial"/>
          <w:color w:val="5B9BD5" w:themeColor="accent1"/>
          <w:sz w:val="22"/>
          <w:szCs w:val="22"/>
        </w:rPr>
        <w:t xml:space="preserve">. </w:t>
      </w:r>
      <w:r w:rsidRPr="00C11394">
        <w:rPr>
          <w:rFonts w:eastAsia="Arial" w:cs="Arial"/>
          <w:b/>
          <w:bCs/>
          <w:color w:val="5B9BD5" w:themeColor="accent1"/>
          <w:sz w:val="22"/>
          <w:szCs w:val="22"/>
        </w:rPr>
        <w:t xml:space="preserve">Caso Concreto. </w:t>
      </w:r>
      <w:r w:rsidRPr="00C11394">
        <w:rPr>
          <w:rFonts w:eastAsia="Arial" w:cs="Arial"/>
          <w:color w:val="5B9BD5" w:themeColor="accent1"/>
          <w:sz w:val="22"/>
          <w:szCs w:val="22"/>
        </w:rPr>
        <w:t>En la solicitud de acceso a la información,</w:t>
      </w:r>
      <w:r w:rsidR="00F5045A" w:rsidRPr="00C11394">
        <w:rPr>
          <w:rFonts w:eastAsia="Arial" w:cs="Arial"/>
          <w:color w:val="5B9BD5" w:themeColor="accent1"/>
          <w:sz w:val="22"/>
          <w:szCs w:val="22"/>
        </w:rPr>
        <w:t xml:space="preserve"> el hoy recurrente solicitó al</w:t>
      </w:r>
      <w:r w:rsidRPr="00C11394">
        <w:rPr>
          <w:rFonts w:eastAsia="Arial" w:cs="Arial"/>
          <w:color w:val="5B9BD5" w:themeColor="accent1"/>
          <w:sz w:val="22"/>
          <w:szCs w:val="22"/>
        </w:rPr>
        <w:t xml:space="preserve"> </w:t>
      </w:r>
      <w:r w:rsidR="00E85217" w:rsidRPr="00C11394">
        <w:rPr>
          <w:rFonts w:eastAsia="Arial" w:cs="Arial"/>
          <w:color w:val="5B9BD5" w:themeColor="accent1"/>
          <w:sz w:val="22"/>
          <w:szCs w:val="22"/>
        </w:rPr>
        <w:t>COORDINACIÓN GENERAL DE PROTECCIÓN CIVIL DEL ESTADO</w:t>
      </w:r>
      <w:r w:rsidRPr="00C11394">
        <w:rPr>
          <w:rFonts w:eastAsia="Arial" w:cs="Arial"/>
          <w:color w:val="5B9BD5" w:themeColor="accent1"/>
          <w:sz w:val="22"/>
          <w:szCs w:val="22"/>
        </w:rPr>
        <w:t xml:space="preserve">, S.L.P. a saber: </w:t>
      </w:r>
    </w:p>
    <w:p w14:paraId="4AC32423" w14:textId="4101A02F" w:rsidR="00C843FB" w:rsidRDefault="00C843FB" w:rsidP="00C843FB">
      <w:pPr>
        <w:spacing w:after="0" w:line="240" w:lineRule="auto"/>
        <w:ind w:firstLine="709"/>
        <w:jc w:val="both"/>
        <w:rPr>
          <w:rFonts w:ascii="Arial" w:eastAsia="Arial" w:hAnsi="Arial" w:cs="Arial"/>
          <w:color w:val="5B9BD5" w:themeColor="accent1"/>
        </w:rPr>
      </w:pPr>
    </w:p>
    <w:p w14:paraId="766B0D4D" w14:textId="77777777" w:rsidR="00C11394" w:rsidRPr="00C11394" w:rsidRDefault="00C11394" w:rsidP="00C843FB">
      <w:pPr>
        <w:spacing w:after="0" w:line="240" w:lineRule="auto"/>
        <w:ind w:firstLine="709"/>
        <w:jc w:val="both"/>
        <w:rPr>
          <w:rFonts w:ascii="Arial" w:eastAsia="Arial" w:hAnsi="Arial" w:cs="Arial"/>
          <w:color w:val="5B9BD5" w:themeColor="accent1"/>
        </w:rPr>
      </w:pPr>
    </w:p>
    <w:p w14:paraId="38AC0F97" w14:textId="77777777" w:rsidR="008C6339" w:rsidRPr="00C11394" w:rsidRDefault="00C843FB" w:rsidP="008C6339">
      <w:pPr>
        <w:pStyle w:val="corte4fondo"/>
        <w:spacing w:line="240" w:lineRule="auto"/>
        <w:ind w:left="709" w:right="900"/>
        <w:rPr>
          <w:rFonts w:eastAsia="Arial" w:cs="Arial"/>
          <w:i/>
          <w:iCs/>
          <w:color w:val="5B9BD5" w:themeColor="accent1"/>
          <w:sz w:val="22"/>
          <w:szCs w:val="22"/>
        </w:rPr>
      </w:pPr>
      <w:r w:rsidRPr="00C11394">
        <w:rPr>
          <w:rFonts w:eastAsia="Arial" w:cs="Arial"/>
          <w:i/>
          <w:iCs/>
          <w:color w:val="5B9BD5" w:themeColor="accent1"/>
          <w:sz w:val="22"/>
          <w:szCs w:val="22"/>
        </w:rPr>
        <w:t>“</w:t>
      </w:r>
      <w:r w:rsidR="008C6339" w:rsidRPr="00C11394">
        <w:rPr>
          <w:rFonts w:eastAsia="Arial" w:cs="Arial"/>
          <w:i/>
          <w:iCs/>
          <w:color w:val="5B9BD5" w:themeColor="accent1"/>
          <w:sz w:val="22"/>
          <w:szCs w:val="22"/>
        </w:rPr>
        <w:t>1- que se me informe cuanto dinero fue destinado para la atención de la DECLARATORIA de Emergencia Extraordinaria por la presencia de onda cálida ocurrida del 23 al 26 de julio de 2018, en 19 municipios del Estado de San Luis Potosí.</w:t>
      </w:r>
    </w:p>
    <w:p w14:paraId="3BDEE587" w14:textId="77777777" w:rsidR="008C6339" w:rsidRPr="00C11394" w:rsidRDefault="008C6339" w:rsidP="008C6339">
      <w:pPr>
        <w:pStyle w:val="corte4fondo"/>
        <w:spacing w:line="240" w:lineRule="auto"/>
        <w:ind w:left="709" w:right="900"/>
        <w:rPr>
          <w:rFonts w:eastAsia="Arial" w:cs="Arial"/>
          <w:i/>
          <w:iCs/>
          <w:color w:val="5B9BD5" w:themeColor="accent1"/>
          <w:sz w:val="22"/>
          <w:szCs w:val="22"/>
        </w:rPr>
      </w:pPr>
      <w:r w:rsidRPr="00C11394">
        <w:rPr>
          <w:rFonts w:eastAsia="Arial" w:cs="Arial"/>
          <w:i/>
          <w:iCs/>
          <w:color w:val="5B9BD5" w:themeColor="accent1"/>
          <w:sz w:val="22"/>
          <w:szCs w:val="22"/>
        </w:rPr>
        <w:t>2. que se informe De la declaratoria de Emergencia Extraordinaria por la presencia de onda cálida ocurrida del 23 al 26 de julio de 2018, en 19 municipios del Estado de San Luis Potosí, cuantos recursos fueron entregados al municipio de san ciro de acosta, en que consistieron los recursos entregados, a quienes fueron entregados y se me proporcione una copia de  recibido de los recursos entregados.</w:t>
      </w:r>
    </w:p>
    <w:p w14:paraId="6E0FC85E" w14:textId="7118456E" w:rsidR="00C843FB" w:rsidRPr="00C11394" w:rsidRDefault="008C6339" w:rsidP="008C6339">
      <w:pPr>
        <w:pStyle w:val="corte4fondo"/>
        <w:spacing w:line="240" w:lineRule="auto"/>
        <w:ind w:left="709" w:right="900" w:firstLine="0"/>
        <w:rPr>
          <w:rFonts w:eastAsia="Arial" w:cs="Arial"/>
          <w:color w:val="5B9BD5" w:themeColor="accent1"/>
          <w:sz w:val="22"/>
          <w:szCs w:val="22"/>
        </w:rPr>
      </w:pPr>
      <w:r w:rsidRPr="00C11394">
        <w:rPr>
          <w:rFonts w:eastAsia="Arial" w:cs="Arial"/>
          <w:i/>
          <w:iCs/>
          <w:color w:val="5B9BD5" w:themeColor="accent1"/>
          <w:sz w:val="22"/>
          <w:szCs w:val="22"/>
        </w:rPr>
        <w:t>3- Que la información que se me proporcione no incurra en lo especificado en el capitulo III articulo 97 fraccion IV Y V de la Ley  de Transparencia y Acceso a la Información Pública del Estado de San Luis Potosí.</w:t>
      </w:r>
      <w:r w:rsidR="00C843FB" w:rsidRPr="00C11394">
        <w:rPr>
          <w:rFonts w:eastAsia="Arial" w:cs="Arial"/>
          <w:i/>
          <w:iCs/>
          <w:color w:val="5B9BD5" w:themeColor="accent1"/>
          <w:sz w:val="22"/>
          <w:szCs w:val="22"/>
        </w:rPr>
        <w:t>” (sic)</w:t>
      </w:r>
    </w:p>
    <w:p w14:paraId="6E86BFC6"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4277F20F" w14:textId="3A68C24B"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color w:val="5B9BD5" w:themeColor="accent1"/>
          <w:sz w:val="22"/>
          <w:szCs w:val="22"/>
        </w:rPr>
        <w:t xml:space="preserve">Por su parte, a través de su escrito de informe, el sujeto obligado </w:t>
      </w:r>
      <w:r w:rsidR="00285F0D" w:rsidRPr="00C11394">
        <w:rPr>
          <w:rFonts w:eastAsia="Arial" w:cs="Arial"/>
          <w:color w:val="5B9BD5" w:themeColor="accent1"/>
          <w:sz w:val="22"/>
          <w:szCs w:val="22"/>
        </w:rPr>
        <w:t>manifestó modificar su respuesta primigenia; y, señala remitir la información solicitada por el ahora recurrente</w:t>
      </w:r>
      <w:r w:rsidRPr="00C11394">
        <w:rPr>
          <w:rFonts w:eastAsia="Arial" w:cs="Arial"/>
          <w:color w:val="5B9BD5" w:themeColor="accent1"/>
          <w:sz w:val="22"/>
          <w:szCs w:val="22"/>
        </w:rPr>
        <w:t>.</w:t>
      </w:r>
    </w:p>
    <w:p w14:paraId="0E8E0F48"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7AECEADC" w14:textId="2AC7546E" w:rsidR="00C843FB" w:rsidRPr="00C11394" w:rsidRDefault="00C843FB" w:rsidP="00C843FB">
      <w:pPr>
        <w:pStyle w:val="corte4fondo"/>
        <w:spacing w:line="240" w:lineRule="auto"/>
        <w:rPr>
          <w:rFonts w:eastAsia="Arial" w:cs="Arial"/>
          <w:color w:val="5B9BD5" w:themeColor="accent1"/>
          <w:sz w:val="22"/>
          <w:szCs w:val="22"/>
        </w:rPr>
      </w:pPr>
      <w:r w:rsidRPr="00C11394">
        <w:rPr>
          <w:rFonts w:eastAsia="Arial" w:cs="Arial"/>
          <w:b/>
          <w:bCs/>
          <w:color w:val="5B9BD5" w:themeColor="accent1"/>
          <w:sz w:val="22"/>
          <w:szCs w:val="22"/>
        </w:rPr>
        <w:t>CUARTO</w:t>
      </w:r>
      <w:r w:rsidRPr="00C11394">
        <w:rPr>
          <w:rFonts w:eastAsia="Arial" w:cs="Arial"/>
          <w:color w:val="5B9BD5" w:themeColor="accent1"/>
          <w:sz w:val="22"/>
          <w:szCs w:val="22"/>
        </w:rPr>
        <w:t xml:space="preserve">. Derivado de lo anterior, se advierte que la resolución resolverá si, la información que constituye el objeto del presente </w:t>
      </w:r>
      <w:r w:rsidR="005E5EEB" w:rsidRPr="00C11394">
        <w:rPr>
          <w:rFonts w:eastAsia="Arial" w:cs="Arial"/>
          <w:color w:val="5B9BD5" w:themeColor="accent1"/>
          <w:sz w:val="22"/>
          <w:szCs w:val="22"/>
        </w:rPr>
        <w:t>recurso</w:t>
      </w:r>
      <w:r w:rsidRPr="00C11394">
        <w:rPr>
          <w:rFonts w:eastAsia="Arial" w:cs="Arial"/>
          <w:color w:val="5B9BD5" w:themeColor="accent1"/>
          <w:sz w:val="22"/>
          <w:szCs w:val="22"/>
        </w:rPr>
        <w:t xml:space="preserve"> </w:t>
      </w:r>
      <w:r w:rsidR="005E5EEB" w:rsidRPr="00C11394">
        <w:rPr>
          <w:rFonts w:eastAsia="Arial" w:cs="Arial"/>
          <w:color w:val="5B9BD5" w:themeColor="accent1"/>
          <w:sz w:val="22"/>
          <w:szCs w:val="22"/>
        </w:rPr>
        <w:t xml:space="preserve">fue entregada al solicitante en tiempo y forma, </w:t>
      </w:r>
      <w:r w:rsidRPr="00C11394">
        <w:rPr>
          <w:rFonts w:eastAsia="Arial" w:cs="Arial"/>
          <w:color w:val="5B9BD5" w:themeColor="accent1"/>
          <w:sz w:val="22"/>
          <w:szCs w:val="22"/>
        </w:rPr>
        <w:t xml:space="preserve">de </w:t>
      </w:r>
      <w:r w:rsidR="005E5EEB" w:rsidRPr="00C11394">
        <w:rPr>
          <w:rFonts w:eastAsia="Arial" w:cs="Arial"/>
          <w:color w:val="5B9BD5" w:themeColor="accent1"/>
          <w:sz w:val="22"/>
          <w:szCs w:val="22"/>
        </w:rPr>
        <w:t>conformidad</w:t>
      </w:r>
      <w:r w:rsidRPr="00C11394">
        <w:rPr>
          <w:rFonts w:eastAsia="Arial" w:cs="Arial"/>
          <w:color w:val="5B9BD5" w:themeColor="accent1"/>
          <w:sz w:val="22"/>
          <w:szCs w:val="22"/>
        </w:rPr>
        <w:t xml:space="preserve"> con lo dispuesto por los artículos 3, fracción XIII y XIV, 4,18, 19, 54 fracciones III y IV, 143, y 151 de la Ley de Transparencia y Acceso a la Información Pública del Estado de San Luis Potosí y demás normativa aplicable.</w:t>
      </w:r>
    </w:p>
    <w:p w14:paraId="6DFAF27B"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4F353C90" w14:textId="7FEA570A" w:rsidR="00C843FB" w:rsidRPr="00C11394" w:rsidRDefault="005E5EEB" w:rsidP="00C843FB">
      <w:pPr>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Así entonces, resulta necesario precisar lo siguiente:</w:t>
      </w:r>
    </w:p>
    <w:p w14:paraId="5C1A1C55" w14:textId="3D50C295" w:rsidR="005E5EEB" w:rsidRPr="00C11394" w:rsidRDefault="005E5EEB" w:rsidP="00C843FB">
      <w:pPr>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 xml:space="preserve"> </w:t>
      </w:r>
    </w:p>
    <w:p w14:paraId="5E459FE0" w14:textId="74156953" w:rsidR="005E5EEB" w:rsidRPr="00C11394" w:rsidRDefault="005E5EEB" w:rsidP="00C843FB">
      <w:pPr>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 xml:space="preserve">El artículo 3°, fracciones XII y XIII así como 4°, de la Ley de Transparencia y Acceso a la Información Pública del Estado de San Luis Potosí señalan lo siguiente: </w:t>
      </w:r>
    </w:p>
    <w:p w14:paraId="405E98BD" w14:textId="77777777" w:rsidR="005E5EEB" w:rsidRPr="00C11394" w:rsidRDefault="005E5EEB" w:rsidP="00C843FB">
      <w:pPr>
        <w:spacing w:after="0" w:line="240" w:lineRule="auto"/>
        <w:ind w:firstLine="709"/>
        <w:jc w:val="both"/>
        <w:rPr>
          <w:rFonts w:ascii="Arial" w:eastAsia="Arial" w:hAnsi="Arial" w:cs="Arial"/>
          <w:color w:val="5B9BD5" w:themeColor="accent1"/>
        </w:rPr>
      </w:pPr>
    </w:p>
    <w:p w14:paraId="092FFBAF" w14:textId="6DE39A60" w:rsidR="005E5EEB" w:rsidRPr="00C11394" w:rsidRDefault="00C843FB" w:rsidP="005E5EEB">
      <w:pPr>
        <w:pStyle w:val="corte4fondo"/>
        <w:spacing w:line="240" w:lineRule="auto"/>
        <w:ind w:left="709" w:right="900" w:firstLine="0"/>
        <w:rPr>
          <w:rFonts w:eastAsia="Arial" w:cs="Arial"/>
          <w:b/>
          <w:bCs/>
          <w:i/>
          <w:iCs/>
          <w:color w:val="5B9BD5" w:themeColor="accent1"/>
          <w:sz w:val="22"/>
          <w:szCs w:val="22"/>
        </w:rPr>
      </w:pPr>
      <w:r w:rsidRPr="00C11394">
        <w:rPr>
          <w:rFonts w:eastAsia="Arial" w:cs="Arial"/>
          <w:b/>
          <w:bCs/>
          <w:i/>
          <w:iCs/>
          <w:color w:val="5B9BD5" w:themeColor="accent1"/>
          <w:sz w:val="22"/>
          <w:szCs w:val="22"/>
        </w:rPr>
        <w:t>“</w:t>
      </w:r>
      <w:r w:rsidR="005E5EEB" w:rsidRPr="00C11394">
        <w:rPr>
          <w:rFonts w:eastAsia="Arial" w:cs="Arial"/>
          <w:b/>
          <w:bCs/>
          <w:i/>
          <w:iCs/>
          <w:color w:val="5B9BD5" w:themeColor="accent1"/>
          <w:sz w:val="22"/>
          <w:szCs w:val="22"/>
        </w:rPr>
        <w:t>[…]</w:t>
      </w:r>
    </w:p>
    <w:p w14:paraId="48613F19" w14:textId="69BCC073" w:rsidR="00C843FB" w:rsidRPr="00C11394" w:rsidRDefault="00C843FB" w:rsidP="005E5EEB">
      <w:pPr>
        <w:pStyle w:val="corte4fondo"/>
        <w:spacing w:line="240" w:lineRule="auto"/>
        <w:ind w:left="709" w:right="900" w:firstLine="0"/>
        <w:rPr>
          <w:rFonts w:eastAsia="Arial" w:cs="Arial"/>
          <w:color w:val="5B9BD5" w:themeColor="accent1"/>
          <w:sz w:val="22"/>
          <w:szCs w:val="22"/>
        </w:rPr>
      </w:pPr>
      <w:r w:rsidRPr="00C11394">
        <w:rPr>
          <w:rFonts w:eastAsia="Arial" w:cs="Arial"/>
          <w:b/>
          <w:bCs/>
          <w:i/>
          <w:iCs/>
          <w:color w:val="5B9BD5" w:themeColor="accent1"/>
          <w:sz w:val="22"/>
          <w:szCs w:val="22"/>
        </w:rPr>
        <w:t>ARTÍCULO 3°</w:t>
      </w:r>
      <w:r w:rsidRPr="00C11394">
        <w:rPr>
          <w:rFonts w:eastAsia="Arial" w:cs="Arial"/>
          <w:i/>
          <w:iCs/>
          <w:color w:val="5B9BD5" w:themeColor="accent1"/>
          <w:sz w:val="22"/>
          <w:szCs w:val="22"/>
        </w:rPr>
        <w:t>.</w:t>
      </w:r>
      <w:r w:rsidRPr="00C11394">
        <w:rPr>
          <w:rFonts w:eastAsia="Arial" w:cs="Arial"/>
          <w:b/>
          <w:bCs/>
          <w:i/>
          <w:iCs/>
          <w:color w:val="5B9BD5" w:themeColor="accent1"/>
          <w:sz w:val="22"/>
          <w:szCs w:val="22"/>
        </w:rPr>
        <w:t xml:space="preserve"> </w:t>
      </w:r>
      <w:r w:rsidRPr="00C11394">
        <w:rPr>
          <w:rFonts w:eastAsia="Arial" w:cs="Arial"/>
          <w:i/>
          <w:iCs/>
          <w:color w:val="5B9BD5" w:themeColor="accent1"/>
          <w:sz w:val="22"/>
          <w:szCs w:val="22"/>
        </w:rPr>
        <w:t>Para los efectos de la presente Ley se entenderá por:</w:t>
      </w:r>
    </w:p>
    <w:p w14:paraId="55BE734E" w14:textId="77777777" w:rsidR="00C843FB" w:rsidRPr="00C11394" w:rsidRDefault="00C843FB" w:rsidP="005E5EEB">
      <w:pPr>
        <w:spacing w:after="0" w:line="240" w:lineRule="auto"/>
        <w:ind w:left="709" w:right="900"/>
        <w:jc w:val="both"/>
        <w:rPr>
          <w:rFonts w:ascii="Arial" w:eastAsia="Arial" w:hAnsi="Arial" w:cs="Arial"/>
          <w:color w:val="5B9BD5" w:themeColor="accent1"/>
        </w:rPr>
      </w:pPr>
    </w:p>
    <w:p w14:paraId="065A4D48" w14:textId="1A05285B" w:rsidR="00C843FB" w:rsidRPr="00C11394" w:rsidRDefault="005E5EEB" w:rsidP="005E5EEB">
      <w:pPr>
        <w:pStyle w:val="corte4fondo"/>
        <w:spacing w:line="240" w:lineRule="auto"/>
        <w:ind w:left="709" w:right="900" w:firstLine="0"/>
        <w:rPr>
          <w:rFonts w:eastAsia="Arial" w:cs="Arial"/>
          <w:color w:val="5B9BD5" w:themeColor="accent1"/>
          <w:sz w:val="22"/>
          <w:szCs w:val="22"/>
        </w:rPr>
      </w:pPr>
      <w:r w:rsidRPr="00C11394">
        <w:rPr>
          <w:rFonts w:eastAsia="Arial" w:cs="Arial"/>
          <w:i/>
          <w:iCs/>
          <w:color w:val="5B9BD5" w:themeColor="accent1"/>
          <w:sz w:val="22"/>
          <w:szCs w:val="22"/>
        </w:rPr>
        <w:t>[…]</w:t>
      </w:r>
    </w:p>
    <w:p w14:paraId="176F3F60" w14:textId="77777777" w:rsidR="005E5EEB" w:rsidRPr="00C11394" w:rsidRDefault="005E5EEB" w:rsidP="005E5EEB">
      <w:pPr>
        <w:spacing w:after="0" w:line="240" w:lineRule="auto"/>
        <w:ind w:left="709" w:right="900"/>
        <w:jc w:val="both"/>
        <w:rPr>
          <w:rFonts w:ascii="Arial" w:eastAsia="Arial" w:hAnsi="Arial" w:cs="Arial"/>
          <w:color w:val="5B9BD5" w:themeColor="accent1"/>
        </w:rPr>
      </w:pPr>
      <w:r w:rsidRPr="00C11394">
        <w:rPr>
          <w:rFonts w:ascii="Arial" w:eastAsia="Arial" w:hAnsi="Arial" w:cs="Arial"/>
          <w:b/>
          <w:bCs/>
          <w:color w:val="5B9BD5" w:themeColor="accent1"/>
        </w:rPr>
        <w:t>XII. Derecho de Acceso a la información pública:</w:t>
      </w:r>
      <w:r w:rsidRPr="00C11394">
        <w:rPr>
          <w:rFonts w:ascii="Arial" w:eastAsia="Arial" w:hAnsi="Arial" w:cs="Arial"/>
          <w:color w:val="5B9BD5" w:themeColor="accent1"/>
        </w:rPr>
        <w:t xml:space="preserve"> derecho humano de las personas para acceder a la información pública en posesión de los sujetos obligados, en los términos de esta Ley;</w:t>
      </w:r>
    </w:p>
    <w:p w14:paraId="515383BE" w14:textId="77777777" w:rsidR="00C843FB" w:rsidRPr="00C11394" w:rsidRDefault="00C843FB" w:rsidP="005E5EEB">
      <w:pPr>
        <w:spacing w:after="0" w:line="240" w:lineRule="auto"/>
        <w:ind w:left="709" w:right="900"/>
        <w:jc w:val="both"/>
        <w:rPr>
          <w:rFonts w:ascii="Arial" w:eastAsia="Arial" w:hAnsi="Arial" w:cs="Arial"/>
          <w:color w:val="5B9BD5" w:themeColor="accent1"/>
        </w:rPr>
      </w:pPr>
    </w:p>
    <w:p w14:paraId="0BF1FFE5" w14:textId="77777777" w:rsidR="00C843FB" w:rsidRPr="00C11394" w:rsidRDefault="00C843FB" w:rsidP="005E5EEB">
      <w:pPr>
        <w:pStyle w:val="corte4fondo"/>
        <w:spacing w:line="240" w:lineRule="auto"/>
        <w:ind w:left="709" w:right="900" w:firstLine="0"/>
        <w:rPr>
          <w:rFonts w:eastAsia="Arial" w:cs="Arial"/>
          <w:color w:val="5B9BD5" w:themeColor="accent1"/>
          <w:sz w:val="22"/>
          <w:szCs w:val="22"/>
        </w:rPr>
      </w:pPr>
      <w:r w:rsidRPr="00C11394">
        <w:rPr>
          <w:rFonts w:eastAsia="Arial" w:cs="Arial"/>
          <w:b/>
          <w:bCs/>
          <w:i/>
          <w:iCs/>
          <w:color w:val="5B9BD5" w:themeColor="accent1"/>
          <w:sz w:val="22"/>
          <w:szCs w:val="22"/>
        </w:rPr>
        <w:t xml:space="preserve">XIII. Documento: </w:t>
      </w:r>
      <w:r w:rsidRPr="00C11394">
        <w:rPr>
          <w:rFonts w:eastAsia="Arial" w:cs="Arial"/>
          <w:i/>
          <w:iCs/>
          <w:color w:val="5B9BD5" w:themeColor="accent1"/>
          <w:sz w:val="22"/>
          <w:szCs w:val="22"/>
        </w:rPr>
        <w:t xml:space="preserve">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 </w:t>
      </w:r>
    </w:p>
    <w:p w14:paraId="5DF2AEEF" w14:textId="6CF9756B" w:rsidR="00C843FB" w:rsidRPr="00C11394" w:rsidRDefault="005E5EEB" w:rsidP="005E5EEB">
      <w:pPr>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w:t>
      </w:r>
    </w:p>
    <w:p w14:paraId="4AB6992C" w14:textId="2B9E0F46" w:rsidR="00C843FB" w:rsidRPr="00C11394" w:rsidRDefault="00C843FB" w:rsidP="005E5EEB">
      <w:pPr>
        <w:spacing w:after="200" w:line="240" w:lineRule="auto"/>
        <w:ind w:left="709" w:right="900"/>
        <w:jc w:val="both"/>
        <w:rPr>
          <w:rFonts w:ascii="Arial" w:eastAsia="Arial" w:hAnsi="Arial" w:cs="Arial"/>
          <w:color w:val="5B9BD5" w:themeColor="accent1"/>
        </w:rPr>
      </w:pPr>
      <w:r w:rsidRPr="00C11394">
        <w:rPr>
          <w:rFonts w:ascii="Arial" w:eastAsia="Arial" w:hAnsi="Arial" w:cs="Arial"/>
          <w:b/>
          <w:bCs/>
          <w:i/>
          <w:iCs/>
          <w:color w:val="5B9BD5" w:themeColor="accent1"/>
        </w:rPr>
        <w:t>ARTÍCULO 4°</w:t>
      </w:r>
      <w:r w:rsidRPr="00C11394">
        <w:rPr>
          <w:rFonts w:ascii="Arial" w:eastAsia="Arial" w:hAnsi="Arial" w:cs="Arial"/>
          <w:i/>
          <w:iCs/>
          <w:color w:val="5B9BD5" w:themeColor="accent1"/>
        </w:rPr>
        <w:t>. El derecho humano de acceso a la información comprende solicitar, investigar, difundir, buscar y recibir información. 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5A1EFC1B" w14:textId="391A78B1" w:rsidR="00C843FB" w:rsidRPr="00C11394" w:rsidRDefault="00C843FB" w:rsidP="005E5EEB">
      <w:pPr>
        <w:spacing w:after="200" w:line="240" w:lineRule="auto"/>
        <w:ind w:right="900"/>
        <w:jc w:val="both"/>
        <w:rPr>
          <w:rFonts w:ascii="Arial" w:eastAsia="Arial" w:hAnsi="Arial" w:cs="Arial"/>
          <w:color w:val="5B9BD5" w:themeColor="accent1"/>
        </w:rPr>
      </w:pPr>
    </w:p>
    <w:p w14:paraId="3C09DA52" w14:textId="77777777" w:rsidR="00C53108" w:rsidRPr="00C11394" w:rsidRDefault="00C53108" w:rsidP="00C53108">
      <w:pPr>
        <w:spacing w:after="200" w:line="240" w:lineRule="auto"/>
        <w:ind w:right="900" w:firstLine="851"/>
        <w:jc w:val="both"/>
        <w:rPr>
          <w:rFonts w:ascii="Arial" w:eastAsia="Arial" w:hAnsi="Arial" w:cs="Arial"/>
          <w:color w:val="5B9BD5" w:themeColor="accent1"/>
        </w:rPr>
      </w:pPr>
      <w:r w:rsidRPr="00C11394">
        <w:rPr>
          <w:rFonts w:ascii="Arial" w:eastAsia="Arial" w:hAnsi="Arial" w:cs="Arial"/>
          <w:color w:val="5B9BD5" w:themeColor="accent1"/>
        </w:rPr>
        <w:t>De los preceptos anteriores, se advierten lo que conlleva el derecho humano de acceso a la información pública, así como la definición de documento; con lo cual podemos apreciar que el derecho de acceso a la información, es la prerrogativa que poseen todos los seres humanos, por el hecho de ser humanos, por medio del cual, se encuentra en posibilidad de solicitar, investigar, difundir, buscar cualquier tipo de información generada, obtenida, adquirida, transformada o conservada por los sujetos obligados, en los términos que la propia Ley lo permita, pues, existen excepciones claras establecidas en la propia Ley; asimismo, señala que cualquier expresión física, electrónica, representación o registro, de cualquier índole, donde consten hechos o actos del pasado o del presente de los sujetos obligados, son considerados como documentos</w:t>
      </w:r>
    </w:p>
    <w:p w14:paraId="3CFEC07B" w14:textId="77777777" w:rsidR="00C53108" w:rsidRPr="00C11394" w:rsidRDefault="00C53108" w:rsidP="00C53108">
      <w:pPr>
        <w:spacing w:after="200" w:line="240" w:lineRule="auto"/>
        <w:ind w:right="900" w:firstLine="851"/>
        <w:jc w:val="both"/>
        <w:rPr>
          <w:rFonts w:ascii="Arial" w:eastAsia="Arial" w:hAnsi="Arial" w:cs="Arial"/>
          <w:color w:val="5B9BD5" w:themeColor="accent1"/>
        </w:rPr>
      </w:pPr>
    </w:p>
    <w:p w14:paraId="4794EAA7" w14:textId="21C4DD9C" w:rsidR="005E5EEB" w:rsidRPr="00C11394" w:rsidRDefault="00C53108" w:rsidP="00C53108">
      <w:pPr>
        <w:spacing w:after="200" w:line="240" w:lineRule="auto"/>
        <w:ind w:right="900" w:firstLine="851"/>
        <w:jc w:val="both"/>
        <w:rPr>
          <w:rFonts w:ascii="Arial" w:eastAsia="Arial" w:hAnsi="Arial" w:cs="Arial"/>
          <w:color w:val="5B9BD5" w:themeColor="accent1"/>
        </w:rPr>
      </w:pPr>
      <w:r w:rsidRPr="00C11394">
        <w:rPr>
          <w:rFonts w:ascii="Arial" w:eastAsia="Arial" w:hAnsi="Arial" w:cs="Arial"/>
          <w:color w:val="5B9BD5" w:themeColor="accent1"/>
        </w:rPr>
        <w:t xml:space="preserve">Ahora bien, por su parte los artículos 18, 54 fracción IV y 151 de la Ley de Transparencia y Acceso a la Información Pública, establecen lo siguiente: </w:t>
      </w:r>
    </w:p>
    <w:p w14:paraId="312410C9" w14:textId="4FA4BBF8" w:rsidR="007314F3" w:rsidRPr="00C11394" w:rsidRDefault="00C843FB" w:rsidP="007314F3">
      <w:pPr>
        <w:spacing w:after="200" w:line="240" w:lineRule="auto"/>
        <w:ind w:left="709" w:right="900"/>
        <w:jc w:val="both"/>
        <w:rPr>
          <w:rFonts w:ascii="Arial" w:eastAsia="Arial" w:hAnsi="Arial" w:cs="Arial"/>
          <w:i/>
          <w:iCs/>
          <w:color w:val="5B9BD5" w:themeColor="accent1"/>
        </w:rPr>
      </w:pPr>
      <w:r w:rsidRPr="00C11394">
        <w:rPr>
          <w:rFonts w:ascii="Arial" w:eastAsia="Arial" w:hAnsi="Arial" w:cs="Arial"/>
          <w:i/>
          <w:iCs/>
          <w:color w:val="5B9BD5" w:themeColor="accent1"/>
        </w:rPr>
        <w:t>“</w:t>
      </w:r>
      <w:r w:rsidR="007314F3" w:rsidRPr="00C11394">
        <w:rPr>
          <w:rFonts w:ascii="Arial" w:eastAsia="Arial" w:hAnsi="Arial" w:cs="Arial"/>
          <w:i/>
          <w:iCs/>
          <w:color w:val="5B9BD5" w:themeColor="accent1"/>
        </w:rPr>
        <w:t>[…]</w:t>
      </w:r>
    </w:p>
    <w:p w14:paraId="71BA90D1" w14:textId="480634CA" w:rsidR="00C843FB" w:rsidRPr="00C11394" w:rsidRDefault="00C843FB" w:rsidP="007314F3">
      <w:pPr>
        <w:spacing w:after="200" w:line="240" w:lineRule="auto"/>
        <w:ind w:left="709" w:right="900"/>
        <w:jc w:val="both"/>
        <w:rPr>
          <w:rFonts w:ascii="Arial" w:eastAsia="Arial" w:hAnsi="Arial" w:cs="Arial"/>
          <w:color w:val="5B9BD5" w:themeColor="accent1"/>
        </w:rPr>
      </w:pPr>
      <w:r w:rsidRPr="00C11394">
        <w:rPr>
          <w:rFonts w:ascii="Arial" w:eastAsia="Arial" w:hAnsi="Arial" w:cs="Arial"/>
          <w:i/>
          <w:iCs/>
          <w:color w:val="5B9BD5" w:themeColor="accent1"/>
        </w:rPr>
        <w:t>ARTÍCULO 18. Los sujetos obligados deberán documentar todo acto que derive del ejercicio de sus facultades, competencias o funciones.”</w:t>
      </w:r>
    </w:p>
    <w:p w14:paraId="1755886B" w14:textId="0EB2667C" w:rsidR="007314F3" w:rsidRPr="00C11394" w:rsidRDefault="007314F3" w:rsidP="007314F3">
      <w:pPr>
        <w:spacing w:after="200" w:line="240" w:lineRule="auto"/>
        <w:ind w:left="709" w:right="900"/>
        <w:jc w:val="both"/>
        <w:rPr>
          <w:rFonts w:ascii="Arial" w:eastAsia="Arial" w:hAnsi="Arial" w:cs="Arial"/>
          <w:i/>
          <w:iCs/>
          <w:color w:val="5B9BD5" w:themeColor="accent1"/>
        </w:rPr>
      </w:pPr>
      <w:r w:rsidRPr="00C11394">
        <w:rPr>
          <w:rFonts w:ascii="Arial" w:eastAsia="Arial" w:hAnsi="Arial" w:cs="Arial"/>
          <w:i/>
          <w:iCs/>
          <w:color w:val="5B9BD5" w:themeColor="accent1"/>
        </w:rPr>
        <w:t>[…]</w:t>
      </w:r>
    </w:p>
    <w:p w14:paraId="36EFAE82" w14:textId="7DCC07D6" w:rsidR="00C843FB" w:rsidRPr="00C11394" w:rsidRDefault="00C843FB" w:rsidP="007314F3">
      <w:pPr>
        <w:spacing w:after="200" w:line="240" w:lineRule="auto"/>
        <w:ind w:left="709" w:right="900"/>
        <w:jc w:val="both"/>
        <w:rPr>
          <w:rFonts w:ascii="Arial" w:eastAsia="Arial" w:hAnsi="Arial" w:cs="Arial"/>
          <w:color w:val="5B9BD5" w:themeColor="accent1"/>
        </w:rPr>
      </w:pPr>
      <w:r w:rsidRPr="00C11394">
        <w:rPr>
          <w:rFonts w:ascii="Arial" w:eastAsia="Arial" w:hAnsi="Arial" w:cs="Arial"/>
          <w:i/>
          <w:iCs/>
          <w:color w:val="5B9BD5" w:themeColor="accent1"/>
        </w:rPr>
        <w:t>ARTÍCULO 54.</w:t>
      </w:r>
      <w:r w:rsidRPr="00C11394">
        <w:rPr>
          <w:rFonts w:ascii="Arial" w:eastAsia="Arial" w:hAnsi="Arial" w:cs="Arial"/>
          <w:b/>
          <w:bCs/>
          <w:i/>
          <w:iCs/>
          <w:color w:val="5B9BD5" w:themeColor="accent1"/>
        </w:rPr>
        <w:t xml:space="preserve"> </w:t>
      </w:r>
      <w:r w:rsidRPr="00C11394">
        <w:rPr>
          <w:rFonts w:ascii="Arial" w:eastAsia="Arial" w:hAnsi="Arial" w:cs="Arial"/>
          <w:i/>
          <w:iCs/>
          <w:color w:val="5B9BD5" w:themeColor="accent1"/>
        </w:rPr>
        <w:t>Los sujetos obligados designarán al responsable de la Unidad de Transparencia que tendrá las siguientes funciones:</w:t>
      </w:r>
    </w:p>
    <w:p w14:paraId="29090CBC" w14:textId="662884FA" w:rsidR="00C843FB" w:rsidRPr="00C11394" w:rsidRDefault="007314F3" w:rsidP="007314F3">
      <w:pPr>
        <w:spacing w:after="20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w:t>
      </w:r>
    </w:p>
    <w:p w14:paraId="68C5768B" w14:textId="77777777" w:rsidR="00C843FB" w:rsidRPr="00C11394" w:rsidRDefault="00C843FB" w:rsidP="007314F3">
      <w:pPr>
        <w:spacing w:after="200" w:line="240" w:lineRule="auto"/>
        <w:ind w:left="709" w:right="900"/>
        <w:jc w:val="both"/>
        <w:rPr>
          <w:rFonts w:ascii="Arial" w:eastAsia="Arial" w:hAnsi="Arial" w:cs="Arial"/>
          <w:color w:val="5B9BD5" w:themeColor="accent1"/>
        </w:rPr>
      </w:pPr>
      <w:r w:rsidRPr="00C11394">
        <w:rPr>
          <w:rFonts w:ascii="Arial" w:eastAsia="Arial" w:hAnsi="Arial" w:cs="Arial"/>
          <w:b/>
          <w:bCs/>
          <w:i/>
          <w:iCs/>
          <w:color w:val="5B9BD5" w:themeColor="accent1"/>
        </w:rPr>
        <w:t>IV</w:t>
      </w:r>
      <w:r w:rsidRPr="00C11394">
        <w:rPr>
          <w:rFonts w:ascii="Arial" w:eastAsia="Arial" w:hAnsi="Arial" w:cs="Arial"/>
          <w:i/>
          <w:iCs/>
          <w:color w:val="5B9BD5" w:themeColor="accent1"/>
        </w:rPr>
        <w:t>. Realizar los trámites internos necesarios para la atención de las solicitudes de acceso a la información;”</w:t>
      </w:r>
    </w:p>
    <w:p w14:paraId="7A618FA1" w14:textId="358B3535" w:rsidR="00C843FB" w:rsidRPr="00C11394" w:rsidRDefault="007314F3" w:rsidP="007314F3">
      <w:pPr>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w:t>
      </w:r>
    </w:p>
    <w:p w14:paraId="33BDB1F2" w14:textId="3884F7DD" w:rsidR="00C843FB" w:rsidRPr="00C11394" w:rsidRDefault="00C843FB" w:rsidP="007314F3">
      <w:pPr>
        <w:pStyle w:val="Default"/>
        <w:ind w:left="709" w:right="900"/>
        <w:jc w:val="both"/>
        <w:rPr>
          <w:rFonts w:eastAsia="Arial"/>
          <w:color w:val="5B9BD5" w:themeColor="accent1"/>
          <w:sz w:val="22"/>
          <w:szCs w:val="22"/>
        </w:rPr>
      </w:pPr>
      <w:r w:rsidRPr="00C11394">
        <w:rPr>
          <w:rFonts w:eastAsia="Arial"/>
          <w:i/>
          <w:iCs/>
          <w:color w:val="5B9BD5" w:themeColor="accent1"/>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0F6052EE" w14:textId="77777777" w:rsidR="00C843FB" w:rsidRPr="00C11394" w:rsidRDefault="00C843FB" w:rsidP="007314F3">
      <w:pPr>
        <w:spacing w:after="0" w:line="240" w:lineRule="auto"/>
        <w:ind w:left="709" w:right="900"/>
        <w:jc w:val="both"/>
        <w:rPr>
          <w:rFonts w:ascii="Arial" w:eastAsia="Arial" w:hAnsi="Arial" w:cs="Arial"/>
          <w:color w:val="5B9BD5" w:themeColor="accent1"/>
        </w:rPr>
      </w:pPr>
    </w:p>
    <w:p w14:paraId="5512D37E" w14:textId="77777777" w:rsidR="00D73055" w:rsidRPr="00C11394" w:rsidRDefault="00C843FB" w:rsidP="007314F3">
      <w:pPr>
        <w:pStyle w:val="corte4fondo"/>
        <w:spacing w:line="240" w:lineRule="auto"/>
        <w:ind w:left="709" w:right="900" w:firstLine="0"/>
        <w:rPr>
          <w:rFonts w:eastAsia="Arial" w:cs="Arial"/>
          <w:i/>
          <w:iCs/>
          <w:color w:val="5B9BD5" w:themeColor="accent1"/>
          <w:sz w:val="22"/>
          <w:szCs w:val="22"/>
        </w:rPr>
      </w:pPr>
      <w:r w:rsidRPr="00C11394">
        <w:rPr>
          <w:rFonts w:eastAsia="Arial" w:cs="Arial"/>
          <w:i/>
          <w:iCs/>
          <w:color w:val="5B9BD5" w:themeColor="accent1"/>
          <w:sz w:val="22"/>
          <w:szCs w:val="22"/>
        </w:rPr>
        <w:t>En el caso de que la información solicitada consista en bases de datos se deberá privilegiar la entrega de la misma en Formatos Abiertos.</w:t>
      </w:r>
    </w:p>
    <w:p w14:paraId="06E0522F" w14:textId="095E9072" w:rsidR="00C843FB" w:rsidRPr="00C11394" w:rsidRDefault="00D97497" w:rsidP="007314F3">
      <w:pPr>
        <w:pStyle w:val="corte4fondo"/>
        <w:spacing w:line="240" w:lineRule="auto"/>
        <w:ind w:left="709" w:right="900" w:firstLine="0"/>
        <w:rPr>
          <w:rFonts w:eastAsia="Arial" w:cs="Arial"/>
          <w:color w:val="5B9BD5" w:themeColor="accent1"/>
          <w:sz w:val="22"/>
          <w:szCs w:val="22"/>
        </w:rPr>
      </w:pPr>
      <w:r w:rsidRPr="00C11394">
        <w:rPr>
          <w:rFonts w:eastAsia="Arial" w:cs="Arial"/>
          <w:i/>
          <w:iCs/>
          <w:color w:val="5B9BD5" w:themeColor="accent1"/>
          <w:sz w:val="22"/>
          <w:szCs w:val="22"/>
        </w:rPr>
        <w:t>[…]</w:t>
      </w:r>
      <w:r w:rsidR="00C843FB" w:rsidRPr="00C11394">
        <w:rPr>
          <w:rFonts w:eastAsia="Arial" w:cs="Arial"/>
          <w:i/>
          <w:iCs/>
          <w:color w:val="5B9BD5" w:themeColor="accent1"/>
          <w:sz w:val="22"/>
          <w:szCs w:val="22"/>
        </w:rPr>
        <w:t>”</w:t>
      </w:r>
    </w:p>
    <w:p w14:paraId="66BD78F6" w14:textId="77777777" w:rsidR="00C843FB" w:rsidRPr="00C11394" w:rsidRDefault="00C843FB" w:rsidP="00C843FB">
      <w:pPr>
        <w:spacing w:after="0" w:line="240" w:lineRule="auto"/>
        <w:ind w:firstLine="709"/>
        <w:jc w:val="both"/>
        <w:rPr>
          <w:rFonts w:ascii="Arial" w:eastAsia="Arial" w:hAnsi="Arial" w:cs="Arial"/>
          <w:color w:val="5B9BD5" w:themeColor="accent1"/>
        </w:rPr>
      </w:pPr>
    </w:p>
    <w:p w14:paraId="7072880F" w14:textId="6584BBF7" w:rsidR="00C843FB" w:rsidRPr="00C11394" w:rsidRDefault="008A178D" w:rsidP="007314F3">
      <w:pPr>
        <w:pStyle w:val="corte4fondo"/>
        <w:spacing w:line="240" w:lineRule="auto"/>
        <w:rPr>
          <w:rFonts w:eastAsia="Arial" w:cs="Arial"/>
          <w:color w:val="5B9BD5" w:themeColor="accent1"/>
          <w:sz w:val="22"/>
          <w:szCs w:val="22"/>
        </w:rPr>
      </w:pPr>
      <w:r w:rsidRPr="00C11394">
        <w:rPr>
          <w:rFonts w:eastAsia="Arial" w:cs="Arial"/>
          <w:color w:val="5B9BD5" w:themeColor="accent1"/>
          <w:sz w:val="22"/>
          <w:szCs w:val="22"/>
        </w:rPr>
        <w:t>Con lo inserto a supra líneas</w:t>
      </w:r>
      <w:r w:rsidR="00C843FB" w:rsidRPr="00C11394">
        <w:rPr>
          <w:rFonts w:eastAsia="Arial" w:cs="Arial"/>
          <w:color w:val="5B9BD5" w:themeColor="accent1"/>
          <w:sz w:val="22"/>
          <w:szCs w:val="22"/>
        </w:rPr>
        <w:t>, se establece que los entes obligados deberán</w:t>
      </w:r>
      <w:r w:rsidRPr="00C11394">
        <w:rPr>
          <w:rFonts w:eastAsia="Arial" w:cs="Arial"/>
          <w:color w:val="5B9BD5" w:themeColor="accent1"/>
          <w:sz w:val="22"/>
          <w:szCs w:val="22"/>
        </w:rPr>
        <w:t xml:space="preserve"> documentar toda actividad realizada que devenga de sus funciones, </w:t>
      </w:r>
      <w:r w:rsidR="007314F3" w:rsidRPr="00C11394">
        <w:rPr>
          <w:rFonts w:eastAsia="Arial" w:cs="Arial"/>
          <w:color w:val="5B9BD5" w:themeColor="accent1"/>
          <w:sz w:val="22"/>
          <w:szCs w:val="22"/>
        </w:rPr>
        <w:t>facultades y competencias. P</w:t>
      </w:r>
      <w:r w:rsidR="00C843FB" w:rsidRPr="00C11394">
        <w:rPr>
          <w:rFonts w:eastAsia="Arial" w:cs="Arial"/>
          <w:color w:val="5B9BD5" w:themeColor="accent1"/>
          <w:sz w:val="22"/>
          <w:szCs w:val="22"/>
        </w:rPr>
        <w:t>revé que las unidades de transparencia de los sujetos obligados deben garantizar las medidas y condiciones de accesibilidad para que toda persona pueda ejercer el derecho de acceso a la información, a través de los escritos de solicitudes de información y deberá apoyar al solicitante en la elaboración de las mismas, de igual manera la Unidad de Transparencia realizara las gestiones internas para el trámite de la solicitud</w:t>
      </w:r>
      <w:r w:rsidR="007314F3" w:rsidRPr="00C11394">
        <w:rPr>
          <w:rFonts w:eastAsia="Arial" w:cs="Arial"/>
          <w:color w:val="5B9BD5" w:themeColor="accent1"/>
          <w:sz w:val="22"/>
          <w:szCs w:val="22"/>
        </w:rPr>
        <w:t>;</w:t>
      </w:r>
      <w:r w:rsidR="00E16EC9" w:rsidRPr="00C11394">
        <w:rPr>
          <w:rFonts w:eastAsia="Arial" w:cs="Arial"/>
          <w:color w:val="5B9BD5" w:themeColor="accent1"/>
          <w:sz w:val="22"/>
          <w:szCs w:val="22"/>
        </w:rPr>
        <w:t xml:space="preserve"> para así,</w:t>
      </w:r>
      <w:r w:rsidR="007314F3" w:rsidRPr="00C11394">
        <w:rPr>
          <w:rFonts w:eastAsia="Arial" w:cs="Arial"/>
          <w:color w:val="5B9BD5" w:themeColor="accent1"/>
          <w:sz w:val="22"/>
          <w:szCs w:val="22"/>
        </w:rPr>
        <w:t xml:space="preserve"> otorgar acceso a los documentos que se encuentran en sus archivos o que estén obligados a documentar de acuerdo con sus facultades, competencias o funciones en el formato en el que solicitante manifieste, de entre aquellos formatos existentes, conforme a las características físicas de la información o del lugar donde se encuentre así lo permita.</w:t>
      </w:r>
    </w:p>
    <w:p w14:paraId="7FACCE09" w14:textId="77777777" w:rsidR="00C843FB" w:rsidRPr="00C11394" w:rsidRDefault="00C843FB" w:rsidP="00C843FB">
      <w:pPr>
        <w:spacing w:after="0" w:line="240" w:lineRule="auto"/>
        <w:ind w:firstLine="708"/>
        <w:jc w:val="both"/>
        <w:rPr>
          <w:rFonts w:ascii="Arial" w:eastAsia="Arial" w:hAnsi="Arial" w:cs="Arial"/>
          <w:color w:val="5B9BD5" w:themeColor="accent1"/>
        </w:rPr>
      </w:pPr>
    </w:p>
    <w:p w14:paraId="306F9F6E" w14:textId="586C1742" w:rsidR="005D6099" w:rsidRPr="00C11394" w:rsidRDefault="00110521" w:rsidP="00110521">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Asimismo, es de advertirse lo establecido en las fracciones III y IV del artículo 84 de la Ley de Transparencia y Acceso a la Información Pública del Estado de San Luis Potosí, el cual a la letra establece:</w:t>
      </w:r>
    </w:p>
    <w:p w14:paraId="588A52BD" w14:textId="4D951405" w:rsidR="00C16281" w:rsidRPr="00C11394" w:rsidRDefault="00C16281" w:rsidP="005D6099">
      <w:pPr>
        <w:tabs>
          <w:tab w:val="left" w:pos="1649"/>
        </w:tabs>
        <w:spacing w:after="0" w:line="240" w:lineRule="auto"/>
        <w:jc w:val="both"/>
        <w:rPr>
          <w:rFonts w:ascii="Arial" w:eastAsia="Arial" w:hAnsi="Arial" w:cs="Arial"/>
          <w:color w:val="5B9BD5" w:themeColor="accent1"/>
        </w:rPr>
      </w:pPr>
    </w:p>
    <w:p w14:paraId="346EABDB" w14:textId="56261048" w:rsidR="00C16281" w:rsidRPr="00C11394" w:rsidRDefault="00110521" w:rsidP="00C16281">
      <w:pPr>
        <w:tabs>
          <w:tab w:val="left" w:pos="1649"/>
        </w:tabs>
        <w:spacing w:after="0" w:line="240" w:lineRule="auto"/>
        <w:jc w:val="both"/>
        <w:rPr>
          <w:rFonts w:ascii="Arial" w:eastAsia="Arial" w:hAnsi="Arial" w:cs="Arial"/>
          <w:color w:val="5B9BD5" w:themeColor="accent1"/>
        </w:rPr>
      </w:pPr>
      <w:r w:rsidRPr="00C11394">
        <w:rPr>
          <w:rFonts w:ascii="Arial" w:eastAsia="Arial" w:hAnsi="Arial" w:cs="Arial"/>
          <w:color w:val="5B9BD5" w:themeColor="accent1"/>
        </w:rPr>
        <w:t>“[…]</w:t>
      </w:r>
    </w:p>
    <w:p w14:paraId="14C3BEA3"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6FDE351F"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p>
    <w:p w14:paraId="3AA8D3F5"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III. Las iniciativas anuales de leyes de ingresos; y presupuesto de egresos del Estado. El Poder Ejecutivo y los municipios incluirán en sus respectivas leyes de ingresos y presupuestos de egresos, apartados específicos con la información siguiente:</w:t>
      </w:r>
    </w:p>
    <w:p w14:paraId="01869A44" w14:textId="34F5EBF4"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w:t>
      </w:r>
    </w:p>
    <w:p w14:paraId="72E2C261" w14:textId="3488DCAD"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b) Presupuesto de egresos:</w:t>
      </w:r>
    </w:p>
    <w:p w14:paraId="64FE0047"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1. Las prioridades de gasto, los programas y proyectos, así como la distribución del presupuesto, detallando el gasto en servicios personales, incluyendo el analítico de plazas y desglosando todas las remuneraciones; las contrataciones de servicios por honorarios y, en su caso, previsiones para personal eventual; pensiones; gastos de operación, incluyendo gasto en comunicación social; gasto de inversión; así como gasto correspondiente a compromisos plurianuales, proyectos de asociaciones público privadas y proyectos de prestación de servicios, entre otros.</w:t>
      </w:r>
    </w:p>
    <w:p w14:paraId="429519CC"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2. El listado de programas, así como sus indicadores estratégicos y de gestión aprobados.</w:t>
      </w:r>
    </w:p>
    <w:p w14:paraId="6A791D50"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3. La aplicación de los recursos conforme a las clasificaciones administrativas, funcionales, programáticas, económicas y, en su caso, geográficas y sus interrelaciones, que faciliten el análisis para valorar la eficiencia y eficacia en el uso y destino de los recursos y sus resultados.</w:t>
      </w:r>
    </w:p>
    <w:p w14:paraId="43667AE0"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p>
    <w:p w14:paraId="4D84C408"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En el proceso de integración de la información financiera para la elaboración de los presupuestos, se deberán incorporar los resultados que deriven de los procesos de implantación y operación del presupuesto basado en resultados y del sistema de evaluación del desempeño, establecidos en términos del artículo 134 de la Constitución Política de los Estados Unidos Mexicanos.</w:t>
      </w:r>
    </w:p>
    <w:p w14:paraId="79614CE1"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p>
    <w:p w14:paraId="24CF5C1C"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Las normas, metodologías, clasificadores y los formatos, con la estructura y contenido de la información, para armonizar la elaboración y presentación de los documentos señalados en esta fracción, se establecerán conforme a lo dispuesto por la Ley General de Contabilidad Gubernamental;</w:t>
      </w:r>
    </w:p>
    <w:p w14:paraId="420D6820"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p>
    <w:p w14:paraId="1760782E"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IV. La información de los movimientos de ingresos y egresos, que deberán contener, en el caso de egresos, el monto, beneficiario, concepto, fecha, folio, institución bancaria y funcionario que lo autoriza. En el caso de ingresos, el número de entero, monto, concepto, contribuyente y fecha.</w:t>
      </w:r>
    </w:p>
    <w:p w14:paraId="6AEF4D68"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p>
    <w:p w14:paraId="797980AB"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Además, la relación de las cuentas bancarias productivas específicas en las cuales se depositaron los recursos federales transferidos por cualquier concepto, durante el ejercicio.</w:t>
      </w:r>
    </w:p>
    <w:p w14:paraId="454A23EC"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p>
    <w:p w14:paraId="4850DBB1" w14:textId="77777777" w:rsidR="00C16281" w:rsidRPr="00C11394" w:rsidRDefault="00C16281" w:rsidP="00C16281">
      <w:pPr>
        <w:tabs>
          <w:tab w:val="left" w:pos="1649"/>
        </w:tabs>
        <w:spacing w:after="0" w:line="240" w:lineRule="auto"/>
        <w:ind w:left="709" w:right="900"/>
        <w:jc w:val="both"/>
        <w:rPr>
          <w:rFonts w:ascii="Arial" w:eastAsia="Arial" w:hAnsi="Arial" w:cs="Arial"/>
          <w:color w:val="5B9BD5" w:themeColor="accent1"/>
        </w:rPr>
      </w:pPr>
      <w:r w:rsidRPr="00C11394">
        <w:rPr>
          <w:rFonts w:ascii="Arial" w:eastAsia="Arial" w:hAnsi="Arial" w:cs="Arial"/>
          <w:color w:val="5B9BD5" w:themeColor="accent1"/>
        </w:rPr>
        <w:t>Las cuentas bancarias a que se refiere el párrafo anterior se harán del conocimiento previo a la Tesorería de la Federación, para el efecto de la radicación de los recursos;</w:t>
      </w:r>
    </w:p>
    <w:p w14:paraId="6108EFAA" w14:textId="77777777" w:rsidR="00C16281" w:rsidRPr="00C11394" w:rsidRDefault="00C16281" w:rsidP="00C16281">
      <w:pPr>
        <w:tabs>
          <w:tab w:val="left" w:pos="1649"/>
        </w:tabs>
        <w:spacing w:after="0" w:line="240" w:lineRule="auto"/>
        <w:jc w:val="both"/>
        <w:rPr>
          <w:rFonts w:ascii="Arial" w:eastAsia="Arial" w:hAnsi="Arial" w:cs="Arial"/>
          <w:color w:val="5B9BD5" w:themeColor="accent1"/>
        </w:rPr>
      </w:pPr>
    </w:p>
    <w:p w14:paraId="6B2DEB37" w14:textId="443E4EBB" w:rsidR="00C16281" w:rsidRPr="00C11394" w:rsidRDefault="00C16281" w:rsidP="005D6099">
      <w:pPr>
        <w:tabs>
          <w:tab w:val="left" w:pos="1649"/>
        </w:tabs>
        <w:spacing w:after="0" w:line="240" w:lineRule="auto"/>
        <w:jc w:val="both"/>
        <w:rPr>
          <w:rFonts w:ascii="Arial" w:eastAsia="Arial" w:hAnsi="Arial" w:cs="Arial"/>
          <w:color w:val="5B9BD5" w:themeColor="accent1"/>
        </w:rPr>
      </w:pPr>
      <w:r w:rsidRPr="00C11394">
        <w:rPr>
          <w:rFonts w:ascii="Arial" w:eastAsia="Arial" w:hAnsi="Arial" w:cs="Arial"/>
          <w:color w:val="5B9BD5" w:themeColor="accent1"/>
        </w:rPr>
        <w:t>[…]”</w:t>
      </w:r>
    </w:p>
    <w:p w14:paraId="799D7C10" w14:textId="0D4B84C8" w:rsidR="00C16281" w:rsidRPr="00C11394" w:rsidRDefault="00C16281" w:rsidP="005D6099">
      <w:pPr>
        <w:tabs>
          <w:tab w:val="left" w:pos="1649"/>
        </w:tabs>
        <w:spacing w:after="0" w:line="240" w:lineRule="auto"/>
        <w:jc w:val="both"/>
        <w:rPr>
          <w:rFonts w:ascii="Arial" w:eastAsia="Arial" w:hAnsi="Arial" w:cs="Arial"/>
          <w:color w:val="5B9BD5" w:themeColor="accent1"/>
        </w:rPr>
      </w:pPr>
    </w:p>
    <w:p w14:paraId="2531B257" w14:textId="65F1BA53" w:rsidR="00110521" w:rsidRPr="00C11394" w:rsidRDefault="00110521" w:rsidP="00110521">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Con el precepto anterior transcrito, se establece que es obligación común de los sujetos obligados el publicar la información correspondiente a la utilización, destino y aplicación de los recursos que les son otorgados para el correcto desempeño de sus funciones, en los cuales deberá establecerse la distribución detallada del presupuesto, las prioridades de gasto, el listado de programas así como sus indicadores estratégicos; la aplicación de recursos conforma a su clasificación, a fin de facilitar el análisis de la eficiencia y eficacia del recurso aplicado.</w:t>
      </w:r>
    </w:p>
    <w:p w14:paraId="0585F9BE" w14:textId="7FCA9D99" w:rsidR="00110521" w:rsidRPr="00C11394" w:rsidRDefault="00110521" w:rsidP="00110521">
      <w:pPr>
        <w:tabs>
          <w:tab w:val="left" w:pos="1649"/>
        </w:tabs>
        <w:spacing w:after="0" w:line="240" w:lineRule="auto"/>
        <w:ind w:firstLine="709"/>
        <w:jc w:val="both"/>
        <w:rPr>
          <w:rFonts w:ascii="Arial" w:eastAsia="Arial" w:hAnsi="Arial" w:cs="Arial"/>
          <w:color w:val="5B9BD5" w:themeColor="accent1"/>
        </w:rPr>
      </w:pPr>
    </w:p>
    <w:p w14:paraId="1B0D03E6" w14:textId="6EBD6A2E" w:rsidR="00110521" w:rsidRPr="00C11394" w:rsidRDefault="00110521" w:rsidP="00110521">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Asimismo, señala que deberá publicarse la información correspondiente a movimientos de ingresos y egresos, detallando en estos últimos, el concepto, el beneficiario, el monto, entre otras características que le hagan identificable</w:t>
      </w:r>
      <w:r w:rsidR="00703FFC" w:rsidRPr="00C11394">
        <w:rPr>
          <w:rFonts w:ascii="Arial" w:eastAsia="Arial" w:hAnsi="Arial" w:cs="Arial"/>
          <w:color w:val="5B9BD5" w:themeColor="accent1"/>
        </w:rPr>
        <w:t>.</w:t>
      </w:r>
      <w:r w:rsidRPr="00C11394">
        <w:rPr>
          <w:rFonts w:ascii="Arial" w:eastAsia="Arial" w:hAnsi="Arial" w:cs="Arial"/>
          <w:color w:val="5B9BD5" w:themeColor="accent1"/>
        </w:rPr>
        <w:t xml:space="preserve"> </w:t>
      </w:r>
    </w:p>
    <w:p w14:paraId="7BF38CAE" w14:textId="739F4B90" w:rsidR="00C16281" w:rsidRPr="00C11394" w:rsidRDefault="00C16281" w:rsidP="005D6099">
      <w:pPr>
        <w:tabs>
          <w:tab w:val="left" w:pos="1649"/>
        </w:tabs>
        <w:spacing w:after="0" w:line="240" w:lineRule="auto"/>
        <w:jc w:val="both"/>
        <w:rPr>
          <w:rFonts w:ascii="Arial" w:eastAsia="Arial" w:hAnsi="Arial" w:cs="Arial"/>
          <w:color w:val="5B9BD5" w:themeColor="accent1"/>
        </w:rPr>
      </w:pPr>
    </w:p>
    <w:p w14:paraId="354A7F4E" w14:textId="77777777" w:rsidR="00703FFC" w:rsidRPr="00C11394" w:rsidRDefault="00703FFC" w:rsidP="00703FFC">
      <w:pPr>
        <w:tabs>
          <w:tab w:val="left" w:pos="1649"/>
        </w:tabs>
        <w:spacing w:after="0" w:line="240" w:lineRule="auto"/>
        <w:ind w:left="709" w:right="900"/>
        <w:jc w:val="both"/>
      </w:pPr>
    </w:p>
    <w:p w14:paraId="2BD4F5E6" w14:textId="77777777" w:rsidR="00703FFC" w:rsidRPr="00C11394" w:rsidRDefault="00703FFC" w:rsidP="00703FFC">
      <w:pPr>
        <w:tabs>
          <w:tab w:val="left" w:pos="1649"/>
        </w:tabs>
        <w:spacing w:after="0" w:line="240" w:lineRule="auto"/>
        <w:ind w:left="709" w:right="900"/>
        <w:jc w:val="both"/>
      </w:pPr>
    </w:p>
    <w:p w14:paraId="6B2C0F1E" w14:textId="566F96EF" w:rsidR="00703FFC" w:rsidRPr="00C11394" w:rsidRDefault="00703FFC" w:rsidP="00703FFC">
      <w:pPr>
        <w:tabs>
          <w:tab w:val="left" w:pos="1649"/>
        </w:tabs>
        <w:spacing w:after="0" w:line="240" w:lineRule="auto"/>
        <w:ind w:right="49" w:firstLine="709"/>
        <w:jc w:val="both"/>
        <w:rPr>
          <w:rFonts w:ascii="Arial" w:hAnsi="Arial" w:cs="Arial"/>
          <w:color w:val="5B9BD5" w:themeColor="accent1"/>
        </w:rPr>
      </w:pPr>
      <w:r w:rsidRPr="00C11394">
        <w:rPr>
          <w:rFonts w:ascii="Arial" w:hAnsi="Arial" w:cs="Arial"/>
          <w:color w:val="5B9BD5" w:themeColor="accent1"/>
        </w:rPr>
        <w:t xml:space="preserve">Ahora bien, una vez precisado lo anterior, es menester insertar las competencias que posee la Coordinación general de Protección Civil, en cuanto a lo solicitado por el ahora recurrente, lo cual se encuentra establecido en el </w:t>
      </w:r>
      <w:r w:rsidR="00BA72D1" w:rsidRPr="00C11394">
        <w:rPr>
          <w:rFonts w:ascii="Arial" w:hAnsi="Arial" w:cs="Arial"/>
          <w:color w:val="5B9BD5" w:themeColor="accent1"/>
        </w:rPr>
        <w:t xml:space="preserve">artículo 26 bis, fracciones I, y XII, del </w:t>
      </w:r>
      <w:r w:rsidRPr="00C11394">
        <w:rPr>
          <w:rFonts w:ascii="Arial" w:hAnsi="Arial" w:cs="Arial"/>
          <w:color w:val="5B9BD5" w:themeColor="accent1"/>
        </w:rPr>
        <w:t>Reglamento Interior de la Secretaría General de Gobierno de San Luis Potosí</w:t>
      </w:r>
      <w:r w:rsidR="00BA72D1" w:rsidRPr="00C11394">
        <w:rPr>
          <w:rFonts w:ascii="Arial" w:hAnsi="Arial" w:cs="Arial"/>
          <w:color w:val="5B9BD5" w:themeColor="accent1"/>
        </w:rPr>
        <w:t>, el cual señala:</w:t>
      </w:r>
    </w:p>
    <w:p w14:paraId="3777234D" w14:textId="66E291E7" w:rsidR="00BA72D1" w:rsidRPr="00C11394" w:rsidRDefault="00BA72D1" w:rsidP="00703FFC">
      <w:pPr>
        <w:tabs>
          <w:tab w:val="left" w:pos="1649"/>
        </w:tabs>
        <w:spacing w:after="0" w:line="240" w:lineRule="auto"/>
        <w:ind w:right="49" w:firstLine="709"/>
        <w:jc w:val="both"/>
        <w:rPr>
          <w:rFonts w:ascii="Arial" w:hAnsi="Arial" w:cs="Arial"/>
          <w:color w:val="5B9BD5" w:themeColor="accent1"/>
        </w:rPr>
      </w:pPr>
    </w:p>
    <w:p w14:paraId="1D0441D5" w14:textId="1D3D6ACB" w:rsidR="00BA72D1" w:rsidRPr="00C11394" w:rsidRDefault="00BA72D1" w:rsidP="00703FFC">
      <w:pPr>
        <w:tabs>
          <w:tab w:val="left" w:pos="1649"/>
        </w:tabs>
        <w:spacing w:after="0" w:line="240" w:lineRule="auto"/>
        <w:ind w:right="49" w:firstLine="709"/>
        <w:jc w:val="both"/>
        <w:rPr>
          <w:rFonts w:ascii="Arial" w:hAnsi="Arial" w:cs="Arial"/>
          <w:color w:val="5B9BD5" w:themeColor="accent1"/>
        </w:rPr>
      </w:pPr>
      <w:r w:rsidRPr="00C11394">
        <w:rPr>
          <w:rFonts w:ascii="Arial" w:hAnsi="Arial" w:cs="Arial"/>
          <w:color w:val="5B9BD5" w:themeColor="accent1"/>
        </w:rPr>
        <w:t>“[…]</w:t>
      </w:r>
    </w:p>
    <w:p w14:paraId="4122C009" w14:textId="23EA3626" w:rsidR="00703FFC" w:rsidRPr="00C11394" w:rsidRDefault="00703FFC" w:rsidP="00BA72D1">
      <w:pPr>
        <w:tabs>
          <w:tab w:val="left" w:pos="1649"/>
        </w:tabs>
        <w:spacing w:after="0" w:line="240" w:lineRule="auto"/>
        <w:ind w:left="709" w:right="900"/>
        <w:jc w:val="both"/>
        <w:rPr>
          <w:rFonts w:ascii="Arial" w:hAnsi="Arial" w:cs="Arial"/>
          <w:i/>
          <w:iCs/>
          <w:color w:val="5B9BD5" w:themeColor="accent1"/>
        </w:rPr>
      </w:pPr>
      <w:r w:rsidRPr="00C11394">
        <w:rPr>
          <w:rFonts w:ascii="Arial" w:hAnsi="Arial" w:cs="Arial"/>
          <w:i/>
          <w:iCs/>
          <w:color w:val="5B9BD5" w:themeColor="accent1"/>
        </w:rPr>
        <w:t>ARTICULO 26 BIS.- Competen a la Unidad Estatal de Protección Civil, las siguientes atribuciones:</w:t>
      </w:r>
    </w:p>
    <w:p w14:paraId="56752A86" w14:textId="77777777" w:rsidR="00703FFC" w:rsidRPr="00C11394" w:rsidRDefault="00703FFC" w:rsidP="00BA72D1">
      <w:pPr>
        <w:autoSpaceDE w:val="0"/>
        <w:autoSpaceDN w:val="0"/>
        <w:adjustRightInd w:val="0"/>
        <w:spacing w:after="0" w:line="240" w:lineRule="auto"/>
        <w:ind w:left="709" w:right="900"/>
        <w:jc w:val="both"/>
        <w:rPr>
          <w:rFonts w:ascii="Arial" w:hAnsi="Arial" w:cs="Arial"/>
          <w:i/>
          <w:iCs/>
          <w:color w:val="5B9BD5" w:themeColor="accent1"/>
        </w:rPr>
      </w:pPr>
      <w:r w:rsidRPr="00C11394">
        <w:rPr>
          <w:rFonts w:ascii="Arial" w:hAnsi="Arial" w:cs="Arial"/>
          <w:i/>
          <w:iCs/>
          <w:color w:val="5B9BD5" w:themeColor="accent1"/>
        </w:rPr>
        <w:t xml:space="preserve">I.- Identificar y diagnosticar los riesgos a los que está expuesta la Entidad y sus habitantes, y elaborar el atlas estatal de riesgos; </w:t>
      </w:r>
    </w:p>
    <w:p w14:paraId="25587497" w14:textId="49D8F4BE" w:rsidR="00703FFC" w:rsidRPr="00C11394" w:rsidRDefault="00703FFC" w:rsidP="00BA72D1">
      <w:pPr>
        <w:autoSpaceDE w:val="0"/>
        <w:autoSpaceDN w:val="0"/>
        <w:adjustRightInd w:val="0"/>
        <w:spacing w:after="0" w:line="240" w:lineRule="auto"/>
        <w:ind w:left="709" w:right="900"/>
        <w:jc w:val="both"/>
        <w:rPr>
          <w:rFonts w:ascii="Arial" w:hAnsi="Arial" w:cs="Arial"/>
          <w:i/>
          <w:iCs/>
          <w:color w:val="5B9BD5" w:themeColor="accent1"/>
        </w:rPr>
      </w:pPr>
      <w:r w:rsidRPr="00C11394">
        <w:rPr>
          <w:rFonts w:ascii="Arial" w:hAnsi="Arial" w:cs="Arial"/>
          <w:i/>
          <w:iCs/>
          <w:color w:val="5B9BD5" w:themeColor="accent1"/>
        </w:rPr>
        <w:t>[…]</w:t>
      </w:r>
    </w:p>
    <w:p w14:paraId="4D7D7C01" w14:textId="77777777" w:rsidR="00703FFC" w:rsidRPr="00C11394" w:rsidRDefault="00703FFC" w:rsidP="00BA72D1">
      <w:pPr>
        <w:autoSpaceDE w:val="0"/>
        <w:autoSpaceDN w:val="0"/>
        <w:adjustRightInd w:val="0"/>
        <w:spacing w:after="0" w:line="240" w:lineRule="auto"/>
        <w:ind w:left="709" w:right="900"/>
        <w:jc w:val="both"/>
        <w:rPr>
          <w:rFonts w:ascii="Arial" w:hAnsi="Arial" w:cs="Arial"/>
          <w:i/>
          <w:iCs/>
          <w:color w:val="5B9BD5" w:themeColor="accent1"/>
        </w:rPr>
      </w:pPr>
      <w:r w:rsidRPr="00C11394">
        <w:rPr>
          <w:rFonts w:ascii="Arial" w:hAnsi="Arial" w:cs="Arial"/>
          <w:i/>
          <w:iCs/>
          <w:color w:val="5B9BD5" w:themeColor="accent1"/>
        </w:rPr>
        <w:t xml:space="preserve">XII.- En caso de emergencia, formular el análisis y evaluación primaria de la magnitud de la misma, presentando de inmediato esta información al Consejo Estatal y al Centro de Comunicaciones de la Dirección General de Protección Civil; </w:t>
      </w:r>
    </w:p>
    <w:p w14:paraId="0B170620" w14:textId="522A32C8" w:rsidR="00703FFC" w:rsidRPr="00C11394" w:rsidRDefault="00BA72D1" w:rsidP="006B2782">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w:t>
      </w:r>
    </w:p>
    <w:p w14:paraId="37EAFE25" w14:textId="4D24A2F7"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p>
    <w:p w14:paraId="118CA930" w14:textId="19F706D6"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Conforme a lo anterior, la Coordinación General de Protección Civil se encuentra facultado para identificar y diagnosticar, los posibles riesgos a que se encuentra expuesta la entidad y sus habitantes, para, con base en ello, determinar un atlas de riesgos; también, en caso de emergencia, formular el análisis y evaluación primaria de la magnitud de la misma, para presentar esa información al Consejo Estatal y al Centro de Comunicaciones de la Dirección de Protección Civil.</w:t>
      </w:r>
    </w:p>
    <w:p w14:paraId="34CDFE9C" w14:textId="5DAD695B"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p>
    <w:p w14:paraId="4BD34781" w14:textId="135C7CE8"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Así entonces, el sujeto obligado posee la facultad para generar, conservar, difundir y publicitar la información solicitada por el ahora recurrente, toda vez que como se advierte de sus facultades, es el órgano de la Administración Pública que se encarga de elaborar los programas de acción en situaciones de emergencia; de forma tal que, al ser obligación común de los sujetos obligados, la de otorgar acceso a la información, de la documentación en que se encuentren los gastos realizados en la aplicación de proyectos y programas que permitan el adecuado funcionamiento del propio sujeto obligado, esta Comisión considera que efectivamente debió otorgar acceso a la información solicitada.</w:t>
      </w:r>
    </w:p>
    <w:p w14:paraId="5E3080AF" w14:textId="05C5A074"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p>
    <w:p w14:paraId="09A944AE" w14:textId="1EBD1804"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 xml:space="preserve">Ahora bien, en el caso en concreto, el sujeto obligado manifestó mediante informe rendido </w:t>
      </w:r>
      <w:r w:rsidR="00DD1A76" w:rsidRPr="00C11394">
        <w:rPr>
          <w:rFonts w:ascii="Arial" w:eastAsia="Arial" w:hAnsi="Arial" w:cs="Arial"/>
          <w:color w:val="5B9BD5" w:themeColor="accent1"/>
        </w:rPr>
        <w:t>en la Oficialía de partes de esta Comisión, que “</w:t>
      </w:r>
      <w:r w:rsidR="00DD1A76" w:rsidRPr="00C11394">
        <w:rPr>
          <w:rFonts w:ascii="Arial" w:eastAsia="Arial" w:hAnsi="Arial" w:cs="Arial"/>
          <w:bCs/>
          <w:i/>
          <w:iCs/>
          <w:color w:val="5B9BD5" w:themeColor="accent1"/>
        </w:rPr>
        <w:t>nos percatamos hasta el momento en que fuimos notificados del presente recurso que dicha información no fue cargada en el sistema, por lo tanto me permito anexar al presente la respuesta que surgió posterior a la petición del solicitante, misma que fue en tiempo y forma, para los efectos legales conducentes”</w:t>
      </w:r>
      <w:r w:rsidR="00DD1A76" w:rsidRPr="00C11394">
        <w:rPr>
          <w:rFonts w:ascii="Arial" w:eastAsia="Arial" w:hAnsi="Arial" w:cs="Arial"/>
          <w:bCs/>
          <w:color w:val="5B9BD5" w:themeColor="accent1"/>
        </w:rPr>
        <w:t xml:space="preserve"> sin embargo, del análisis realizado a las constancias remitidas por el sujeto obligado, no se advierte la información que le hizo llegar al ahora recurrente.</w:t>
      </w:r>
    </w:p>
    <w:p w14:paraId="39F76031" w14:textId="77777777" w:rsidR="00BA72D1" w:rsidRPr="00C11394" w:rsidRDefault="00BA72D1" w:rsidP="006B2782">
      <w:pPr>
        <w:tabs>
          <w:tab w:val="left" w:pos="1649"/>
        </w:tabs>
        <w:spacing w:after="0" w:line="240" w:lineRule="auto"/>
        <w:ind w:firstLine="709"/>
        <w:jc w:val="both"/>
        <w:rPr>
          <w:rFonts w:ascii="Arial" w:eastAsia="Arial" w:hAnsi="Arial" w:cs="Arial"/>
          <w:color w:val="5B9BD5" w:themeColor="accent1"/>
        </w:rPr>
      </w:pPr>
    </w:p>
    <w:p w14:paraId="53E9A596" w14:textId="5D07499C" w:rsidR="006B2782" w:rsidRPr="00C11394" w:rsidRDefault="009B2C17" w:rsidP="006B2782">
      <w:pPr>
        <w:tabs>
          <w:tab w:val="left" w:pos="1649"/>
        </w:tabs>
        <w:spacing w:after="0" w:line="240" w:lineRule="auto"/>
        <w:ind w:firstLine="709"/>
        <w:jc w:val="both"/>
        <w:rPr>
          <w:rFonts w:ascii="Arial" w:eastAsia="Arial" w:hAnsi="Arial" w:cs="Arial"/>
          <w:color w:val="5B9BD5" w:themeColor="accent1"/>
        </w:rPr>
      </w:pPr>
      <w:r w:rsidRPr="00C11394">
        <w:rPr>
          <w:rFonts w:ascii="Arial" w:eastAsia="Arial" w:hAnsi="Arial" w:cs="Arial"/>
          <w:color w:val="5B9BD5" w:themeColor="accent1"/>
        </w:rPr>
        <w:t xml:space="preserve">No resulta </w:t>
      </w:r>
      <w:r w:rsidR="006B2782" w:rsidRPr="00C11394">
        <w:rPr>
          <w:rFonts w:ascii="Arial" w:eastAsia="Arial" w:hAnsi="Arial" w:cs="Arial"/>
          <w:color w:val="5B9BD5" w:themeColor="accent1"/>
        </w:rPr>
        <w:t>óbice</w:t>
      </w:r>
      <w:r w:rsidRPr="00C11394">
        <w:rPr>
          <w:rFonts w:ascii="Arial" w:eastAsia="Arial" w:hAnsi="Arial" w:cs="Arial"/>
          <w:color w:val="5B9BD5" w:themeColor="accent1"/>
        </w:rPr>
        <w:t xml:space="preserve"> a lo anterior el que el sujeto obligado </w:t>
      </w:r>
      <w:r w:rsidR="00DD1A76" w:rsidRPr="00C11394">
        <w:rPr>
          <w:rFonts w:ascii="Arial" w:eastAsia="Arial" w:hAnsi="Arial" w:cs="Arial"/>
          <w:color w:val="5B9BD5" w:themeColor="accent1"/>
        </w:rPr>
        <w:t>adjunte a su oficio de informe, la copia certificada de la impresión del correo electrónico señalado para oír y recibir notificaciones, por el ahora recurrente, al momento de presentar su recurso de revisión, toda vez que dicha probanza no genera convicción a esta Comisión, para tener por cierta la entrega de la información solicitada por el ahora recurrente</w:t>
      </w:r>
      <w:r w:rsidR="006B2782" w:rsidRPr="00C11394">
        <w:rPr>
          <w:rFonts w:ascii="Arial" w:eastAsia="Arial" w:hAnsi="Arial" w:cs="Arial"/>
          <w:color w:val="5B9BD5" w:themeColor="accent1"/>
        </w:rPr>
        <w:t>.</w:t>
      </w:r>
    </w:p>
    <w:p w14:paraId="5E68A9C3" w14:textId="1CC71FE0" w:rsidR="00C843FB" w:rsidRPr="00C11394" w:rsidRDefault="00C843FB" w:rsidP="00C843FB">
      <w:pPr>
        <w:tabs>
          <w:tab w:val="left" w:pos="1649"/>
        </w:tabs>
        <w:spacing w:after="0" w:line="240" w:lineRule="auto"/>
        <w:ind w:firstLine="709"/>
        <w:jc w:val="both"/>
        <w:rPr>
          <w:rFonts w:ascii="Arial" w:eastAsia="Arial" w:hAnsi="Arial" w:cs="Arial"/>
          <w:color w:val="5B9BD5" w:themeColor="accent1"/>
        </w:rPr>
      </w:pPr>
    </w:p>
    <w:p w14:paraId="704585C3"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En este orden de ideas que se tiene establecido, se estima que la respuesta del Sujeto Obligado emitió una respuesta con apego a los principios de congruencia y exhaustividad previstos en el artículo 165, fracción III del Código de Procesal Administrativo para el Estado de San Luis Potosí, de aplicación supletoria a la ley de la materia, que a la letra señala:</w:t>
      </w:r>
    </w:p>
    <w:p w14:paraId="36298792" w14:textId="77777777" w:rsidR="00C843FB" w:rsidRPr="00C11394" w:rsidRDefault="00C843FB" w:rsidP="00C843FB">
      <w:pPr>
        <w:tabs>
          <w:tab w:val="left" w:pos="1649"/>
        </w:tabs>
        <w:spacing w:after="0" w:line="240" w:lineRule="auto"/>
        <w:ind w:firstLine="709"/>
        <w:jc w:val="both"/>
        <w:rPr>
          <w:rFonts w:ascii="Arial" w:eastAsia="Arial" w:hAnsi="Arial" w:cs="Arial"/>
          <w:color w:val="5B9BD5" w:themeColor="accent1"/>
        </w:rPr>
      </w:pPr>
    </w:p>
    <w:p w14:paraId="7242BE15"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“ARTÍCULO 165. Son requisitos del acto administrativo:</w:t>
      </w:r>
    </w:p>
    <w:p w14:paraId="058327DD"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w:t>
      </w:r>
    </w:p>
    <w:p w14:paraId="139D030F"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III. Que se expida de manera congruente con lo solicitado y resolver expresamente todos los puntos propuestos por el interesado o previstos por las normas.”</w:t>
      </w:r>
    </w:p>
    <w:p w14:paraId="098B0BA7"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w:t>
      </w:r>
    </w:p>
    <w:p w14:paraId="364AB7CC" w14:textId="77777777" w:rsidR="00C843FB" w:rsidRPr="00C11394" w:rsidRDefault="00C843FB" w:rsidP="00C843FB">
      <w:pPr>
        <w:tabs>
          <w:tab w:val="left" w:pos="1649"/>
        </w:tabs>
        <w:spacing w:after="0" w:line="240" w:lineRule="auto"/>
        <w:ind w:firstLine="709"/>
        <w:jc w:val="both"/>
        <w:rPr>
          <w:rFonts w:ascii="Arial" w:eastAsia="Arial" w:hAnsi="Arial" w:cs="Arial"/>
          <w:color w:val="5B9BD5" w:themeColor="accent1"/>
        </w:rPr>
      </w:pPr>
    </w:p>
    <w:p w14:paraId="6B79D470"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w:t>
      </w:r>
    </w:p>
    <w:p w14:paraId="3BD7C9E5" w14:textId="77777777" w:rsidR="00C843FB" w:rsidRPr="00C11394" w:rsidRDefault="00C843FB" w:rsidP="00C843FB">
      <w:pPr>
        <w:tabs>
          <w:tab w:val="left" w:pos="1649"/>
        </w:tabs>
        <w:spacing w:after="0" w:line="240" w:lineRule="auto"/>
        <w:ind w:firstLine="709"/>
        <w:jc w:val="both"/>
        <w:rPr>
          <w:rFonts w:ascii="Arial" w:eastAsia="Arial" w:hAnsi="Arial" w:cs="Arial"/>
          <w:color w:val="5B9BD5" w:themeColor="accent1"/>
        </w:rPr>
      </w:pPr>
    </w:p>
    <w:p w14:paraId="60691DBF" w14:textId="77777777" w:rsidR="00C843FB" w:rsidRPr="00C11394" w:rsidRDefault="00C843FB" w:rsidP="00C843FB">
      <w:pPr>
        <w:tabs>
          <w:tab w:val="left" w:pos="1649"/>
        </w:tabs>
        <w:spacing w:after="0" w:line="240" w:lineRule="auto"/>
        <w:ind w:firstLine="709"/>
        <w:jc w:val="both"/>
        <w:rPr>
          <w:rFonts w:ascii="Arial" w:hAnsi="Arial" w:cs="Arial"/>
          <w:color w:val="5B9BD5" w:themeColor="accent1"/>
        </w:rPr>
      </w:pPr>
      <w:r w:rsidRPr="00C11394">
        <w:rPr>
          <w:rFonts w:ascii="Arial" w:eastAsia="Arial" w:hAnsi="Arial" w:cs="Arial"/>
          <w:color w:val="5B9BD5" w:themeColor="accent1"/>
        </w:rPr>
        <w:t>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Sirve de apoyo a lo anterior, el criterio 02/17 emitido por el Pleno del Instituto Nacional de Transparencia, Acceso a la Información y Protección de Datos Personales (INAI), que a la letra señala lo siguiente:</w:t>
      </w:r>
    </w:p>
    <w:p w14:paraId="3BA71422" w14:textId="77777777" w:rsidR="00C843FB" w:rsidRPr="00C11394" w:rsidRDefault="00C843FB" w:rsidP="00C843FB">
      <w:pPr>
        <w:tabs>
          <w:tab w:val="left" w:pos="1649"/>
        </w:tabs>
        <w:spacing w:after="0" w:line="240" w:lineRule="auto"/>
        <w:ind w:firstLine="709"/>
        <w:jc w:val="both"/>
        <w:rPr>
          <w:rFonts w:ascii="Arial" w:eastAsia="Arial" w:hAnsi="Arial" w:cs="Arial"/>
          <w:i/>
          <w:iCs/>
          <w:color w:val="5B9BD5" w:themeColor="accent1"/>
        </w:rPr>
      </w:pPr>
    </w:p>
    <w:p w14:paraId="13BC3DD6" w14:textId="77777777" w:rsidR="00C843FB" w:rsidRPr="00C11394" w:rsidRDefault="00C843FB" w:rsidP="00C843FB">
      <w:pPr>
        <w:tabs>
          <w:tab w:val="left" w:pos="1649"/>
        </w:tabs>
        <w:spacing w:after="0" w:line="240" w:lineRule="auto"/>
        <w:ind w:firstLine="709"/>
        <w:jc w:val="both"/>
        <w:rPr>
          <w:rFonts w:ascii="Arial" w:eastAsia="Arial" w:hAnsi="Arial" w:cs="Arial"/>
          <w:i/>
          <w:iCs/>
          <w:color w:val="5B9BD5" w:themeColor="accent1"/>
        </w:rPr>
      </w:pPr>
      <w:r w:rsidRPr="00C11394">
        <w:rPr>
          <w:rFonts w:ascii="Arial" w:eastAsia="Arial" w:hAnsi="Arial" w:cs="Arial"/>
          <w:b/>
          <w:bCs/>
          <w:i/>
          <w:iCs/>
          <w:color w:val="5B9BD5" w:themeColor="accent1"/>
        </w:rPr>
        <w:t>“Congruencia y exhaustividad. Sus alcances para garantizar el derecho de acceso a la información</w:t>
      </w:r>
      <w:r w:rsidRPr="00C11394">
        <w:rPr>
          <w:rFonts w:ascii="Arial" w:eastAsia="Arial" w:hAnsi="Arial" w:cs="Arial"/>
          <w:i/>
          <w:iCs/>
          <w:color w:val="5B9BD5" w:themeColor="accent1"/>
        </w:rPr>
        <w:t>.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79CFA48" w14:textId="77777777" w:rsidR="00C843FB" w:rsidRPr="00C11394" w:rsidRDefault="00C843FB" w:rsidP="00C843FB">
      <w:pPr>
        <w:tabs>
          <w:tab w:val="left" w:pos="1649"/>
        </w:tabs>
        <w:spacing w:after="0" w:line="240" w:lineRule="auto"/>
        <w:ind w:firstLine="709"/>
        <w:jc w:val="both"/>
        <w:rPr>
          <w:rFonts w:ascii="Arial" w:eastAsia="Arial" w:hAnsi="Arial" w:cs="Arial"/>
          <w:i/>
          <w:iCs/>
          <w:color w:val="5B9BD5" w:themeColor="accent1"/>
        </w:rPr>
      </w:pPr>
    </w:p>
    <w:p w14:paraId="3475A368" w14:textId="77777777" w:rsidR="009B2C17" w:rsidRPr="00C11394" w:rsidRDefault="009B2C17" w:rsidP="009B2C17">
      <w:pPr>
        <w:pStyle w:val="corte4fondo"/>
        <w:tabs>
          <w:tab w:val="left" w:pos="1649"/>
        </w:tabs>
        <w:spacing w:line="240" w:lineRule="auto"/>
        <w:ind w:firstLine="0"/>
        <w:rPr>
          <w:rFonts w:cs="Arial"/>
          <w:i/>
          <w:color w:val="5B9BD5" w:themeColor="accent1"/>
          <w:sz w:val="22"/>
          <w:szCs w:val="22"/>
        </w:rPr>
      </w:pPr>
      <w:r w:rsidRPr="00C11394">
        <w:rPr>
          <w:rFonts w:cs="Arial"/>
          <w:color w:val="5B9BD5" w:themeColor="accent1"/>
          <w:sz w:val="22"/>
          <w:szCs w:val="22"/>
        </w:rPr>
        <w:tab/>
      </w:r>
    </w:p>
    <w:p w14:paraId="200A9610" w14:textId="77777777" w:rsidR="009B2C17" w:rsidRPr="00C11394" w:rsidRDefault="009B2C17" w:rsidP="009B2C17">
      <w:pPr>
        <w:pStyle w:val="corte4fondo"/>
        <w:spacing w:line="240" w:lineRule="auto"/>
        <w:ind w:firstLine="708"/>
        <w:rPr>
          <w:rFonts w:cs="Arial"/>
          <w:b/>
          <w:color w:val="5B9BD5" w:themeColor="accent1"/>
          <w:sz w:val="22"/>
          <w:szCs w:val="22"/>
        </w:rPr>
      </w:pPr>
      <w:r w:rsidRPr="00C11394">
        <w:rPr>
          <w:rFonts w:cs="Arial"/>
          <w:b/>
          <w:color w:val="5B9BD5" w:themeColor="accent1"/>
          <w:sz w:val="22"/>
          <w:szCs w:val="22"/>
        </w:rPr>
        <w:t>4.1. Sentido de esta resolución.</w:t>
      </w:r>
    </w:p>
    <w:p w14:paraId="512BB004" w14:textId="77777777" w:rsidR="009B2C17" w:rsidRPr="00C11394" w:rsidRDefault="009B2C17" w:rsidP="009B2C17">
      <w:pPr>
        <w:pStyle w:val="corte4fondo"/>
        <w:spacing w:line="240" w:lineRule="auto"/>
        <w:ind w:firstLine="0"/>
        <w:rPr>
          <w:rFonts w:cs="Arial"/>
          <w:b/>
          <w:color w:val="5B9BD5" w:themeColor="accent1"/>
          <w:sz w:val="22"/>
          <w:szCs w:val="22"/>
        </w:rPr>
      </w:pPr>
    </w:p>
    <w:p w14:paraId="140C58E1" w14:textId="77777777" w:rsidR="009B2C17" w:rsidRPr="00C11394" w:rsidRDefault="009B2C17" w:rsidP="009B2C17">
      <w:pPr>
        <w:pStyle w:val="corte4fondo"/>
        <w:spacing w:line="240" w:lineRule="auto"/>
        <w:ind w:firstLine="708"/>
        <w:rPr>
          <w:rFonts w:cs="Arial"/>
          <w:color w:val="5B9BD5" w:themeColor="accent1"/>
          <w:sz w:val="22"/>
          <w:szCs w:val="22"/>
        </w:rPr>
      </w:pPr>
      <w:r w:rsidRPr="00C11394">
        <w:rPr>
          <w:rFonts w:cs="Arial"/>
          <w:color w:val="5B9BD5" w:themeColor="accent1"/>
          <w:sz w:val="22"/>
          <w:szCs w:val="22"/>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C11394">
        <w:rPr>
          <w:rFonts w:cs="Arial"/>
          <w:b/>
          <w:bCs/>
          <w:color w:val="5B9BD5" w:themeColor="accent1"/>
          <w:sz w:val="22"/>
          <w:szCs w:val="22"/>
        </w:rPr>
        <w:t>MODIFICAR</w:t>
      </w:r>
      <w:r w:rsidRPr="00C11394">
        <w:rPr>
          <w:rFonts w:cs="Arial"/>
          <w:bCs/>
          <w:color w:val="5B9BD5" w:themeColor="accent1"/>
          <w:sz w:val="22"/>
          <w:szCs w:val="22"/>
        </w:rPr>
        <w:t xml:space="preserve"> </w:t>
      </w:r>
      <w:r w:rsidRPr="00C11394">
        <w:rPr>
          <w:rFonts w:cs="Arial"/>
          <w:color w:val="5B9BD5" w:themeColor="accent1"/>
          <w:sz w:val="22"/>
          <w:szCs w:val="22"/>
        </w:rPr>
        <w:t>la respuesta del sujeto obligado y, por lo tanto, lo conmina para que:</w:t>
      </w:r>
    </w:p>
    <w:p w14:paraId="38BA77E5" w14:textId="77777777" w:rsidR="009B2C17" w:rsidRPr="00C11394" w:rsidRDefault="009B2C17" w:rsidP="009B2C17">
      <w:pPr>
        <w:pStyle w:val="corte4fondo"/>
        <w:spacing w:line="240" w:lineRule="auto"/>
        <w:ind w:firstLine="0"/>
        <w:rPr>
          <w:rFonts w:cs="Arial"/>
          <w:b/>
          <w:color w:val="5B9BD5" w:themeColor="accent1"/>
          <w:sz w:val="22"/>
          <w:szCs w:val="22"/>
        </w:rPr>
      </w:pPr>
    </w:p>
    <w:p w14:paraId="649662F5" w14:textId="77777777" w:rsidR="009B2C17" w:rsidRPr="00C11394" w:rsidRDefault="009B2C17" w:rsidP="009B2C17">
      <w:pPr>
        <w:pStyle w:val="corte4fondo"/>
        <w:spacing w:line="240" w:lineRule="auto"/>
        <w:ind w:firstLine="0"/>
        <w:rPr>
          <w:rFonts w:cs="Arial"/>
          <w:b/>
          <w:color w:val="5B9BD5" w:themeColor="accent1"/>
          <w:sz w:val="22"/>
          <w:szCs w:val="22"/>
        </w:rPr>
      </w:pPr>
    </w:p>
    <w:p w14:paraId="3BFA2098" w14:textId="77777777" w:rsidR="001B00F9" w:rsidRPr="00C11394" w:rsidRDefault="009B2C17" w:rsidP="001B00F9">
      <w:pPr>
        <w:pStyle w:val="corte4fondo"/>
        <w:spacing w:line="240" w:lineRule="auto"/>
        <w:ind w:left="709" w:right="900"/>
        <w:rPr>
          <w:rFonts w:eastAsia="Arial" w:cs="Arial"/>
          <w:i/>
          <w:iCs/>
          <w:color w:val="5B9BD5" w:themeColor="accent1"/>
          <w:sz w:val="22"/>
          <w:szCs w:val="22"/>
        </w:rPr>
      </w:pPr>
      <w:r w:rsidRPr="00C11394">
        <w:rPr>
          <w:rFonts w:cs="Arial"/>
          <w:b/>
          <w:color w:val="5B9BD5" w:themeColor="accent1"/>
          <w:sz w:val="22"/>
          <w:szCs w:val="22"/>
        </w:rPr>
        <w:t xml:space="preserve">Emita una nueva resolución administrativa a efecto de proporcionar al recurrente el acceso a </w:t>
      </w:r>
      <w:r w:rsidR="006B2782" w:rsidRPr="00C11394">
        <w:rPr>
          <w:rFonts w:cs="Arial"/>
          <w:b/>
          <w:color w:val="5B9BD5" w:themeColor="accent1"/>
          <w:sz w:val="22"/>
          <w:szCs w:val="22"/>
        </w:rPr>
        <w:t>la información consistente en “</w:t>
      </w:r>
      <w:r w:rsidR="006B2782" w:rsidRPr="00C11394">
        <w:rPr>
          <w:rFonts w:eastAsia="Arial" w:cs="Arial"/>
          <w:i/>
          <w:iCs/>
          <w:color w:val="5B9BD5" w:themeColor="accent1"/>
          <w:sz w:val="22"/>
          <w:szCs w:val="22"/>
        </w:rPr>
        <w:t>…</w:t>
      </w:r>
      <w:r w:rsidR="001B00F9" w:rsidRPr="00C11394">
        <w:rPr>
          <w:rFonts w:eastAsia="Arial" w:cs="Arial"/>
          <w:i/>
          <w:iCs/>
          <w:color w:val="5B9BD5" w:themeColor="accent1"/>
          <w:sz w:val="22"/>
          <w:szCs w:val="22"/>
        </w:rPr>
        <w:t>1- que se me informe cuanto dinero fue destinado para la atención de la DECLARATORIA de Emergencia Extraordinaria por la presencia de onda cálida ocurrida del 23 al 26 de julio de 2018, en 19 municipios del Estado de San Luis Potosí.</w:t>
      </w:r>
    </w:p>
    <w:p w14:paraId="3E32A172" w14:textId="01E58AB9" w:rsidR="009B2C17" w:rsidRPr="00C11394" w:rsidRDefault="001B00F9" w:rsidP="001B00F9">
      <w:pPr>
        <w:pStyle w:val="corte4fondo"/>
        <w:spacing w:line="240" w:lineRule="auto"/>
        <w:ind w:left="709" w:right="900"/>
        <w:rPr>
          <w:rFonts w:eastAsia="Arial" w:cs="Arial"/>
          <w:i/>
          <w:iCs/>
          <w:color w:val="5B9BD5" w:themeColor="accent1"/>
          <w:sz w:val="22"/>
          <w:szCs w:val="22"/>
        </w:rPr>
      </w:pPr>
      <w:r w:rsidRPr="00C11394">
        <w:rPr>
          <w:rFonts w:eastAsia="Arial" w:cs="Arial"/>
          <w:i/>
          <w:iCs/>
          <w:color w:val="5B9BD5" w:themeColor="accent1"/>
          <w:sz w:val="22"/>
          <w:szCs w:val="22"/>
        </w:rPr>
        <w:t>2. que se informe De la declaratoria de Emergencia Extraordinaria por la presencia de onda cálida ocurrida del 23 al 26 de julio de 2018, en 19 municipios del Estado de San Luis Potosí, cuantos recursos fueron entregados al municipio de san ciro de acosta, en que consistieron los recursos entregados, a quienes fueron entregados y se me proporcione una copia de  recibido de los recursos entregados.</w:t>
      </w:r>
      <w:r w:rsidR="006B2782" w:rsidRPr="00C11394">
        <w:rPr>
          <w:rFonts w:eastAsia="Arial" w:cs="Arial"/>
          <w:i/>
          <w:iCs/>
          <w:color w:val="5B9BD5" w:themeColor="accent1"/>
          <w:sz w:val="22"/>
          <w:szCs w:val="22"/>
        </w:rPr>
        <w:t>”(sic)</w:t>
      </w:r>
    </w:p>
    <w:p w14:paraId="3768552D" w14:textId="77777777" w:rsidR="009B2C17" w:rsidRPr="00C11394" w:rsidRDefault="009B2C17" w:rsidP="009B2C17">
      <w:pPr>
        <w:pStyle w:val="corte4fondo"/>
        <w:spacing w:line="240" w:lineRule="auto"/>
        <w:rPr>
          <w:rFonts w:cs="Arial"/>
          <w:b/>
          <w:color w:val="5B9BD5" w:themeColor="accent1"/>
          <w:sz w:val="22"/>
          <w:szCs w:val="22"/>
        </w:rPr>
      </w:pPr>
    </w:p>
    <w:p w14:paraId="3898731E" w14:textId="77777777" w:rsidR="009B2C17" w:rsidRPr="00C11394" w:rsidRDefault="009B2C17" w:rsidP="009B2C17">
      <w:pPr>
        <w:pStyle w:val="corte4fondo"/>
        <w:spacing w:line="240" w:lineRule="auto"/>
        <w:ind w:left="1429" w:firstLine="0"/>
        <w:rPr>
          <w:rFonts w:cs="Arial"/>
          <w:b/>
          <w:color w:val="5B9BD5" w:themeColor="accent1"/>
          <w:sz w:val="22"/>
          <w:szCs w:val="22"/>
          <w:lang w:val="x-none"/>
        </w:rPr>
      </w:pPr>
    </w:p>
    <w:p w14:paraId="4B852296" w14:textId="77777777" w:rsidR="009B2C17" w:rsidRPr="00C11394" w:rsidRDefault="009B2C17" w:rsidP="009B2C17">
      <w:pPr>
        <w:pStyle w:val="corte4fondo"/>
        <w:spacing w:line="240" w:lineRule="auto"/>
        <w:ind w:firstLine="708"/>
        <w:rPr>
          <w:rFonts w:cs="Arial"/>
          <w:b/>
          <w:color w:val="5B9BD5" w:themeColor="accent1"/>
          <w:sz w:val="22"/>
          <w:szCs w:val="22"/>
        </w:rPr>
      </w:pPr>
      <w:r w:rsidRPr="00C11394">
        <w:rPr>
          <w:rFonts w:cs="Arial"/>
          <w:b/>
          <w:color w:val="5B9BD5" w:themeColor="accent1"/>
          <w:sz w:val="22"/>
          <w:szCs w:val="22"/>
        </w:rPr>
        <w:t>4.2. Precisiones de esta resolución.</w:t>
      </w:r>
    </w:p>
    <w:p w14:paraId="4D8CA26B" w14:textId="77777777" w:rsidR="009B2C17" w:rsidRPr="00C11394" w:rsidRDefault="009B2C17" w:rsidP="009B2C17">
      <w:pPr>
        <w:pStyle w:val="corte4fondo"/>
        <w:spacing w:line="240" w:lineRule="auto"/>
        <w:ind w:firstLine="0"/>
        <w:rPr>
          <w:rFonts w:cs="Arial"/>
          <w:color w:val="5B9BD5" w:themeColor="accent1"/>
          <w:sz w:val="22"/>
          <w:szCs w:val="22"/>
        </w:rPr>
      </w:pPr>
      <w:r w:rsidRPr="00C11394">
        <w:rPr>
          <w:rFonts w:cs="Arial"/>
          <w:b/>
          <w:color w:val="5B9BD5" w:themeColor="accent1"/>
          <w:sz w:val="22"/>
          <w:szCs w:val="22"/>
        </w:rPr>
        <w:tab/>
      </w:r>
    </w:p>
    <w:p w14:paraId="273FB91E" w14:textId="77777777" w:rsidR="009B2C17" w:rsidRPr="00C11394" w:rsidRDefault="009B2C17" w:rsidP="009B2C17">
      <w:pPr>
        <w:pStyle w:val="corte4fondo"/>
        <w:spacing w:line="240" w:lineRule="auto"/>
        <w:ind w:firstLine="708"/>
        <w:rPr>
          <w:rFonts w:cs="Arial"/>
          <w:color w:val="5B9BD5" w:themeColor="accent1"/>
          <w:sz w:val="22"/>
          <w:szCs w:val="22"/>
        </w:rPr>
      </w:pPr>
      <w:r w:rsidRPr="00C11394">
        <w:rPr>
          <w:rFonts w:cs="Arial"/>
          <w:color w:val="5B9BD5" w:themeColor="accent1"/>
          <w:sz w:val="22"/>
          <w:szCs w:val="22"/>
        </w:rPr>
        <w:t>De conformidad con el último párrafo del artículo 175 de la Ley de Transparencia está Comisión de Transparencia establece los siguientes términos para el cumplimiento de la resolución.</w:t>
      </w:r>
    </w:p>
    <w:p w14:paraId="52AD69FF" w14:textId="77777777" w:rsidR="009B2C17" w:rsidRPr="00C11394" w:rsidRDefault="009B2C17" w:rsidP="009B2C17">
      <w:pPr>
        <w:pStyle w:val="corte4fondo"/>
        <w:spacing w:line="240" w:lineRule="auto"/>
        <w:ind w:firstLine="0"/>
        <w:rPr>
          <w:rFonts w:cs="Arial"/>
          <w:b/>
          <w:color w:val="5B9BD5" w:themeColor="accent1"/>
          <w:sz w:val="22"/>
          <w:szCs w:val="22"/>
        </w:rPr>
      </w:pPr>
    </w:p>
    <w:p w14:paraId="61C83B05" w14:textId="77777777" w:rsidR="009B2C17" w:rsidRPr="00C11394" w:rsidRDefault="009B2C17" w:rsidP="009B2C17">
      <w:pPr>
        <w:pStyle w:val="corte4fondo"/>
        <w:numPr>
          <w:ilvl w:val="0"/>
          <w:numId w:val="2"/>
        </w:numPr>
        <w:spacing w:line="240" w:lineRule="auto"/>
        <w:rPr>
          <w:rFonts w:cs="Arial"/>
          <w:b/>
          <w:color w:val="5B9BD5" w:themeColor="accent1"/>
          <w:sz w:val="22"/>
          <w:szCs w:val="22"/>
        </w:rPr>
      </w:pPr>
      <w:r w:rsidRPr="00C11394">
        <w:rPr>
          <w:rFonts w:cs="Arial"/>
          <w:b/>
          <w:color w:val="5B9BD5" w:themeColor="accent1"/>
          <w:sz w:val="22"/>
          <w:szCs w:val="22"/>
        </w:rPr>
        <w:t>El sujeto obligado deberá entregar los documentos que contengan la información solicitada en la modalidad peticionada por el particular.</w:t>
      </w:r>
    </w:p>
    <w:p w14:paraId="598D116C" w14:textId="77777777" w:rsidR="009B2C17" w:rsidRPr="00C11394" w:rsidRDefault="009B2C17" w:rsidP="009B2C17">
      <w:pPr>
        <w:pStyle w:val="corte4fondo"/>
        <w:numPr>
          <w:ilvl w:val="0"/>
          <w:numId w:val="2"/>
        </w:numPr>
        <w:spacing w:line="240" w:lineRule="auto"/>
        <w:rPr>
          <w:rFonts w:cs="Arial"/>
          <w:b/>
          <w:color w:val="5B9BD5" w:themeColor="accent1"/>
          <w:sz w:val="22"/>
          <w:szCs w:val="22"/>
        </w:rPr>
      </w:pPr>
      <w:r w:rsidRPr="00C11394">
        <w:rPr>
          <w:rFonts w:cs="Arial"/>
          <w:b/>
          <w:color w:val="5B9BD5" w:themeColor="accent1"/>
          <w:sz w:val="22"/>
          <w:szCs w:val="22"/>
        </w:rPr>
        <w:t>El sujeto obligado deberá de cuidar en todo momento que la información que entregará no contenga datos personales o confidenciales, pues en caso de contener información con esos datos, deberá de elaborar la versión pública.</w:t>
      </w:r>
    </w:p>
    <w:p w14:paraId="13E23793" w14:textId="77777777" w:rsidR="009B2C17" w:rsidRPr="00C11394" w:rsidRDefault="009B2C17" w:rsidP="009B2C17">
      <w:pPr>
        <w:pStyle w:val="corte4fondo"/>
        <w:spacing w:line="240" w:lineRule="auto"/>
        <w:ind w:left="1429" w:firstLine="0"/>
        <w:rPr>
          <w:rFonts w:cs="Arial"/>
          <w:b/>
          <w:color w:val="5B9BD5" w:themeColor="accent1"/>
          <w:sz w:val="22"/>
          <w:szCs w:val="22"/>
        </w:rPr>
      </w:pPr>
    </w:p>
    <w:p w14:paraId="687AC5FC" w14:textId="77777777" w:rsidR="009B2C17" w:rsidRPr="00C11394" w:rsidRDefault="009B2C17" w:rsidP="009B2C17">
      <w:pPr>
        <w:pStyle w:val="corte4fondo"/>
        <w:spacing w:line="240" w:lineRule="auto"/>
        <w:ind w:firstLine="0"/>
        <w:rPr>
          <w:rFonts w:cs="Arial"/>
          <w:b/>
          <w:color w:val="5B9BD5" w:themeColor="accent1"/>
          <w:sz w:val="22"/>
          <w:szCs w:val="22"/>
        </w:rPr>
      </w:pPr>
    </w:p>
    <w:p w14:paraId="490A4E9B" w14:textId="77777777" w:rsidR="009B2C17" w:rsidRPr="00C11394" w:rsidRDefault="009B2C17" w:rsidP="009B2C17">
      <w:pPr>
        <w:pStyle w:val="corte4fondo"/>
        <w:spacing w:line="240" w:lineRule="auto"/>
        <w:ind w:firstLine="0"/>
        <w:rPr>
          <w:rFonts w:cs="Arial"/>
          <w:b/>
          <w:color w:val="5B9BD5" w:themeColor="accent1"/>
          <w:sz w:val="22"/>
          <w:szCs w:val="22"/>
        </w:rPr>
      </w:pPr>
    </w:p>
    <w:p w14:paraId="2B766607" w14:textId="77777777" w:rsidR="009B2C17" w:rsidRPr="00C11394" w:rsidRDefault="009B2C17" w:rsidP="009B2C17">
      <w:pPr>
        <w:pStyle w:val="corte4fondo"/>
        <w:numPr>
          <w:ilvl w:val="1"/>
          <w:numId w:val="4"/>
        </w:numPr>
        <w:spacing w:line="240" w:lineRule="auto"/>
        <w:rPr>
          <w:rFonts w:cs="Arial"/>
          <w:b/>
          <w:color w:val="5B9BD5" w:themeColor="accent1"/>
          <w:sz w:val="22"/>
          <w:szCs w:val="22"/>
          <w:lang w:val="es-ES"/>
        </w:rPr>
      </w:pPr>
      <w:r w:rsidRPr="00C11394">
        <w:rPr>
          <w:rFonts w:cs="Arial"/>
          <w:b/>
          <w:color w:val="5B9BD5" w:themeColor="accent1"/>
          <w:sz w:val="22"/>
          <w:szCs w:val="22"/>
          <w:lang w:val="es-ES"/>
        </w:rPr>
        <w:t>Plazo para el cumplimento de esta resolución.</w:t>
      </w:r>
    </w:p>
    <w:p w14:paraId="7834EC96" w14:textId="77777777" w:rsidR="009B2C17" w:rsidRPr="00C11394" w:rsidRDefault="009B2C17" w:rsidP="009B2C17">
      <w:pPr>
        <w:pStyle w:val="corte4fondo"/>
        <w:spacing w:line="240" w:lineRule="auto"/>
        <w:ind w:left="1794" w:firstLine="0"/>
        <w:rPr>
          <w:rFonts w:cs="Arial"/>
          <w:b/>
          <w:color w:val="5B9BD5" w:themeColor="accent1"/>
          <w:sz w:val="22"/>
          <w:szCs w:val="22"/>
          <w:lang w:val="es-ES"/>
        </w:rPr>
      </w:pPr>
    </w:p>
    <w:p w14:paraId="216532BA" w14:textId="77777777" w:rsidR="009B2C17" w:rsidRPr="00C11394" w:rsidRDefault="009B2C17" w:rsidP="009B2C17">
      <w:pPr>
        <w:pStyle w:val="corte4fondo"/>
        <w:spacing w:line="240" w:lineRule="auto"/>
        <w:ind w:firstLine="708"/>
        <w:rPr>
          <w:rFonts w:cs="Arial"/>
          <w:color w:val="5B9BD5" w:themeColor="accent1"/>
          <w:sz w:val="22"/>
          <w:szCs w:val="22"/>
          <w:lang w:val="x-none"/>
        </w:rPr>
      </w:pPr>
      <w:r w:rsidRPr="00C11394">
        <w:rPr>
          <w:rFonts w:cs="Arial"/>
          <w:color w:val="5B9BD5" w:themeColor="accent1"/>
          <w:sz w:val="22"/>
          <w:szCs w:val="22"/>
        </w:rPr>
        <w:t xml:space="preserve">Con fundamento en el artículo 175 de la Ley de Transparencia y Acceso a la Información Pública del Estado, este órgano colegiado le concede al sujeto obligado el plazo de </w:t>
      </w:r>
      <w:r w:rsidRPr="00C11394">
        <w:rPr>
          <w:rFonts w:cs="Arial"/>
          <w:b/>
          <w:color w:val="5B9BD5" w:themeColor="accent1"/>
          <w:sz w:val="22"/>
          <w:szCs w:val="22"/>
        </w:rPr>
        <w:t xml:space="preserve">diez días </w:t>
      </w:r>
      <w:r w:rsidRPr="00C11394">
        <w:rPr>
          <w:rFonts w:cs="Arial"/>
          <w:color w:val="5B9BD5" w:themeColor="accent1"/>
          <w:sz w:val="22"/>
          <w:szCs w:val="22"/>
        </w:rPr>
        <w:t>para la entrega de la información, plazo que es el que está Comisión de Transparencia considera que es suficiente, ya que es el máximo autorizado por el citado precepto.</w:t>
      </w:r>
    </w:p>
    <w:p w14:paraId="4257C357" w14:textId="77777777" w:rsidR="009B2C17" w:rsidRPr="00C11394" w:rsidRDefault="009B2C17" w:rsidP="009B2C17">
      <w:pPr>
        <w:pStyle w:val="corte4fondo"/>
        <w:spacing w:line="240" w:lineRule="auto"/>
        <w:ind w:firstLine="708"/>
        <w:rPr>
          <w:rFonts w:cs="Arial"/>
          <w:color w:val="5B9BD5" w:themeColor="accent1"/>
          <w:sz w:val="22"/>
          <w:szCs w:val="22"/>
        </w:rPr>
      </w:pPr>
    </w:p>
    <w:p w14:paraId="3BEDBC2B" w14:textId="77777777" w:rsidR="009B2C17" w:rsidRPr="00C11394" w:rsidRDefault="009B2C17" w:rsidP="009B2C17">
      <w:pPr>
        <w:pStyle w:val="corte4fondo"/>
        <w:spacing w:line="240" w:lineRule="auto"/>
        <w:rPr>
          <w:rFonts w:cs="Arial"/>
          <w:color w:val="5B9BD5" w:themeColor="accent1"/>
          <w:sz w:val="22"/>
          <w:szCs w:val="22"/>
          <w:lang w:val="es-ES"/>
        </w:rPr>
      </w:pPr>
    </w:p>
    <w:p w14:paraId="2A58961D" w14:textId="77777777" w:rsidR="009B2C17" w:rsidRPr="00C11394" w:rsidRDefault="009B2C17" w:rsidP="009B2C17">
      <w:pPr>
        <w:pStyle w:val="corte4fondo"/>
        <w:numPr>
          <w:ilvl w:val="1"/>
          <w:numId w:val="4"/>
        </w:numPr>
        <w:spacing w:line="240" w:lineRule="auto"/>
        <w:rPr>
          <w:rFonts w:cs="Arial"/>
          <w:b/>
          <w:color w:val="5B9BD5" w:themeColor="accent1"/>
          <w:sz w:val="22"/>
          <w:szCs w:val="22"/>
          <w:lang w:val="es-ES"/>
        </w:rPr>
      </w:pPr>
      <w:r w:rsidRPr="00C11394">
        <w:rPr>
          <w:rFonts w:cs="Arial"/>
          <w:b/>
          <w:color w:val="5B9BD5" w:themeColor="accent1"/>
          <w:sz w:val="22"/>
          <w:szCs w:val="22"/>
          <w:lang w:val="es-ES"/>
        </w:rPr>
        <w:t>Informe sobre el cumplimento a la resolución.</w:t>
      </w:r>
    </w:p>
    <w:p w14:paraId="23839DDE" w14:textId="77777777" w:rsidR="009B2C17" w:rsidRPr="00C11394" w:rsidRDefault="009B2C17" w:rsidP="009B2C17">
      <w:pPr>
        <w:pStyle w:val="corte4fondo"/>
        <w:spacing w:line="240" w:lineRule="auto"/>
        <w:ind w:left="1479" w:firstLine="0"/>
        <w:rPr>
          <w:rFonts w:cs="Arial"/>
          <w:b/>
          <w:color w:val="5B9BD5" w:themeColor="accent1"/>
          <w:sz w:val="22"/>
          <w:szCs w:val="22"/>
          <w:lang w:val="es-ES"/>
        </w:rPr>
      </w:pPr>
    </w:p>
    <w:p w14:paraId="0B4C247E" w14:textId="77777777" w:rsidR="009B2C17" w:rsidRPr="00C11394" w:rsidRDefault="009B2C17" w:rsidP="009B2C17">
      <w:pPr>
        <w:pStyle w:val="corte4fondo"/>
        <w:spacing w:line="240" w:lineRule="auto"/>
        <w:ind w:firstLine="708"/>
        <w:rPr>
          <w:rFonts w:cs="Arial"/>
          <w:color w:val="5B9BD5" w:themeColor="accent1"/>
          <w:sz w:val="22"/>
          <w:szCs w:val="22"/>
          <w:lang w:val="x-none"/>
        </w:rPr>
      </w:pPr>
      <w:r w:rsidRPr="00C11394">
        <w:rPr>
          <w:rFonts w:cs="Arial"/>
          <w:color w:val="5B9BD5" w:themeColor="accent1"/>
          <w:sz w:val="22"/>
          <w:szCs w:val="22"/>
        </w:rPr>
        <w:t xml:space="preserve">De conformidad con el artículo 177, segundo párrafo, el sujeto obligado deberá de informar a esta Comisión de Transparencia el </w:t>
      </w:r>
      <w:r w:rsidRPr="00C11394">
        <w:rPr>
          <w:rFonts w:cs="Arial"/>
          <w:b/>
          <w:color w:val="5B9BD5" w:themeColor="accent1"/>
          <w:sz w:val="22"/>
          <w:szCs w:val="22"/>
        </w:rPr>
        <w:t xml:space="preserve">cumplimento a la presente resolución en un plazo que no deberá de exceder de tres días siguientes a los diez días que tiene para la entrega de la información </w:t>
      </w:r>
      <w:r w:rsidRPr="00C11394">
        <w:rPr>
          <w:rFonts w:cs="Arial"/>
          <w:color w:val="5B9BD5" w:themeColor="accent1"/>
          <w:sz w:val="22"/>
          <w:szCs w:val="22"/>
        </w:rPr>
        <w:t>en donde justificará con los documentos necesarios el cumplimento a lo aquí ordenado.</w:t>
      </w:r>
    </w:p>
    <w:p w14:paraId="0320BD42" w14:textId="77777777" w:rsidR="009B2C17" w:rsidRPr="00C11394" w:rsidRDefault="009B2C17" w:rsidP="009B2C17">
      <w:pPr>
        <w:pStyle w:val="corte4fondo"/>
        <w:spacing w:line="240" w:lineRule="auto"/>
        <w:ind w:firstLine="708"/>
        <w:rPr>
          <w:rFonts w:cs="Arial"/>
          <w:color w:val="5B9BD5" w:themeColor="accent1"/>
          <w:sz w:val="22"/>
          <w:szCs w:val="22"/>
        </w:rPr>
      </w:pPr>
    </w:p>
    <w:p w14:paraId="1A094B65" w14:textId="77777777" w:rsidR="009B2C17" w:rsidRPr="00C11394" w:rsidRDefault="009B2C17" w:rsidP="009B2C17">
      <w:pPr>
        <w:pStyle w:val="corte4fondo"/>
        <w:spacing w:line="240" w:lineRule="auto"/>
        <w:ind w:firstLine="0"/>
        <w:rPr>
          <w:rFonts w:cs="Arial"/>
          <w:b/>
          <w:color w:val="5B9BD5" w:themeColor="accent1"/>
          <w:sz w:val="22"/>
          <w:szCs w:val="22"/>
          <w:lang w:val="es-ES"/>
        </w:rPr>
      </w:pPr>
    </w:p>
    <w:p w14:paraId="719E20EE" w14:textId="77777777" w:rsidR="009B2C17" w:rsidRPr="00C11394" w:rsidRDefault="009B2C17" w:rsidP="009B2C17">
      <w:pPr>
        <w:pStyle w:val="corte4fondo"/>
        <w:spacing w:line="240" w:lineRule="auto"/>
        <w:ind w:firstLine="708"/>
        <w:rPr>
          <w:rFonts w:cs="Arial"/>
          <w:b/>
          <w:color w:val="5B9BD5" w:themeColor="accent1"/>
          <w:sz w:val="22"/>
          <w:szCs w:val="22"/>
          <w:lang w:val="es-ES"/>
        </w:rPr>
      </w:pPr>
      <w:r w:rsidRPr="00C11394">
        <w:rPr>
          <w:rFonts w:cs="Arial"/>
          <w:b/>
          <w:color w:val="5B9BD5" w:themeColor="accent1"/>
          <w:sz w:val="22"/>
          <w:szCs w:val="22"/>
          <w:lang w:val="es-ES"/>
        </w:rPr>
        <w:t>4.5. Medida de apremio en caso de incumplimiento a la resolución.</w:t>
      </w:r>
    </w:p>
    <w:p w14:paraId="5A6246FE" w14:textId="77777777" w:rsidR="009B2C17" w:rsidRPr="00C11394" w:rsidRDefault="009B2C17" w:rsidP="009B2C17">
      <w:pPr>
        <w:pStyle w:val="corte4fondo"/>
        <w:spacing w:line="240" w:lineRule="auto"/>
        <w:rPr>
          <w:rFonts w:cs="Arial"/>
          <w:b/>
          <w:color w:val="5B9BD5" w:themeColor="accent1"/>
          <w:sz w:val="22"/>
          <w:szCs w:val="22"/>
          <w:lang w:val="es-ES"/>
        </w:rPr>
      </w:pPr>
    </w:p>
    <w:p w14:paraId="074A53EC" w14:textId="77777777" w:rsidR="009B2C17" w:rsidRPr="00C11394" w:rsidRDefault="009B2C17" w:rsidP="009B2C17">
      <w:pPr>
        <w:pStyle w:val="corte4fondo"/>
        <w:spacing w:line="240" w:lineRule="auto"/>
        <w:ind w:firstLine="708"/>
        <w:rPr>
          <w:rFonts w:cs="Arial"/>
          <w:color w:val="5B9BD5" w:themeColor="accent1"/>
          <w:sz w:val="22"/>
          <w:szCs w:val="22"/>
          <w:lang w:val="x-none"/>
        </w:rPr>
      </w:pPr>
      <w:r w:rsidRPr="00C11394">
        <w:rPr>
          <w:rFonts w:cs="Arial"/>
          <w:color w:val="5B9BD5" w:themeColor="accent1"/>
          <w:sz w:val="22"/>
          <w:szCs w:val="22"/>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14:paraId="49822973" w14:textId="0A6D3F91" w:rsidR="009B2C17" w:rsidRDefault="009B2C17" w:rsidP="009B2C17">
      <w:pPr>
        <w:pStyle w:val="corte4fondo"/>
        <w:spacing w:line="240" w:lineRule="auto"/>
        <w:rPr>
          <w:rFonts w:cs="Arial"/>
          <w:b/>
          <w:color w:val="5B9BD5" w:themeColor="accent1"/>
          <w:sz w:val="22"/>
          <w:szCs w:val="22"/>
        </w:rPr>
      </w:pPr>
    </w:p>
    <w:p w14:paraId="1C2C6323" w14:textId="77777777" w:rsidR="00C11394" w:rsidRPr="00C11394" w:rsidRDefault="00C11394" w:rsidP="009B2C17">
      <w:pPr>
        <w:pStyle w:val="corte4fondo"/>
        <w:spacing w:line="240" w:lineRule="auto"/>
        <w:rPr>
          <w:rFonts w:cs="Arial"/>
          <w:b/>
          <w:color w:val="5B9BD5" w:themeColor="accent1"/>
          <w:sz w:val="22"/>
          <w:szCs w:val="22"/>
        </w:rPr>
      </w:pPr>
    </w:p>
    <w:p w14:paraId="217CFAC5" w14:textId="77777777" w:rsidR="009B2C17" w:rsidRPr="00C11394" w:rsidRDefault="009B2C17" w:rsidP="009B2C17">
      <w:pPr>
        <w:pStyle w:val="corte4fondo"/>
        <w:spacing w:line="240" w:lineRule="auto"/>
        <w:jc w:val="center"/>
        <w:rPr>
          <w:rFonts w:cs="Arial"/>
          <w:b/>
          <w:color w:val="5B9BD5" w:themeColor="accent1"/>
          <w:sz w:val="22"/>
          <w:szCs w:val="22"/>
        </w:rPr>
      </w:pPr>
      <w:r w:rsidRPr="00C11394">
        <w:rPr>
          <w:rFonts w:cs="Arial"/>
          <w:b/>
          <w:color w:val="5B9BD5" w:themeColor="accent1"/>
          <w:sz w:val="22"/>
          <w:szCs w:val="22"/>
        </w:rPr>
        <w:t>RESOLUTIVO</w:t>
      </w:r>
    </w:p>
    <w:p w14:paraId="52AD10D0" w14:textId="3861FA9F" w:rsidR="009B2C17" w:rsidRDefault="009B2C17" w:rsidP="009B2C17">
      <w:pPr>
        <w:pStyle w:val="corte4fondo"/>
        <w:spacing w:line="240" w:lineRule="auto"/>
        <w:jc w:val="center"/>
        <w:rPr>
          <w:rFonts w:cs="Arial"/>
          <w:b/>
          <w:color w:val="5B9BD5" w:themeColor="accent1"/>
          <w:sz w:val="22"/>
          <w:szCs w:val="22"/>
        </w:rPr>
      </w:pPr>
    </w:p>
    <w:p w14:paraId="21D884D9" w14:textId="77777777" w:rsidR="00C11394" w:rsidRPr="00C11394" w:rsidRDefault="00C11394" w:rsidP="009B2C17">
      <w:pPr>
        <w:pStyle w:val="corte4fondo"/>
        <w:spacing w:line="240" w:lineRule="auto"/>
        <w:jc w:val="center"/>
        <w:rPr>
          <w:rFonts w:cs="Arial"/>
          <w:b/>
          <w:color w:val="5B9BD5" w:themeColor="accent1"/>
          <w:sz w:val="22"/>
          <w:szCs w:val="22"/>
        </w:rPr>
      </w:pPr>
    </w:p>
    <w:p w14:paraId="546ACCB5" w14:textId="77777777" w:rsidR="009B2C17" w:rsidRPr="00C11394" w:rsidRDefault="009B2C17" w:rsidP="009B2C17">
      <w:pPr>
        <w:pStyle w:val="corte4fondo"/>
        <w:spacing w:line="240" w:lineRule="auto"/>
        <w:jc w:val="center"/>
        <w:rPr>
          <w:rFonts w:cs="Arial"/>
          <w:b/>
          <w:color w:val="5B9BD5" w:themeColor="accent1"/>
          <w:sz w:val="22"/>
          <w:szCs w:val="22"/>
        </w:rPr>
      </w:pPr>
    </w:p>
    <w:p w14:paraId="203C3118" w14:textId="77777777" w:rsidR="009B2C17" w:rsidRPr="00C11394" w:rsidRDefault="009B2C17" w:rsidP="009B2C17">
      <w:pPr>
        <w:pStyle w:val="corte4fondo"/>
        <w:spacing w:line="240" w:lineRule="auto"/>
        <w:ind w:firstLine="708"/>
        <w:rPr>
          <w:rFonts w:cs="Arial"/>
          <w:b/>
          <w:color w:val="5B9BD5" w:themeColor="accent1"/>
          <w:sz w:val="22"/>
          <w:szCs w:val="22"/>
        </w:rPr>
      </w:pPr>
      <w:r w:rsidRPr="00C11394">
        <w:rPr>
          <w:rFonts w:cs="Arial"/>
          <w:b/>
          <w:color w:val="5B9BD5" w:themeColor="accent1"/>
          <w:sz w:val="22"/>
          <w:szCs w:val="22"/>
        </w:rPr>
        <w:t>Por lo expuesto y fundado, SE RESUELVE:</w:t>
      </w:r>
    </w:p>
    <w:p w14:paraId="40342A6E" w14:textId="77777777" w:rsidR="009B2C17" w:rsidRPr="00C11394" w:rsidRDefault="009B2C17" w:rsidP="009B2C17">
      <w:pPr>
        <w:pStyle w:val="corte4fondo"/>
        <w:spacing w:line="240" w:lineRule="auto"/>
        <w:ind w:firstLine="0"/>
        <w:rPr>
          <w:rFonts w:cs="Arial"/>
          <w:b/>
          <w:color w:val="5B9BD5" w:themeColor="accent1"/>
          <w:sz w:val="22"/>
          <w:szCs w:val="22"/>
        </w:rPr>
      </w:pPr>
    </w:p>
    <w:p w14:paraId="2C4C8718" w14:textId="77777777" w:rsidR="009B2C17" w:rsidRPr="00C11394" w:rsidRDefault="009B2C17" w:rsidP="009B2C17">
      <w:pPr>
        <w:pStyle w:val="corte4fondo"/>
        <w:spacing w:line="240" w:lineRule="auto"/>
        <w:ind w:firstLine="0"/>
        <w:rPr>
          <w:rFonts w:cs="Arial"/>
          <w:b/>
          <w:color w:val="5B9BD5" w:themeColor="accent1"/>
          <w:sz w:val="22"/>
          <w:szCs w:val="22"/>
        </w:rPr>
      </w:pPr>
    </w:p>
    <w:p w14:paraId="0EE761FD" w14:textId="77777777" w:rsidR="009B2C17" w:rsidRPr="00C11394" w:rsidRDefault="009B2C17" w:rsidP="009B2C17">
      <w:pPr>
        <w:pStyle w:val="corte4fondo"/>
        <w:spacing w:line="240" w:lineRule="auto"/>
        <w:ind w:firstLine="708"/>
        <w:rPr>
          <w:rFonts w:cs="Arial"/>
          <w:color w:val="5B9BD5" w:themeColor="accent1"/>
          <w:sz w:val="22"/>
          <w:szCs w:val="22"/>
        </w:rPr>
      </w:pPr>
      <w:r w:rsidRPr="00C11394">
        <w:rPr>
          <w:rFonts w:cs="Arial"/>
          <w:b/>
          <w:color w:val="5B9BD5" w:themeColor="accent1"/>
          <w:sz w:val="22"/>
          <w:szCs w:val="22"/>
        </w:rPr>
        <w:t xml:space="preserve">ÚNICO. </w:t>
      </w:r>
      <w:r w:rsidRPr="00C11394">
        <w:rPr>
          <w:rFonts w:cs="Arial"/>
          <w:color w:val="5B9BD5" w:themeColor="accent1"/>
          <w:sz w:val="22"/>
          <w:szCs w:val="22"/>
        </w:rPr>
        <w:t xml:space="preserve">Esta Comisión Estatal de Garantía y Acceso a la Información Pública </w:t>
      </w:r>
      <w:r w:rsidRPr="00C11394">
        <w:rPr>
          <w:rFonts w:cs="Arial"/>
          <w:b/>
          <w:color w:val="5B9BD5" w:themeColor="accent1"/>
          <w:sz w:val="22"/>
          <w:szCs w:val="22"/>
        </w:rPr>
        <w:t>Modifica el acto impugnado</w:t>
      </w:r>
      <w:r w:rsidRPr="00C11394">
        <w:rPr>
          <w:rFonts w:cs="Arial"/>
          <w:color w:val="5B9BD5" w:themeColor="accent1"/>
          <w:sz w:val="22"/>
          <w:szCs w:val="22"/>
        </w:rPr>
        <w:t xml:space="preserve"> por los fundamentos y las razones desarrolladas en el considerando cuarto de la presente resolución.</w:t>
      </w:r>
    </w:p>
    <w:p w14:paraId="5DA6D836" w14:textId="77777777" w:rsidR="009B2C17" w:rsidRPr="00C11394" w:rsidRDefault="009B2C17" w:rsidP="009B2C17">
      <w:pPr>
        <w:pStyle w:val="corte4fondo"/>
        <w:spacing w:line="240" w:lineRule="auto"/>
        <w:ind w:firstLine="0"/>
        <w:rPr>
          <w:rFonts w:cs="Arial"/>
          <w:color w:val="5B9BD5" w:themeColor="accent1"/>
          <w:sz w:val="22"/>
          <w:szCs w:val="22"/>
        </w:rPr>
      </w:pPr>
    </w:p>
    <w:p w14:paraId="64C17D63" w14:textId="03EA4833" w:rsidR="009B2C17" w:rsidRDefault="009B2C17" w:rsidP="009B2C17">
      <w:pPr>
        <w:pStyle w:val="corte4fondo"/>
        <w:spacing w:line="240" w:lineRule="auto"/>
        <w:ind w:firstLine="0"/>
        <w:rPr>
          <w:rFonts w:cs="Arial"/>
          <w:color w:val="5B9BD5" w:themeColor="accent1"/>
          <w:sz w:val="22"/>
          <w:szCs w:val="22"/>
        </w:rPr>
      </w:pPr>
    </w:p>
    <w:p w14:paraId="4DE07E81" w14:textId="77777777" w:rsidR="00C11394" w:rsidRPr="00C11394" w:rsidRDefault="00C11394" w:rsidP="009B2C17">
      <w:pPr>
        <w:pStyle w:val="corte4fondo"/>
        <w:spacing w:line="240" w:lineRule="auto"/>
        <w:ind w:firstLine="0"/>
        <w:rPr>
          <w:rFonts w:cs="Arial"/>
          <w:color w:val="5B9BD5" w:themeColor="accent1"/>
          <w:sz w:val="22"/>
          <w:szCs w:val="22"/>
        </w:rPr>
      </w:pPr>
    </w:p>
    <w:p w14:paraId="6DF41CC6" w14:textId="77777777" w:rsidR="009B2C17" w:rsidRPr="00C11394" w:rsidRDefault="009B2C17" w:rsidP="009B2C17">
      <w:pPr>
        <w:pStyle w:val="corte4fondo"/>
        <w:spacing w:line="240" w:lineRule="auto"/>
        <w:ind w:firstLine="708"/>
        <w:rPr>
          <w:rFonts w:cs="Arial"/>
          <w:b/>
          <w:color w:val="5B9BD5" w:themeColor="accent1"/>
          <w:sz w:val="22"/>
          <w:szCs w:val="22"/>
        </w:rPr>
      </w:pPr>
      <w:r w:rsidRPr="00C11394">
        <w:rPr>
          <w:rFonts w:cs="Arial"/>
          <w:color w:val="5B9BD5" w:themeColor="accent1"/>
          <w:sz w:val="22"/>
          <w:szCs w:val="22"/>
        </w:rPr>
        <w:t>Notifíquese; por oficio a las autoridades y a la recurrente por el medio que designó</w:t>
      </w:r>
      <w:r w:rsidRPr="00C11394">
        <w:rPr>
          <w:rFonts w:cs="Arial"/>
          <w:b/>
          <w:color w:val="5B9BD5" w:themeColor="accent1"/>
          <w:sz w:val="22"/>
          <w:szCs w:val="22"/>
        </w:rPr>
        <w:t>.</w:t>
      </w:r>
    </w:p>
    <w:p w14:paraId="4900C1A7" w14:textId="77777777" w:rsidR="009B2C17" w:rsidRPr="00C11394" w:rsidRDefault="009B2C17" w:rsidP="009B2C17">
      <w:pPr>
        <w:pStyle w:val="corte4fondo"/>
        <w:spacing w:line="240" w:lineRule="auto"/>
        <w:ind w:firstLine="0"/>
        <w:rPr>
          <w:rFonts w:cs="Arial"/>
          <w:b/>
          <w:color w:val="5B9BD5" w:themeColor="accent1"/>
          <w:sz w:val="22"/>
          <w:szCs w:val="22"/>
        </w:rPr>
      </w:pPr>
    </w:p>
    <w:p w14:paraId="3D1208E6" w14:textId="77777777" w:rsidR="009B2C17" w:rsidRPr="00C11394" w:rsidRDefault="009B2C17" w:rsidP="009B2C17">
      <w:pPr>
        <w:pStyle w:val="corte4fondo"/>
        <w:spacing w:line="240" w:lineRule="auto"/>
        <w:ind w:firstLine="708"/>
        <w:rPr>
          <w:rFonts w:cs="Arial"/>
          <w:color w:val="5B9BD5" w:themeColor="accent1"/>
          <w:sz w:val="22"/>
          <w:szCs w:val="22"/>
        </w:rPr>
      </w:pPr>
      <w:r w:rsidRPr="00C11394">
        <w:rPr>
          <w:rFonts w:cs="Arial"/>
          <w:color w:val="5B9BD5" w:themeColor="accent1"/>
          <w:sz w:val="22"/>
          <w:szCs w:val="22"/>
        </w:rPr>
        <w:t xml:space="preserve">Así, por unanimidad de votos lo resolvió la Comisión Estatal de Garantía de Acceso a la Información Pública, integrada por los Comisionados Mariajosé González Zarzosa, Paulina Sánchez Pérez del Pozo, David Enrique Menchaca Zúñiga Presidente, siendo ponente la segunda de los nombrados, quienes, en unión de la Licenciada Rosa María Motilla García, Secretaria de Pleno que da fe, firman esta resolución.    </w:t>
      </w:r>
    </w:p>
    <w:p w14:paraId="77EC223D" w14:textId="77777777" w:rsidR="009B2C17" w:rsidRPr="00C11394" w:rsidRDefault="009B2C17" w:rsidP="009B2C17">
      <w:pPr>
        <w:pStyle w:val="corte4fondo"/>
        <w:spacing w:line="240" w:lineRule="auto"/>
        <w:ind w:firstLine="0"/>
        <w:rPr>
          <w:rFonts w:cs="Arial"/>
          <w:b/>
          <w:color w:val="5B9BD5" w:themeColor="accent1"/>
          <w:sz w:val="22"/>
          <w:szCs w:val="22"/>
        </w:rPr>
      </w:pPr>
    </w:p>
    <w:p w14:paraId="38EA7153" w14:textId="77777777" w:rsidR="009B2C17" w:rsidRPr="00C11394" w:rsidRDefault="009B2C17" w:rsidP="009B2C17">
      <w:pPr>
        <w:pStyle w:val="corte4fondo"/>
        <w:spacing w:line="240" w:lineRule="auto"/>
        <w:ind w:firstLine="0"/>
        <w:rPr>
          <w:rFonts w:cs="Arial"/>
          <w:b/>
          <w:color w:val="5B9BD5" w:themeColor="accent1"/>
          <w:sz w:val="22"/>
          <w:szCs w:val="22"/>
        </w:rPr>
      </w:pPr>
    </w:p>
    <w:tbl>
      <w:tblPr>
        <w:tblW w:w="9900" w:type="dxa"/>
        <w:jc w:val="center"/>
        <w:tblLook w:val="01E0" w:firstRow="1" w:lastRow="1" w:firstColumn="1" w:lastColumn="1" w:noHBand="0" w:noVBand="0"/>
      </w:tblPr>
      <w:tblGrid>
        <w:gridCol w:w="4552"/>
        <w:gridCol w:w="154"/>
        <w:gridCol w:w="180"/>
        <w:gridCol w:w="5014"/>
      </w:tblGrid>
      <w:tr w:rsidR="00285F0D" w:rsidRPr="00C11394" w14:paraId="74C8D549" w14:textId="77777777" w:rsidTr="009B2C17">
        <w:trPr>
          <w:trHeight w:val="2654"/>
          <w:jc w:val="center"/>
        </w:trPr>
        <w:tc>
          <w:tcPr>
            <w:tcW w:w="4706" w:type="dxa"/>
            <w:gridSpan w:val="2"/>
          </w:tcPr>
          <w:p w14:paraId="150A5E0A" w14:textId="77777777" w:rsidR="009B2C17" w:rsidRPr="00C11394" w:rsidRDefault="009B2C17">
            <w:pPr>
              <w:pStyle w:val="corte4fondo"/>
              <w:spacing w:line="240" w:lineRule="auto"/>
              <w:rPr>
                <w:rFonts w:cs="Arial"/>
                <w:b/>
                <w:color w:val="5B9BD5" w:themeColor="accent1"/>
                <w:sz w:val="22"/>
                <w:szCs w:val="22"/>
                <w:lang w:eastAsia="en-US"/>
              </w:rPr>
            </w:pPr>
            <w:r w:rsidRPr="00C11394">
              <w:rPr>
                <w:rFonts w:cs="Arial"/>
                <w:b/>
                <w:color w:val="5B9BD5" w:themeColor="accent1"/>
                <w:sz w:val="22"/>
                <w:szCs w:val="22"/>
                <w:lang w:eastAsia="en-US"/>
              </w:rPr>
              <w:t xml:space="preserve">          COMISIONADA</w:t>
            </w:r>
          </w:p>
          <w:p w14:paraId="49C653CA"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58894206"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24B6D1A0"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14949AC1"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2401975C"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r w:rsidRPr="00C11394">
              <w:rPr>
                <w:rFonts w:cs="Arial"/>
                <w:b/>
                <w:color w:val="5B9BD5" w:themeColor="accent1"/>
                <w:sz w:val="22"/>
                <w:szCs w:val="22"/>
                <w:lang w:eastAsia="en-US"/>
              </w:rPr>
              <w:t xml:space="preserve"> MARIAJOSÉ</w:t>
            </w:r>
          </w:p>
          <w:p w14:paraId="6C187591"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r w:rsidRPr="00C11394">
              <w:rPr>
                <w:rFonts w:cs="Arial"/>
                <w:b/>
                <w:color w:val="5B9BD5" w:themeColor="accent1"/>
                <w:sz w:val="22"/>
                <w:szCs w:val="22"/>
                <w:lang w:eastAsia="en-US"/>
              </w:rPr>
              <w:t>GONZÁLEZ ZARZOSA</w:t>
            </w:r>
          </w:p>
          <w:p w14:paraId="01633105"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555C2B50" w14:textId="77777777" w:rsidR="009B2C17" w:rsidRPr="00C11394" w:rsidRDefault="009B2C17">
            <w:pPr>
              <w:pStyle w:val="corte4fondo"/>
              <w:spacing w:line="240" w:lineRule="auto"/>
              <w:jc w:val="center"/>
              <w:rPr>
                <w:rFonts w:cs="Arial"/>
                <w:b/>
                <w:color w:val="5B9BD5" w:themeColor="accent1"/>
                <w:sz w:val="22"/>
                <w:szCs w:val="22"/>
                <w:lang w:eastAsia="en-US"/>
              </w:rPr>
            </w:pPr>
          </w:p>
          <w:p w14:paraId="4BF67321" w14:textId="77777777" w:rsidR="009B2C17" w:rsidRPr="00C11394" w:rsidRDefault="009B2C17">
            <w:pPr>
              <w:pStyle w:val="corte4fondo"/>
              <w:spacing w:line="240" w:lineRule="auto"/>
              <w:jc w:val="center"/>
              <w:rPr>
                <w:rFonts w:cs="Arial"/>
                <w:b/>
                <w:color w:val="5B9BD5" w:themeColor="accent1"/>
                <w:sz w:val="22"/>
                <w:szCs w:val="22"/>
                <w:lang w:eastAsia="en-US"/>
              </w:rPr>
            </w:pPr>
          </w:p>
        </w:tc>
        <w:tc>
          <w:tcPr>
            <w:tcW w:w="5194" w:type="dxa"/>
            <w:gridSpan w:val="2"/>
          </w:tcPr>
          <w:p w14:paraId="48ABA0D7" w14:textId="77777777" w:rsidR="009B2C17" w:rsidRPr="00C11394" w:rsidRDefault="009B2C17">
            <w:pPr>
              <w:pStyle w:val="corte4fondo"/>
              <w:spacing w:line="240" w:lineRule="auto"/>
              <w:jc w:val="center"/>
              <w:rPr>
                <w:rFonts w:cs="Arial"/>
                <w:b/>
                <w:color w:val="5B9BD5" w:themeColor="accent1"/>
                <w:sz w:val="22"/>
                <w:szCs w:val="22"/>
                <w:lang w:eastAsia="en-US"/>
              </w:rPr>
            </w:pPr>
            <w:r w:rsidRPr="00C11394">
              <w:rPr>
                <w:rFonts w:cs="Arial"/>
                <w:b/>
                <w:color w:val="5B9BD5" w:themeColor="accent1"/>
                <w:sz w:val="22"/>
                <w:szCs w:val="22"/>
                <w:lang w:eastAsia="en-US"/>
              </w:rPr>
              <w:t>COMISIONADO PRESIDENTE</w:t>
            </w:r>
          </w:p>
          <w:p w14:paraId="7B462880"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4D8CB2E1"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29B74FA9"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7877CBC6"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26D172C7" w14:textId="77777777" w:rsidR="009B2C17" w:rsidRPr="00C11394" w:rsidRDefault="009B2C17">
            <w:pPr>
              <w:pStyle w:val="corte4fondo"/>
              <w:spacing w:line="240" w:lineRule="auto"/>
              <w:jc w:val="center"/>
              <w:rPr>
                <w:rFonts w:cs="Arial"/>
                <w:b/>
                <w:color w:val="5B9BD5" w:themeColor="accent1"/>
                <w:sz w:val="22"/>
                <w:szCs w:val="22"/>
                <w:lang w:eastAsia="en-US"/>
              </w:rPr>
            </w:pPr>
            <w:r w:rsidRPr="00C11394">
              <w:rPr>
                <w:rFonts w:cs="Arial"/>
                <w:b/>
                <w:color w:val="5B9BD5" w:themeColor="accent1"/>
                <w:sz w:val="22"/>
                <w:szCs w:val="22"/>
                <w:lang w:eastAsia="en-US"/>
              </w:rPr>
              <w:t>LIC. DAVID ENRIQUE MENCHACA ZUÑIGA</w:t>
            </w:r>
          </w:p>
          <w:p w14:paraId="4C2CFBE8" w14:textId="77777777" w:rsidR="009B2C17" w:rsidRPr="00C11394" w:rsidRDefault="009B2C17">
            <w:pPr>
              <w:pStyle w:val="corte4fondo"/>
              <w:spacing w:line="240" w:lineRule="auto"/>
              <w:jc w:val="center"/>
              <w:rPr>
                <w:rFonts w:cs="Arial"/>
                <w:b/>
                <w:color w:val="5B9BD5" w:themeColor="accent1"/>
                <w:sz w:val="22"/>
                <w:szCs w:val="22"/>
                <w:lang w:eastAsia="en-US"/>
              </w:rPr>
            </w:pPr>
          </w:p>
        </w:tc>
      </w:tr>
      <w:tr w:rsidR="009B2C17" w:rsidRPr="00C11394" w14:paraId="73541C87" w14:textId="77777777" w:rsidTr="009B2C17">
        <w:trPr>
          <w:trHeight w:val="2085"/>
          <w:jc w:val="center"/>
        </w:trPr>
        <w:tc>
          <w:tcPr>
            <w:tcW w:w="4552" w:type="dxa"/>
          </w:tcPr>
          <w:p w14:paraId="57AB41D6"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r w:rsidRPr="00C11394">
              <w:rPr>
                <w:rFonts w:cs="Arial"/>
                <w:b/>
                <w:color w:val="5B9BD5" w:themeColor="accent1"/>
                <w:sz w:val="22"/>
                <w:szCs w:val="22"/>
                <w:lang w:eastAsia="en-US"/>
              </w:rPr>
              <w:t xml:space="preserve">       COMISIONADA</w:t>
            </w:r>
          </w:p>
          <w:p w14:paraId="6009935F" w14:textId="77777777" w:rsidR="009B2C17" w:rsidRPr="00C11394" w:rsidRDefault="009B2C17">
            <w:pPr>
              <w:pStyle w:val="corte4fondo"/>
              <w:spacing w:line="240" w:lineRule="auto"/>
              <w:jc w:val="center"/>
              <w:rPr>
                <w:rFonts w:cs="Arial"/>
                <w:b/>
                <w:color w:val="5B9BD5" w:themeColor="accent1"/>
                <w:sz w:val="22"/>
                <w:szCs w:val="22"/>
                <w:lang w:eastAsia="en-US"/>
              </w:rPr>
            </w:pPr>
          </w:p>
          <w:p w14:paraId="6A677B2D" w14:textId="77777777" w:rsidR="009B2C17" w:rsidRPr="00C11394" w:rsidRDefault="009B2C17">
            <w:pPr>
              <w:pStyle w:val="corte4fondo"/>
              <w:spacing w:line="240" w:lineRule="auto"/>
              <w:jc w:val="center"/>
              <w:rPr>
                <w:rFonts w:cs="Arial"/>
                <w:b/>
                <w:color w:val="5B9BD5" w:themeColor="accent1"/>
                <w:sz w:val="22"/>
                <w:szCs w:val="22"/>
                <w:lang w:eastAsia="en-US"/>
              </w:rPr>
            </w:pPr>
          </w:p>
          <w:p w14:paraId="1EED5B1F" w14:textId="77777777" w:rsidR="009B2C17" w:rsidRPr="00C11394" w:rsidRDefault="009B2C17">
            <w:pPr>
              <w:pStyle w:val="corte4fondo"/>
              <w:spacing w:line="240" w:lineRule="auto"/>
              <w:jc w:val="center"/>
              <w:rPr>
                <w:rFonts w:cs="Arial"/>
                <w:b/>
                <w:color w:val="5B9BD5" w:themeColor="accent1"/>
                <w:sz w:val="22"/>
                <w:szCs w:val="22"/>
                <w:lang w:eastAsia="en-US"/>
              </w:rPr>
            </w:pPr>
          </w:p>
          <w:p w14:paraId="12CD6BB6" w14:textId="77777777" w:rsidR="009B2C17" w:rsidRPr="00C11394" w:rsidRDefault="009B2C17">
            <w:pPr>
              <w:pStyle w:val="corte4fondo"/>
              <w:spacing w:line="240" w:lineRule="auto"/>
              <w:jc w:val="center"/>
              <w:rPr>
                <w:rFonts w:cs="Arial"/>
                <w:b/>
                <w:color w:val="5B9BD5" w:themeColor="accent1"/>
                <w:sz w:val="22"/>
                <w:szCs w:val="22"/>
                <w:lang w:eastAsia="en-US"/>
              </w:rPr>
            </w:pPr>
          </w:p>
          <w:p w14:paraId="6DA9E87A" w14:textId="77777777" w:rsidR="009B2C17" w:rsidRPr="00C11394" w:rsidRDefault="009B2C17">
            <w:pPr>
              <w:pStyle w:val="corte4fondo"/>
              <w:spacing w:line="240" w:lineRule="auto"/>
              <w:jc w:val="center"/>
              <w:rPr>
                <w:rFonts w:cs="Arial"/>
                <w:b/>
                <w:color w:val="5B9BD5" w:themeColor="accent1"/>
                <w:sz w:val="22"/>
                <w:szCs w:val="22"/>
                <w:lang w:eastAsia="en-US"/>
              </w:rPr>
            </w:pPr>
            <w:r w:rsidRPr="00C11394">
              <w:rPr>
                <w:rFonts w:cs="Arial"/>
                <w:b/>
                <w:color w:val="5B9BD5" w:themeColor="accent1"/>
                <w:sz w:val="22"/>
                <w:szCs w:val="22"/>
                <w:lang w:eastAsia="en-US"/>
              </w:rPr>
              <w:t>LIC. PAULINA SÁNCHEZ</w:t>
            </w:r>
          </w:p>
          <w:p w14:paraId="2A48757A" w14:textId="77777777" w:rsidR="009B2C17" w:rsidRPr="00C11394" w:rsidRDefault="009B2C17">
            <w:pPr>
              <w:pStyle w:val="corte4fondo"/>
              <w:spacing w:line="240" w:lineRule="auto"/>
              <w:jc w:val="center"/>
              <w:rPr>
                <w:rFonts w:cs="Arial"/>
                <w:b/>
                <w:color w:val="5B9BD5" w:themeColor="accent1"/>
                <w:sz w:val="22"/>
                <w:szCs w:val="22"/>
                <w:lang w:eastAsia="en-US"/>
              </w:rPr>
            </w:pPr>
            <w:r w:rsidRPr="00C11394">
              <w:rPr>
                <w:rFonts w:cs="Arial"/>
                <w:b/>
                <w:color w:val="5B9BD5" w:themeColor="accent1"/>
                <w:sz w:val="22"/>
                <w:szCs w:val="22"/>
                <w:lang w:eastAsia="en-US"/>
              </w:rPr>
              <w:t>PÉREZ DEL POZO</w:t>
            </w:r>
          </w:p>
        </w:tc>
        <w:tc>
          <w:tcPr>
            <w:tcW w:w="334" w:type="dxa"/>
            <w:gridSpan w:val="2"/>
          </w:tcPr>
          <w:p w14:paraId="38CF8530"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tc>
        <w:tc>
          <w:tcPr>
            <w:tcW w:w="5014" w:type="dxa"/>
          </w:tcPr>
          <w:p w14:paraId="0C35614D"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r w:rsidRPr="00C11394">
              <w:rPr>
                <w:rFonts w:cs="Arial"/>
                <w:b/>
                <w:color w:val="5B9BD5" w:themeColor="accent1"/>
                <w:sz w:val="22"/>
                <w:szCs w:val="22"/>
                <w:lang w:eastAsia="en-US"/>
              </w:rPr>
              <w:t>SECRETARIA DE PLENO</w:t>
            </w:r>
          </w:p>
          <w:p w14:paraId="76E278CC"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6941224B"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02CD7E94"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207D9363"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p>
          <w:p w14:paraId="0C8C0979" w14:textId="77777777" w:rsidR="009B2C17" w:rsidRPr="00C11394" w:rsidRDefault="009B2C17">
            <w:pPr>
              <w:pStyle w:val="corte4fondo"/>
              <w:spacing w:line="240" w:lineRule="auto"/>
              <w:ind w:firstLine="0"/>
              <w:jc w:val="center"/>
              <w:rPr>
                <w:rFonts w:cs="Arial"/>
                <w:b/>
                <w:color w:val="5B9BD5" w:themeColor="accent1"/>
                <w:sz w:val="22"/>
                <w:szCs w:val="22"/>
                <w:lang w:eastAsia="en-US"/>
              </w:rPr>
            </w:pPr>
            <w:r w:rsidRPr="00C11394">
              <w:rPr>
                <w:rFonts w:cs="Arial"/>
                <w:b/>
                <w:color w:val="5B9BD5" w:themeColor="accent1"/>
                <w:sz w:val="22"/>
                <w:szCs w:val="22"/>
                <w:lang w:eastAsia="en-US"/>
              </w:rPr>
              <w:t xml:space="preserve"> ROSA MARÍA MOTILLA GARCÍA</w:t>
            </w:r>
          </w:p>
        </w:tc>
      </w:tr>
    </w:tbl>
    <w:p w14:paraId="7CD7625F" w14:textId="77777777" w:rsidR="009B2C17" w:rsidRPr="00C11394" w:rsidRDefault="009B2C17" w:rsidP="009B2C17">
      <w:pPr>
        <w:pStyle w:val="corte4fondo"/>
        <w:spacing w:line="240" w:lineRule="auto"/>
        <w:rPr>
          <w:rFonts w:cs="Arial"/>
          <w:b/>
          <w:color w:val="5B9BD5" w:themeColor="accent1"/>
          <w:sz w:val="22"/>
          <w:szCs w:val="22"/>
        </w:rPr>
      </w:pPr>
    </w:p>
    <w:p w14:paraId="6DE5D61D" w14:textId="77777777" w:rsidR="009B2C17" w:rsidRPr="00C11394" w:rsidRDefault="009B2C17" w:rsidP="009B2C17">
      <w:pPr>
        <w:pStyle w:val="corte4fondo"/>
        <w:spacing w:line="240" w:lineRule="auto"/>
        <w:rPr>
          <w:rFonts w:cs="Arial"/>
          <w:b/>
          <w:color w:val="5B9BD5" w:themeColor="accent1"/>
          <w:sz w:val="22"/>
          <w:szCs w:val="22"/>
        </w:rPr>
      </w:pPr>
    </w:p>
    <w:p w14:paraId="2553FD44" w14:textId="77777777" w:rsidR="009B2C17" w:rsidRPr="00C11394" w:rsidRDefault="009B2C17" w:rsidP="009B2C17">
      <w:pPr>
        <w:pStyle w:val="corte4fondo"/>
        <w:spacing w:line="240" w:lineRule="auto"/>
        <w:rPr>
          <w:rFonts w:cs="Arial"/>
          <w:b/>
          <w:color w:val="5B9BD5" w:themeColor="accent1"/>
          <w:sz w:val="22"/>
          <w:szCs w:val="22"/>
        </w:rPr>
      </w:pPr>
    </w:p>
    <w:p w14:paraId="2227CE61" w14:textId="77777777" w:rsidR="009B2C17" w:rsidRPr="00C11394" w:rsidRDefault="009B2C17" w:rsidP="009B2C17">
      <w:pPr>
        <w:pStyle w:val="corte4fondo"/>
        <w:spacing w:line="240" w:lineRule="auto"/>
        <w:rPr>
          <w:rFonts w:cs="Arial"/>
          <w:b/>
          <w:color w:val="5B9BD5" w:themeColor="accent1"/>
          <w:sz w:val="22"/>
          <w:szCs w:val="22"/>
        </w:rPr>
      </w:pPr>
    </w:p>
    <w:p w14:paraId="6C252D50" w14:textId="77777777" w:rsidR="009B2C17" w:rsidRPr="00285F0D" w:rsidRDefault="009B2C17" w:rsidP="009B2C17">
      <w:pPr>
        <w:pStyle w:val="corte4fondo"/>
        <w:spacing w:line="240" w:lineRule="auto"/>
        <w:rPr>
          <w:rFonts w:cs="Arial"/>
          <w:b/>
          <w:color w:val="5B9BD5" w:themeColor="accent1"/>
          <w:sz w:val="24"/>
          <w:szCs w:val="24"/>
        </w:rPr>
      </w:pPr>
    </w:p>
    <w:p w14:paraId="69483A3D" w14:textId="77777777" w:rsidR="009B2C17" w:rsidRPr="00285F0D" w:rsidRDefault="009B2C17" w:rsidP="009B2C17">
      <w:pPr>
        <w:pStyle w:val="corte4fondo"/>
        <w:spacing w:line="240" w:lineRule="auto"/>
        <w:rPr>
          <w:rFonts w:cs="Arial"/>
          <w:b/>
          <w:color w:val="5B9BD5" w:themeColor="accent1"/>
          <w:sz w:val="24"/>
          <w:szCs w:val="24"/>
        </w:rPr>
      </w:pPr>
    </w:p>
    <w:p w14:paraId="12EF30D2" w14:textId="77777777" w:rsidR="009B2C17" w:rsidRPr="00285F0D" w:rsidRDefault="009B2C17" w:rsidP="009B2C17">
      <w:pPr>
        <w:pStyle w:val="corte4fondo"/>
        <w:spacing w:line="240" w:lineRule="auto"/>
        <w:rPr>
          <w:rFonts w:cs="Arial"/>
          <w:b/>
          <w:color w:val="5B9BD5" w:themeColor="accent1"/>
          <w:sz w:val="24"/>
          <w:szCs w:val="24"/>
        </w:rPr>
      </w:pPr>
    </w:p>
    <w:p w14:paraId="7D30A906" w14:textId="77777777" w:rsidR="009B2C17" w:rsidRPr="00285F0D" w:rsidRDefault="009B2C17" w:rsidP="009B2C17">
      <w:pPr>
        <w:pStyle w:val="corte4fondo"/>
        <w:spacing w:line="240" w:lineRule="auto"/>
        <w:rPr>
          <w:rFonts w:cs="Arial"/>
          <w:b/>
          <w:color w:val="5B9BD5" w:themeColor="accent1"/>
          <w:sz w:val="24"/>
          <w:szCs w:val="24"/>
        </w:rPr>
      </w:pPr>
    </w:p>
    <w:p w14:paraId="4ED148FC" w14:textId="77777777" w:rsidR="009B2C17" w:rsidRPr="00285F0D" w:rsidRDefault="009B2C17" w:rsidP="009B2C17">
      <w:pPr>
        <w:pStyle w:val="corte4fondo"/>
        <w:spacing w:line="240" w:lineRule="auto"/>
        <w:rPr>
          <w:rFonts w:cs="Arial"/>
          <w:b/>
          <w:color w:val="5B9BD5" w:themeColor="accent1"/>
          <w:sz w:val="24"/>
          <w:szCs w:val="24"/>
        </w:rPr>
      </w:pPr>
    </w:p>
    <w:p w14:paraId="4DE9C47C" w14:textId="77777777" w:rsidR="009B2C17" w:rsidRPr="00285F0D" w:rsidRDefault="009B2C17" w:rsidP="009B2C17">
      <w:pPr>
        <w:pStyle w:val="corte4fondo"/>
        <w:spacing w:line="240" w:lineRule="auto"/>
        <w:rPr>
          <w:rFonts w:cs="Arial"/>
          <w:b/>
          <w:color w:val="5B9BD5" w:themeColor="accent1"/>
          <w:sz w:val="24"/>
          <w:szCs w:val="24"/>
        </w:rPr>
      </w:pPr>
    </w:p>
    <w:p w14:paraId="1C23BA31" w14:textId="59420D5E" w:rsidR="009B2C17" w:rsidRPr="00285F0D" w:rsidRDefault="009B2C17" w:rsidP="009B2C17">
      <w:pPr>
        <w:pStyle w:val="corte4fondo"/>
        <w:spacing w:line="240" w:lineRule="auto"/>
        <w:jc w:val="left"/>
        <w:rPr>
          <w:rFonts w:cs="Arial"/>
          <w:color w:val="5B9BD5" w:themeColor="accent1"/>
          <w:sz w:val="22"/>
          <w:szCs w:val="24"/>
        </w:rPr>
      </w:pPr>
      <w:r w:rsidRPr="00285F0D">
        <w:rPr>
          <w:rFonts w:cs="Arial"/>
          <w:color w:val="5B9BD5" w:themeColor="accent1"/>
          <w:sz w:val="12"/>
          <w:szCs w:val="24"/>
        </w:rPr>
        <w:t>Elaboro anr</w:t>
      </w:r>
    </w:p>
    <w:p w14:paraId="21AAA7EB" w14:textId="77777777" w:rsidR="009B2C17" w:rsidRPr="00285F0D" w:rsidRDefault="009B2C17" w:rsidP="009B2C17">
      <w:pPr>
        <w:rPr>
          <w:rFonts w:ascii="Arial" w:hAnsi="Arial" w:cs="Arial"/>
          <w:color w:val="5B9BD5" w:themeColor="accent1"/>
        </w:rPr>
      </w:pPr>
    </w:p>
    <w:p w14:paraId="388CEC83" w14:textId="77777777" w:rsidR="000C0191" w:rsidRPr="00285F0D" w:rsidRDefault="000C0191" w:rsidP="009B2C17">
      <w:pPr>
        <w:tabs>
          <w:tab w:val="left" w:pos="1649"/>
        </w:tabs>
        <w:spacing w:after="0" w:line="240" w:lineRule="auto"/>
        <w:ind w:firstLine="709"/>
        <w:jc w:val="both"/>
        <w:rPr>
          <w:rFonts w:ascii="Arial" w:hAnsi="Arial" w:cs="Arial"/>
          <w:color w:val="5B9BD5" w:themeColor="accent1"/>
        </w:rPr>
      </w:pPr>
    </w:p>
    <w:sectPr w:rsidR="000C0191" w:rsidRPr="00285F0D" w:rsidSect="00C843FB">
      <w:headerReference w:type="default" r:id="rId8"/>
      <w:pgSz w:w="12240" w:h="20160" w:code="5"/>
      <w:pgMar w:top="2268" w:right="1701" w:bottom="283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FD748D" w14:textId="77777777" w:rsidR="0070196F" w:rsidRDefault="0070196F" w:rsidP="00C843FB">
      <w:pPr>
        <w:spacing w:after="0" w:line="240" w:lineRule="auto"/>
      </w:pPr>
      <w:r>
        <w:separator/>
      </w:r>
    </w:p>
  </w:endnote>
  <w:endnote w:type="continuationSeparator" w:id="0">
    <w:p w14:paraId="20CF2BB0" w14:textId="77777777" w:rsidR="0070196F" w:rsidRDefault="0070196F" w:rsidP="00C84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028EF8" w14:textId="77777777" w:rsidR="0070196F" w:rsidRDefault="0070196F" w:rsidP="00C843FB">
      <w:pPr>
        <w:spacing w:after="0" w:line="240" w:lineRule="auto"/>
      </w:pPr>
      <w:r>
        <w:separator/>
      </w:r>
    </w:p>
  </w:footnote>
  <w:footnote w:type="continuationSeparator" w:id="0">
    <w:p w14:paraId="360924EE" w14:textId="77777777" w:rsidR="0070196F" w:rsidRDefault="0070196F" w:rsidP="00C84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0390767"/>
      <w:docPartObj>
        <w:docPartGallery w:val="Page Numbers (Top of Page)"/>
        <w:docPartUnique/>
      </w:docPartObj>
    </w:sdtPr>
    <w:sdtEndPr/>
    <w:sdtContent>
      <w:p w14:paraId="221C9383" w14:textId="561E55EB" w:rsidR="00C843FB" w:rsidRDefault="00C843FB">
        <w:pPr>
          <w:pStyle w:val="Encabezado"/>
          <w:jc w:val="center"/>
        </w:pPr>
        <w:r>
          <w:fldChar w:fldCharType="begin"/>
        </w:r>
        <w:r>
          <w:instrText>PAGE   \* MERGEFORMAT</w:instrText>
        </w:r>
        <w:r>
          <w:fldChar w:fldCharType="separate"/>
        </w:r>
        <w:r w:rsidR="00130935" w:rsidRPr="00130935">
          <w:rPr>
            <w:noProof/>
            <w:lang w:val="es-ES"/>
          </w:rPr>
          <w:t>1</w:t>
        </w:r>
        <w:r>
          <w:fldChar w:fldCharType="end"/>
        </w:r>
      </w:p>
      <w:p w14:paraId="3D53D697" w14:textId="77777777" w:rsidR="00C843FB" w:rsidRPr="00C843FB" w:rsidRDefault="00C843FB" w:rsidP="00C843FB">
        <w:pPr>
          <w:pStyle w:val="corte1datos"/>
          <w:jc w:val="right"/>
          <w:rPr>
            <w:rFonts w:eastAsia="Arial" w:cs="Arial"/>
            <w:b w:val="0"/>
            <w:color w:val="5B9BD5" w:themeColor="accent1"/>
            <w:sz w:val="14"/>
            <w:szCs w:val="24"/>
          </w:rPr>
        </w:pPr>
        <w:r w:rsidRPr="00C843FB">
          <w:rPr>
            <w:rFonts w:eastAsia="Arial" w:cs="Arial"/>
            <w:b w:val="0"/>
            <w:color w:val="5B9BD5" w:themeColor="accent1"/>
            <w:sz w:val="14"/>
            <w:szCs w:val="24"/>
          </w:rPr>
          <w:t xml:space="preserve">RECURSO DE REVISIÓN </w:t>
        </w:r>
      </w:p>
      <w:p w14:paraId="545C3C11" w14:textId="4804521B" w:rsidR="00C843FB" w:rsidRPr="00C843FB" w:rsidRDefault="00E85217" w:rsidP="00C843FB">
        <w:pPr>
          <w:pStyle w:val="corte1datos"/>
          <w:jc w:val="right"/>
          <w:rPr>
            <w:rFonts w:eastAsia="Arial" w:cs="Arial"/>
            <w:b w:val="0"/>
            <w:color w:val="5B9BD5" w:themeColor="accent1"/>
            <w:sz w:val="14"/>
            <w:szCs w:val="24"/>
          </w:rPr>
        </w:pPr>
        <w:r>
          <w:rPr>
            <w:rFonts w:eastAsia="Arial" w:cs="Arial"/>
            <w:b w:val="0"/>
            <w:color w:val="5B9BD5" w:themeColor="accent1"/>
            <w:sz w:val="14"/>
            <w:szCs w:val="24"/>
          </w:rPr>
          <w:t>1058</w:t>
        </w:r>
        <w:r w:rsidR="00031A9B">
          <w:rPr>
            <w:rFonts w:eastAsia="Arial" w:cs="Arial"/>
            <w:b w:val="0"/>
            <w:color w:val="5B9BD5" w:themeColor="accent1"/>
            <w:sz w:val="14"/>
            <w:szCs w:val="24"/>
          </w:rPr>
          <w:t>/2019-2</w:t>
        </w:r>
        <w:r w:rsidR="00C843FB" w:rsidRPr="00C843FB">
          <w:rPr>
            <w:rFonts w:eastAsia="Arial" w:cs="Arial"/>
            <w:b w:val="0"/>
            <w:color w:val="5B9BD5" w:themeColor="accent1"/>
            <w:sz w:val="14"/>
            <w:szCs w:val="24"/>
          </w:rPr>
          <w:t xml:space="preserve"> </w:t>
        </w:r>
      </w:p>
      <w:p w14:paraId="71793083" w14:textId="78868F40" w:rsidR="00C843FB" w:rsidRPr="00C843FB" w:rsidRDefault="00031A9B" w:rsidP="00C843FB">
        <w:pPr>
          <w:pStyle w:val="corte1datos"/>
          <w:jc w:val="right"/>
          <w:rPr>
            <w:rFonts w:eastAsia="Arial" w:cs="Arial"/>
            <w:b w:val="0"/>
            <w:color w:val="5B9BD5" w:themeColor="accent1"/>
            <w:sz w:val="14"/>
            <w:szCs w:val="24"/>
          </w:rPr>
        </w:pPr>
        <w:r>
          <w:rPr>
            <w:rFonts w:eastAsia="Arial" w:cs="Arial"/>
            <w:b w:val="0"/>
            <w:color w:val="5B9BD5" w:themeColor="accent1"/>
            <w:sz w:val="14"/>
            <w:szCs w:val="24"/>
          </w:rPr>
          <w:t>PNT</w:t>
        </w:r>
        <w:r w:rsidR="00C843FB" w:rsidRPr="00C843FB">
          <w:rPr>
            <w:rFonts w:eastAsia="Arial" w:cs="Arial"/>
            <w:b w:val="0"/>
            <w:color w:val="5B9BD5" w:themeColor="accent1"/>
            <w:sz w:val="14"/>
            <w:szCs w:val="24"/>
          </w:rPr>
          <w:t>.</w:t>
        </w:r>
      </w:p>
      <w:p w14:paraId="514717B6" w14:textId="77777777" w:rsidR="00C843FB" w:rsidRDefault="00130935">
        <w:pPr>
          <w:pStyle w:val="Encabezado"/>
          <w:jc w:val="center"/>
        </w:pPr>
      </w:p>
    </w:sdtContent>
  </w:sdt>
  <w:p w14:paraId="2F65805A" w14:textId="77777777" w:rsidR="00C843FB" w:rsidRDefault="00C843F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FC3F99"/>
    <w:multiLevelType w:val="hybridMultilevel"/>
    <w:tmpl w:val="F7DEA8FC"/>
    <w:lvl w:ilvl="0" w:tplc="FAA0913A">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0CCD3DA0"/>
    <w:multiLevelType w:val="multilevel"/>
    <w:tmpl w:val="B3D20D60"/>
    <w:lvl w:ilvl="0">
      <w:start w:val="4"/>
      <w:numFmt w:val="decimal"/>
      <w:lvlText w:val="%1."/>
      <w:lvlJc w:val="left"/>
      <w:pPr>
        <w:ind w:left="390" w:hanging="390"/>
      </w:pPr>
    </w:lvl>
    <w:lvl w:ilvl="1">
      <w:start w:val="3"/>
      <w:numFmt w:val="decimal"/>
      <w:lvlText w:val="%1.%2."/>
      <w:lvlJc w:val="left"/>
      <w:pPr>
        <w:ind w:left="1794" w:hanging="720"/>
      </w:pPr>
    </w:lvl>
    <w:lvl w:ilvl="2">
      <w:start w:val="1"/>
      <w:numFmt w:val="decimal"/>
      <w:lvlText w:val="%1.%2.%3."/>
      <w:lvlJc w:val="left"/>
      <w:pPr>
        <w:ind w:left="2868" w:hanging="720"/>
      </w:pPr>
    </w:lvl>
    <w:lvl w:ilvl="3">
      <w:start w:val="1"/>
      <w:numFmt w:val="decimal"/>
      <w:lvlText w:val="%1.%2.%3.%4."/>
      <w:lvlJc w:val="left"/>
      <w:pPr>
        <w:ind w:left="4302" w:hanging="1080"/>
      </w:pPr>
    </w:lvl>
    <w:lvl w:ilvl="4">
      <w:start w:val="1"/>
      <w:numFmt w:val="decimal"/>
      <w:lvlText w:val="%1.%2.%3.%4.%5."/>
      <w:lvlJc w:val="left"/>
      <w:pPr>
        <w:ind w:left="5376" w:hanging="1080"/>
      </w:pPr>
    </w:lvl>
    <w:lvl w:ilvl="5">
      <w:start w:val="1"/>
      <w:numFmt w:val="decimal"/>
      <w:lvlText w:val="%1.%2.%3.%4.%5.%6."/>
      <w:lvlJc w:val="left"/>
      <w:pPr>
        <w:ind w:left="6810" w:hanging="1440"/>
      </w:pPr>
    </w:lvl>
    <w:lvl w:ilvl="6">
      <w:start w:val="1"/>
      <w:numFmt w:val="decimal"/>
      <w:lvlText w:val="%1.%2.%3.%4.%5.%6.%7."/>
      <w:lvlJc w:val="left"/>
      <w:pPr>
        <w:ind w:left="7884" w:hanging="1440"/>
      </w:pPr>
    </w:lvl>
    <w:lvl w:ilvl="7">
      <w:start w:val="1"/>
      <w:numFmt w:val="decimal"/>
      <w:lvlText w:val="%1.%2.%3.%4.%5.%6.%7.%8."/>
      <w:lvlJc w:val="left"/>
      <w:pPr>
        <w:ind w:left="9318" w:hanging="1800"/>
      </w:pPr>
    </w:lvl>
    <w:lvl w:ilvl="8">
      <w:start w:val="1"/>
      <w:numFmt w:val="decimal"/>
      <w:lvlText w:val="%1.%2.%3.%4.%5.%6.%7.%8.%9."/>
      <w:lvlJc w:val="left"/>
      <w:pPr>
        <w:ind w:left="10752" w:hanging="2160"/>
      </w:pPr>
    </w:lvl>
  </w:abstractNum>
  <w:abstractNum w:abstractNumId="2"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3" w15:restartNumberingAfterBreak="0">
    <w:nsid w:val="7713602B"/>
    <w:multiLevelType w:val="hybridMultilevel"/>
    <w:tmpl w:val="469C4ED6"/>
    <w:lvl w:ilvl="0" w:tplc="080A000F">
      <w:start w:val="1"/>
      <w:numFmt w:val="decimal"/>
      <w:lvlText w:val="%1."/>
      <w:lvlJc w:val="left"/>
      <w:pPr>
        <w:ind w:left="2149" w:hanging="360"/>
      </w:pPr>
    </w:lvl>
    <w:lvl w:ilvl="1" w:tplc="080A0019">
      <w:start w:val="1"/>
      <w:numFmt w:val="lowerLetter"/>
      <w:lvlText w:val="%2."/>
      <w:lvlJc w:val="left"/>
      <w:pPr>
        <w:ind w:left="2869" w:hanging="360"/>
      </w:pPr>
    </w:lvl>
    <w:lvl w:ilvl="2" w:tplc="080A001B">
      <w:start w:val="1"/>
      <w:numFmt w:val="lowerRoman"/>
      <w:lvlText w:val="%3."/>
      <w:lvlJc w:val="right"/>
      <w:pPr>
        <w:ind w:left="3589" w:hanging="180"/>
      </w:pPr>
    </w:lvl>
    <w:lvl w:ilvl="3" w:tplc="080A000F">
      <w:start w:val="1"/>
      <w:numFmt w:val="decimal"/>
      <w:lvlText w:val="%4."/>
      <w:lvlJc w:val="left"/>
      <w:pPr>
        <w:ind w:left="4309" w:hanging="360"/>
      </w:pPr>
    </w:lvl>
    <w:lvl w:ilvl="4" w:tplc="080A0019">
      <w:start w:val="1"/>
      <w:numFmt w:val="lowerLetter"/>
      <w:lvlText w:val="%5."/>
      <w:lvlJc w:val="left"/>
      <w:pPr>
        <w:ind w:left="5029" w:hanging="360"/>
      </w:pPr>
    </w:lvl>
    <w:lvl w:ilvl="5" w:tplc="080A001B">
      <w:start w:val="1"/>
      <w:numFmt w:val="lowerRoman"/>
      <w:lvlText w:val="%6."/>
      <w:lvlJc w:val="right"/>
      <w:pPr>
        <w:ind w:left="5749" w:hanging="180"/>
      </w:pPr>
    </w:lvl>
    <w:lvl w:ilvl="6" w:tplc="080A000F">
      <w:start w:val="1"/>
      <w:numFmt w:val="decimal"/>
      <w:lvlText w:val="%7."/>
      <w:lvlJc w:val="left"/>
      <w:pPr>
        <w:ind w:left="6469" w:hanging="360"/>
      </w:pPr>
    </w:lvl>
    <w:lvl w:ilvl="7" w:tplc="080A0019">
      <w:start w:val="1"/>
      <w:numFmt w:val="lowerLetter"/>
      <w:lvlText w:val="%8."/>
      <w:lvlJc w:val="left"/>
      <w:pPr>
        <w:ind w:left="7189" w:hanging="360"/>
      </w:pPr>
    </w:lvl>
    <w:lvl w:ilvl="8" w:tplc="080A001B">
      <w:start w:val="1"/>
      <w:numFmt w:val="lowerRoman"/>
      <w:lvlText w:val="%9."/>
      <w:lvlJc w:val="right"/>
      <w:pPr>
        <w:ind w:left="7909" w:hanging="180"/>
      </w:pPr>
    </w:lvl>
  </w:abstractNum>
  <w:num w:numId="1">
    <w:abstractNumId w:val="0"/>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4"/>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3FB"/>
    <w:rsid w:val="00031A9B"/>
    <w:rsid w:val="000C0191"/>
    <w:rsid w:val="00110521"/>
    <w:rsid w:val="00130935"/>
    <w:rsid w:val="001B00F9"/>
    <w:rsid w:val="0028298B"/>
    <w:rsid w:val="00285F0D"/>
    <w:rsid w:val="004B1ABD"/>
    <w:rsid w:val="004F1792"/>
    <w:rsid w:val="004F548C"/>
    <w:rsid w:val="005C3473"/>
    <w:rsid w:val="005D6099"/>
    <w:rsid w:val="005E5EEB"/>
    <w:rsid w:val="006A4FC1"/>
    <w:rsid w:val="006B2782"/>
    <w:rsid w:val="0070196F"/>
    <w:rsid w:val="00703FFC"/>
    <w:rsid w:val="007235EF"/>
    <w:rsid w:val="007314F3"/>
    <w:rsid w:val="00771FF4"/>
    <w:rsid w:val="008245DE"/>
    <w:rsid w:val="00826715"/>
    <w:rsid w:val="008777E1"/>
    <w:rsid w:val="008A178D"/>
    <w:rsid w:val="008C6339"/>
    <w:rsid w:val="009167B6"/>
    <w:rsid w:val="009B2C17"/>
    <w:rsid w:val="009B4F8F"/>
    <w:rsid w:val="00B73CC4"/>
    <w:rsid w:val="00B75AC2"/>
    <w:rsid w:val="00BA72D1"/>
    <w:rsid w:val="00C11394"/>
    <w:rsid w:val="00C16281"/>
    <w:rsid w:val="00C53108"/>
    <w:rsid w:val="00C843FB"/>
    <w:rsid w:val="00D20DEE"/>
    <w:rsid w:val="00D73055"/>
    <w:rsid w:val="00D75293"/>
    <w:rsid w:val="00D91AB7"/>
    <w:rsid w:val="00D97497"/>
    <w:rsid w:val="00DD1A76"/>
    <w:rsid w:val="00E01D2C"/>
    <w:rsid w:val="00E1378C"/>
    <w:rsid w:val="00E16EC9"/>
    <w:rsid w:val="00E85217"/>
    <w:rsid w:val="00EB1088"/>
    <w:rsid w:val="00F17763"/>
    <w:rsid w:val="00F43EE0"/>
    <w:rsid w:val="00F5045A"/>
    <w:rsid w:val="00F672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2D649"/>
  <w15:chartTrackingRefBased/>
  <w15:docId w15:val="{1CCE1C5F-A40F-41A8-842C-E09A52B6E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43F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C843FB"/>
    <w:pPr>
      <w:spacing w:after="0" w:line="240" w:lineRule="auto"/>
      <w:ind w:left="2552"/>
    </w:pPr>
    <w:rPr>
      <w:rFonts w:ascii="Arial" w:eastAsia="Times New Roman" w:hAnsi="Arial" w:cs="Times New Roman"/>
      <w:b/>
      <w:bCs/>
      <w:caps/>
      <w:sz w:val="30"/>
      <w:szCs w:val="30"/>
      <w:lang w:eastAsia="es-MX"/>
    </w:rPr>
  </w:style>
  <w:style w:type="paragraph" w:customStyle="1" w:styleId="corte4fondo">
    <w:name w:val="corte4 fondo"/>
    <w:basedOn w:val="Normal"/>
    <w:link w:val="corte4fondoCar1"/>
    <w:qFormat/>
    <w:rsid w:val="00C843FB"/>
    <w:pPr>
      <w:spacing w:after="0" w:line="360" w:lineRule="auto"/>
      <w:ind w:firstLine="709"/>
      <w:jc w:val="both"/>
    </w:pPr>
    <w:rPr>
      <w:rFonts w:ascii="Arial" w:eastAsia="Times New Roman" w:hAnsi="Arial" w:cs="Times New Roman"/>
      <w:sz w:val="30"/>
      <w:szCs w:val="30"/>
      <w:lang w:eastAsia="es-MX"/>
    </w:rPr>
  </w:style>
  <w:style w:type="character" w:customStyle="1" w:styleId="corte1datosCar">
    <w:name w:val="corte1 datos Car"/>
    <w:link w:val="corte1datos"/>
    <w:rsid w:val="00C843FB"/>
    <w:rPr>
      <w:rFonts w:ascii="Arial" w:eastAsia="Times New Roman" w:hAnsi="Arial" w:cs="Times New Roman"/>
      <w:b/>
      <w:bCs/>
      <w:caps/>
      <w:sz w:val="30"/>
      <w:szCs w:val="30"/>
      <w:lang w:eastAsia="es-MX"/>
    </w:rPr>
  </w:style>
  <w:style w:type="paragraph" w:customStyle="1" w:styleId="corte2ponente">
    <w:name w:val="corte2 ponente"/>
    <w:basedOn w:val="Normal"/>
    <w:link w:val="corte2ponenteCar"/>
    <w:qFormat/>
    <w:rsid w:val="00C843FB"/>
    <w:pPr>
      <w:spacing w:after="0" w:line="240" w:lineRule="auto"/>
    </w:pPr>
    <w:rPr>
      <w:rFonts w:ascii="Arial" w:eastAsia="Times New Roman" w:hAnsi="Arial" w:cs="Times New Roman"/>
      <w:b/>
      <w:bCs/>
      <w:caps/>
      <w:sz w:val="30"/>
      <w:szCs w:val="30"/>
      <w:lang w:eastAsia="es-MX"/>
    </w:rPr>
  </w:style>
  <w:style w:type="character" w:customStyle="1" w:styleId="corte2ponenteCar">
    <w:name w:val="corte2 ponente Car"/>
    <w:link w:val="corte2ponente"/>
    <w:rsid w:val="00C843FB"/>
    <w:rPr>
      <w:rFonts w:ascii="Arial" w:eastAsia="Times New Roman" w:hAnsi="Arial" w:cs="Times New Roman"/>
      <w:b/>
      <w:bCs/>
      <w:caps/>
      <w:sz w:val="30"/>
      <w:szCs w:val="30"/>
      <w:lang w:eastAsia="es-MX"/>
    </w:rPr>
  </w:style>
  <w:style w:type="character" w:customStyle="1" w:styleId="corte4fondoCar1">
    <w:name w:val="corte4 fondo Car1"/>
    <w:link w:val="corte4fondo"/>
    <w:rsid w:val="00C843FB"/>
    <w:rPr>
      <w:rFonts w:ascii="Arial" w:eastAsia="Times New Roman" w:hAnsi="Arial" w:cs="Times New Roman"/>
      <w:sz w:val="30"/>
      <w:szCs w:val="30"/>
      <w:lang w:eastAsia="es-MX"/>
    </w:rPr>
  </w:style>
  <w:style w:type="paragraph" w:customStyle="1" w:styleId="Default">
    <w:name w:val="Default"/>
    <w:basedOn w:val="Normal"/>
    <w:qFormat/>
    <w:rsid w:val="00C843FB"/>
    <w:pPr>
      <w:spacing w:after="0" w:line="240" w:lineRule="auto"/>
    </w:pPr>
    <w:rPr>
      <w:rFonts w:ascii="Arial" w:eastAsiaTheme="minorEastAsia" w:hAnsi="Arial" w:cs="Arial"/>
      <w:color w:val="000000" w:themeColor="text1"/>
      <w:sz w:val="24"/>
      <w:szCs w:val="24"/>
    </w:rPr>
  </w:style>
  <w:style w:type="paragraph" w:styleId="Encabezado">
    <w:name w:val="header"/>
    <w:basedOn w:val="Normal"/>
    <w:link w:val="EncabezadoCar"/>
    <w:uiPriority w:val="99"/>
    <w:unhideWhenUsed/>
    <w:rsid w:val="00C843F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843FB"/>
  </w:style>
  <w:style w:type="paragraph" w:styleId="Piedepgina">
    <w:name w:val="footer"/>
    <w:basedOn w:val="Normal"/>
    <w:link w:val="PiedepginaCar"/>
    <w:uiPriority w:val="99"/>
    <w:unhideWhenUsed/>
    <w:rsid w:val="00C843F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843FB"/>
  </w:style>
  <w:style w:type="paragraph" w:styleId="Prrafodelista">
    <w:name w:val="List Paragraph"/>
    <w:basedOn w:val="Normal"/>
    <w:uiPriority w:val="34"/>
    <w:qFormat/>
    <w:rsid w:val="00826715"/>
    <w:pPr>
      <w:ind w:left="720"/>
      <w:contextualSpacing/>
    </w:pPr>
  </w:style>
  <w:style w:type="table" w:styleId="Tablaconcuadrcula">
    <w:name w:val="Table Grid"/>
    <w:basedOn w:val="Tablanormal"/>
    <w:uiPriority w:val="39"/>
    <w:rsid w:val="00E16E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
    <w:name w:val="Estilo"/>
    <w:basedOn w:val="Sinespaciado"/>
    <w:link w:val="EstiloCar"/>
    <w:qFormat/>
    <w:rsid w:val="005D6099"/>
    <w:pPr>
      <w:jc w:val="both"/>
    </w:pPr>
    <w:rPr>
      <w:rFonts w:ascii="Arial" w:hAnsi="Arial"/>
      <w:sz w:val="24"/>
    </w:rPr>
  </w:style>
  <w:style w:type="character" w:customStyle="1" w:styleId="EstiloCar">
    <w:name w:val="Estilo Car"/>
    <w:basedOn w:val="Fuentedeprrafopredeter"/>
    <w:link w:val="Estilo"/>
    <w:rsid w:val="005D6099"/>
    <w:rPr>
      <w:rFonts w:ascii="Arial" w:hAnsi="Arial"/>
      <w:sz w:val="24"/>
    </w:rPr>
  </w:style>
  <w:style w:type="paragraph" w:styleId="Sinespaciado">
    <w:name w:val="No Spacing"/>
    <w:uiPriority w:val="1"/>
    <w:qFormat/>
    <w:rsid w:val="005D6099"/>
    <w:pPr>
      <w:spacing w:after="0" w:line="240" w:lineRule="auto"/>
    </w:pPr>
  </w:style>
  <w:style w:type="character" w:styleId="Hipervnculo">
    <w:name w:val="Hyperlink"/>
    <w:basedOn w:val="Fuentedeprrafopredeter"/>
    <w:uiPriority w:val="99"/>
    <w:unhideWhenUsed/>
    <w:rsid w:val="00B75AC2"/>
    <w:rPr>
      <w:color w:val="0563C1" w:themeColor="hyperlink"/>
      <w:u w:val="single"/>
    </w:rPr>
  </w:style>
  <w:style w:type="character" w:customStyle="1" w:styleId="UnresolvedMention">
    <w:name w:val="Unresolved Mention"/>
    <w:basedOn w:val="Fuentedeprrafopredeter"/>
    <w:uiPriority w:val="99"/>
    <w:semiHidden/>
    <w:unhideWhenUsed/>
    <w:rsid w:val="00B75AC2"/>
    <w:rPr>
      <w:color w:val="605E5C"/>
      <w:shd w:val="clear" w:color="auto" w:fill="E1DFDD"/>
    </w:rPr>
  </w:style>
  <w:style w:type="paragraph" w:styleId="Textonotapie">
    <w:name w:val="footnote text"/>
    <w:basedOn w:val="Normal"/>
    <w:link w:val="TextonotapieCar"/>
    <w:uiPriority w:val="99"/>
    <w:semiHidden/>
    <w:unhideWhenUsed/>
    <w:rsid w:val="009B2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B2C17"/>
    <w:rPr>
      <w:sz w:val="20"/>
      <w:szCs w:val="20"/>
    </w:rPr>
  </w:style>
  <w:style w:type="character" w:styleId="Refdenotaalpie">
    <w:name w:val="footnote reference"/>
    <w:basedOn w:val="Fuentedeprrafopredeter"/>
    <w:uiPriority w:val="99"/>
    <w:semiHidden/>
    <w:unhideWhenUsed/>
    <w:rsid w:val="009B2C1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79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8631E-2E08-44DF-BFEE-E827E5E6A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4389</Words>
  <Characters>24140</Characters>
  <Application>Microsoft Office Word</Application>
  <DocSecurity>0</DocSecurity>
  <Lines>201</Lines>
  <Paragraphs>56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2</cp:revision>
  <cp:lastPrinted>2021-07-16T15:25:00Z</cp:lastPrinted>
  <dcterms:created xsi:type="dcterms:W3CDTF">2023-05-08T18:22:00Z</dcterms:created>
  <dcterms:modified xsi:type="dcterms:W3CDTF">2023-05-08T18:22:00Z</dcterms:modified>
</cp:coreProperties>
</file>