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 w:rsidRPr="00540047">
        <w:rPr>
          <w:rFonts w:ascii="Literata 18pt Light" w:hAnsi="Literata 18pt Light" w:cstheme="minorHAnsi"/>
          <w:b/>
          <w:bCs/>
          <w:sz w:val="24"/>
          <w:szCs w:val="24"/>
        </w:rPr>
        <w:t>Unidad de Transparencia</w:t>
      </w:r>
    </w:p>
    <w:p w:rsidR="0000600B" w:rsidRPr="00540047" w:rsidRDefault="0000600B" w:rsidP="0000600B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540047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54 de la Ley de Transparencia y Acceso a la Información Pública del Estado,  </w:t>
      </w:r>
      <w:r w:rsidRPr="00540047">
        <w:rPr>
          <w:rFonts w:ascii="Literata 18pt Light" w:hAnsi="Literata 18pt Light" w:cstheme="minorHAnsi"/>
          <w:sz w:val="24"/>
          <w:szCs w:val="24"/>
        </w:rPr>
        <w:t xml:space="preserve">los sujetos obligados designarán al responsable de la Unidad de Transparencia que tendrá las siguientes funciones: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Recabar y difundir la información a que se refieren los capítulos, II, III, y IV, del Título Cuarto de esta Ley y propiciar que las áreas la actualicen periódicamente, conforme la normatividad aplicable; </w:t>
      </w:r>
    </w:p>
    <w:p w:rsidR="0000600B" w:rsidRPr="00540047" w:rsidRDefault="0000600B" w:rsidP="0000600B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Recibir y dar trámite a las solicitudes de acceso a la información;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Auxiliar a los particulares en la elaboración de solicitudes de acceso a la información y, en su caso, orientarlos sobre los sujetos obligados competentes conforme a la normatividad aplicable;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Realizar los trámites internos necesarios para la atención de las solicitudes de acceso a la información;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Efectuar las notificaciones a los solicitantes;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Sugerir al Comité de Transparencia los procedimientos internos que aseguren la mayor eficiencia en la gestión de las solicitudes de acceso a la información, conforme a la normatividad aplicable;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Proponer personal habilitado que sea necesario para recibir y dar trámite a las solicitudes de acceso a la información;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Llevar un registro de las solicitudes de acceso a la información, respuestas, resultados, costos de reproducción y envío; </w:t>
      </w:r>
    </w:p>
    <w:p w:rsidR="0000600B" w:rsidRPr="00540047" w:rsidRDefault="0000600B" w:rsidP="0000600B">
      <w:pPr>
        <w:pStyle w:val="Prrafodelista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Promover e implementar políticas de transparencia proactiva procurando su accesibilidad;</w:t>
      </w:r>
    </w:p>
    <w:p w:rsidR="0000600B" w:rsidRPr="00540047" w:rsidRDefault="0000600B" w:rsidP="0000600B">
      <w:pPr>
        <w:pStyle w:val="Prrafodelista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hAnsi="Literata 18pt Light" w:cstheme="minorHAnsi"/>
          <w:sz w:val="24"/>
          <w:szCs w:val="24"/>
        </w:rPr>
        <w:lastRenderedPageBreak/>
        <w:t>Fomentar la transparencia y accesibilidad al interior del sujeto obligado;</w:t>
      </w:r>
    </w:p>
    <w:p w:rsidR="0000600B" w:rsidRPr="00540047" w:rsidRDefault="0000600B" w:rsidP="0000600B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hAnsi="Literata 18pt Light" w:cstheme="minorHAnsi"/>
          <w:sz w:val="24"/>
          <w:szCs w:val="24"/>
        </w:rPr>
        <w:t>Hacer del conocimiento de la instancia competente la probable responsabilidad por el incumplimiento de las obligaciones previstas en esta Ley y en las demás disposiciones aplicables;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Informar por escrito a la CEGAIP, de forma mensual, sobre las solicitudes de información recibidas, el trámite y respuesta correspondiente en cada caso, y </w:t>
      </w:r>
    </w:p>
    <w:p w:rsidR="0000600B" w:rsidRPr="00540047" w:rsidRDefault="0000600B" w:rsidP="0000600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00600B" w:rsidRPr="00540047" w:rsidRDefault="0000600B" w:rsidP="0000600B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540047">
        <w:rPr>
          <w:rFonts w:ascii="Literata 18pt Light" w:hAnsi="Literata 18pt Light" w:cstheme="minorHAnsi"/>
          <w:sz w:val="24"/>
          <w:szCs w:val="24"/>
        </w:rPr>
        <w:t>Las demás que se desprendan de la normatividad aplicable.</w:t>
      </w:r>
    </w:p>
    <w:p w:rsidR="0000600B" w:rsidRPr="00540047" w:rsidRDefault="0000600B" w:rsidP="0000600B">
      <w:pPr>
        <w:pStyle w:val="Default"/>
        <w:jc w:val="both"/>
        <w:rPr>
          <w:rFonts w:ascii="Literata 18pt Light" w:hAnsi="Literata 18pt Light" w:cstheme="minorHAnsi"/>
        </w:rPr>
      </w:pPr>
    </w:p>
    <w:p w:rsidR="0000600B" w:rsidRPr="00540047" w:rsidRDefault="0000600B" w:rsidP="0000600B">
      <w:pPr>
        <w:pStyle w:val="Default"/>
        <w:jc w:val="both"/>
        <w:rPr>
          <w:rFonts w:ascii="Literata 18pt Light" w:hAnsi="Literata 18pt Light" w:cstheme="minorHAnsi"/>
        </w:rPr>
      </w:pPr>
    </w:p>
    <w:p w:rsidR="0000600B" w:rsidRPr="00540047" w:rsidRDefault="0000600B" w:rsidP="0000600B">
      <w:pPr>
        <w:rPr>
          <w:rFonts w:ascii="Literata 18pt Light" w:hAnsi="Literata 18pt Light"/>
        </w:rPr>
      </w:pPr>
    </w:p>
    <w:p w:rsidR="00ED6286" w:rsidRPr="00540047" w:rsidRDefault="00ED6286" w:rsidP="0000600B">
      <w:pPr>
        <w:rPr>
          <w:rFonts w:ascii="Literata 18pt Light" w:hAnsi="Literata 18pt Light"/>
        </w:rPr>
      </w:pPr>
    </w:p>
    <w:p w:rsidR="0000600B" w:rsidRPr="00540047" w:rsidRDefault="0000600B" w:rsidP="0000600B">
      <w:pPr>
        <w:rPr>
          <w:rFonts w:ascii="Literata 18pt Light" w:hAnsi="Literata 18pt Light"/>
        </w:rPr>
      </w:pPr>
    </w:p>
    <w:sectPr w:rsidR="0000600B" w:rsidRPr="00540047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238" w:rsidRDefault="00681238">
      <w:pPr>
        <w:spacing w:after="0" w:line="240" w:lineRule="auto"/>
      </w:pPr>
      <w:r>
        <w:separator/>
      </w:r>
    </w:p>
  </w:endnote>
  <w:endnote w:type="continuationSeparator" w:id="0">
    <w:p w:rsidR="00681238" w:rsidRDefault="00681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D2E41F36-D9D8-4AD7-B72A-60545F65C789}"/>
    <w:embedBold r:id="rId2" w:fontKey="{F59E05CE-D866-4D22-B228-BF3528F4850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E37" w:rsidRDefault="00C71E3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E37" w:rsidRDefault="00C71E3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238" w:rsidRDefault="00681238">
      <w:pPr>
        <w:spacing w:after="0" w:line="240" w:lineRule="auto"/>
      </w:pPr>
      <w:r>
        <w:separator/>
      </w:r>
    </w:p>
  </w:footnote>
  <w:footnote w:type="continuationSeparator" w:id="0">
    <w:p w:rsidR="00681238" w:rsidRDefault="006812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E37" w:rsidRDefault="00C71E3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C71E37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E37" w:rsidRDefault="00C71E3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73049"/>
    <w:multiLevelType w:val="hybridMultilevel"/>
    <w:tmpl w:val="6D3AE224"/>
    <w:lvl w:ilvl="0" w:tplc="DFB49F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B5062A"/>
    <w:multiLevelType w:val="hybridMultilevel"/>
    <w:tmpl w:val="5E126114"/>
    <w:lvl w:ilvl="0" w:tplc="E1088F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9"/>
  </w:num>
  <w:num w:numId="5">
    <w:abstractNumId w:val="3"/>
  </w:num>
  <w:num w:numId="6">
    <w:abstractNumId w:val="7"/>
  </w:num>
  <w:num w:numId="7">
    <w:abstractNumId w:val="4"/>
  </w:num>
  <w:num w:numId="8">
    <w:abstractNumId w:val="5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600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3CF7"/>
    <w:rsid w:val="00487374"/>
    <w:rsid w:val="0049495D"/>
    <w:rsid w:val="00495821"/>
    <w:rsid w:val="004B4073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0047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81238"/>
    <w:rsid w:val="006A026C"/>
    <w:rsid w:val="006B0EAE"/>
    <w:rsid w:val="006B5997"/>
    <w:rsid w:val="006C0E40"/>
    <w:rsid w:val="006E26CB"/>
    <w:rsid w:val="006E7520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307BC"/>
    <w:rsid w:val="00A532D1"/>
    <w:rsid w:val="00AA469E"/>
    <w:rsid w:val="00AA7C56"/>
    <w:rsid w:val="00AF5CC5"/>
    <w:rsid w:val="00B10459"/>
    <w:rsid w:val="00B2103E"/>
    <w:rsid w:val="00B26B33"/>
    <w:rsid w:val="00B310F8"/>
    <w:rsid w:val="00B50BC2"/>
    <w:rsid w:val="00B72C69"/>
    <w:rsid w:val="00B757A3"/>
    <w:rsid w:val="00B9457C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29BB"/>
    <w:rsid w:val="00C6748B"/>
    <w:rsid w:val="00C71E37"/>
    <w:rsid w:val="00C81D02"/>
    <w:rsid w:val="00C873E1"/>
    <w:rsid w:val="00C949B9"/>
    <w:rsid w:val="00CA1092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5EE"/>
    <w:rsid w:val="00EC3C57"/>
    <w:rsid w:val="00EC7158"/>
    <w:rsid w:val="00ED3807"/>
    <w:rsid w:val="00ED6286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0D708AA-C770-46F5-9072-E979BC45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9417B-1FE0-4FD3-82F7-BB2F0943F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290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46</cp:revision>
  <cp:lastPrinted>2021-10-05T15:00:00Z</cp:lastPrinted>
  <dcterms:created xsi:type="dcterms:W3CDTF">2021-10-19T18:08:00Z</dcterms:created>
  <dcterms:modified xsi:type="dcterms:W3CDTF">2021-12-07T20:56:00Z</dcterms:modified>
</cp:coreProperties>
</file>