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21DA4" w:rsidRDefault="00321DA4">
      <w:pPr>
        <w:rPr>
          <w:color w:val="000000"/>
          <w:sz w:val="27"/>
          <w:szCs w:val="27"/>
        </w:rPr>
      </w:pPr>
    </w:p>
    <w:p w:rsidR="00321DA4" w:rsidRDefault="00321DA4">
      <w:pPr>
        <w:rPr>
          <w:color w:val="000000"/>
          <w:sz w:val="27"/>
          <w:szCs w:val="27"/>
        </w:rPr>
      </w:pPr>
    </w:p>
    <w:p w:rsidR="00321DA4" w:rsidRDefault="00321DA4">
      <w:pPr>
        <w:rPr>
          <w:color w:val="000000"/>
          <w:sz w:val="27"/>
          <w:szCs w:val="27"/>
        </w:rPr>
      </w:pPr>
    </w:p>
    <w:p w:rsidR="00EA7A6C" w:rsidRPr="00321DA4" w:rsidRDefault="00321DA4" w:rsidP="00321DA4">
      <w:pPr>
        <w:jc w:val="both"/>
        <w:rPr>
          <w:rFonts w:ascii="Times New Roman" w:hAnsi="Times New Roman" w:cs="Times New Roman"/>
        </w:rPr>
      </w:pPr>
      <w:r w:rsidRPr="00321DA4">
        <w:rPr>
          <w:rFonts w:ascii="Times New Roman" w:hAnsi="Times New Roman" w:cs="Times New Roman"/>
          <w:color w:val="000000"/>
          <w:sz w:val="27"/>
          <w:szCs w:val="27"/>
        </w:rPr>
        <w:t xml:space="preserve">El Instituto Tecnológico Superior de Tamazunchale, S.L.P., a través del Departamento de Recursos Financieros, si </w:t>
      </w:r>
      <w:r w:rsidRPr="00321DA4">
        <w:rPr>
          <w:rFonts w:ascii="Times New Roman" w:hAnsi="Times New Roman" w:cs="Times New Roman"/>
          <w:color w:val="000000"/>
          <w:sz w:val="27"/>
          <w:szCs w:val="27"/>
        </w:rPr>
        <w:t>está</w:t>
      </w:r>
      <w:r w:rsidRPr="00321DA4">
        <w:rPr>
          <w:rFonts w:ascii="Times New Roman" w:hAnsi="Times New Roman" w:cs="Times New Roman"/>
          <w:color w:val="000000"/>
          <w:sz w:val="27"/>
          <w:szCs w:val="27"/>
        </w:rPr>
        <w:t xml:space="preserve"> facultado para generar la información en el artículo LTAIPSLP84LA. Y hace de su conocimiento que no se generó información con respecto al hipervínculo requerido en esta fracción, que se refiere a los informes de destino de ingresos recibidos, lo anterior es que a la fecha no se tiene el programa operativo anual 2023, por lo tanto, no puede publicarse el estado analítico del ejercicio del presupuesto de egresos correspondiente al mes de </w:t>
      </w:r>
      <w:r>
        <w:rPr>
          <w:rFonts w:ascii="Times New Roman" w:hAnsi="Times New Roman" w:cs="Times New Roman"/>
          <w:color w:val="000000"/>
          <w:sz w:val="27"/>
          <w:szCs w:val="27"/>
        </w:rPr>
        <w:t>abril</w:t>
      </w:r>
      <w:r w:rsidRPr="00321DA4">
        <w:rPr>
          <w:rFonts w:ascii="Times New Roman" w:hAnsi="Times New Roman" w:cs="Times New Roman"/>
          <w:color w:val="000000"/>
          <w:sz w:val="27"/>
          <w:szCs w:val="27"/>
        </w:rPr>
        <w:t xml:space="preserve"> de 2023. Y solo se cumplió con el llenado de los campos de rubro de los ingresos, tipo de ingresos, fuente de ingresos, denominación de la entidad o dependencia que entregó los ingresos, fecha de los ingresos recibidos, así como lo estipulan los Lineamientos Estatales para la Difusión, Disposición y Evaluación de las Obligaciones de Transparencia Comunes y Específicas emitidos por la Comisión Estatal de Garantía de Acceso a la Información Pública del Estado de San Luis Potosí.</w:t>
      </w:r>
    </w:p>
    <w:sectPr w:rsidR="00EA7A6C" w:rsidRPr="00321DA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17206" w:rsidRDefault="00217206" w:rsidP="00321DA4">
      <w:pPr>
        <w:spacing w:after="0" w:line="240" w:lineRule="auto"/>
      </w:pPr>
      <w:r>
        <w:separator/>
      </w:r>
    </w:p>
  </w:endnote>
  <w:endnote w:type="continuationSeparator" w:id="0">
    <w:p w:rsidR="00217206" w:rsidRDefault="00217206" w:rsidP="00321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1DA4" w:rsidRPr="00ED654D" w:rsidRDefault="00321DA4" w:rsidP="00321DA4">
    <w:pPr>
      <w:pStyle w:val="Piedepgina"/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Tamazunchale, S.L.P.; Tels. 483-361-8361 y 62 Ext. 400 </w:t>
    </w:r>
  </w:p>
  <w:p w:rsidR="00321DA4" w:rsidRPr="00ED654D" w:rsidRDefault="00321DA4" w:rsidP="00321DA4">
    <w:pPr>
      <w:pStyle w:val="Piedepgina"/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:rsidR="00321DA4" w:rsidRDefault="00321D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17206" w:rsidRDefault="00217206" w:rsidP="00321DA4">
      <w:pPr>
        <w:spacing w:after="0" w:line="240" w:lineRule="auto"/>
      </w:pPr>
      <w:r>
        <w:separator/>
      </w:r>
    </w:p>
  </w:footnote>
  <w:footnote w:type="continuationSeparator" w:id="0">
    <w:p w:rsidR="00217206" w:rsidRDefault="00217206" w:rsidP="00321D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1DA4" w:rsidRDefault="00321DA4">
    <w:pPr>
      <w:pStyle w:val="Encabezado"/>
    </w:pPr>
    <w:r w:rsidRPr="00B07B86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2059305</wp:posOffset>
          </wp:positionH>
          <wp:positionV relativeFrom="paragraph">
            <wp:posOffset>-38100</wp:posOffset>
          </wp:positionV>
          <wp:extent cx="1028700" cy="830580"/>
          <wp:effectExtent l="0" t="0" r="0" b="7620"/>
          <wp:wrapSquare wrapText="bothSides"/>
          <wp:docPr id="8688512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DA4"/>
    <w:rsid w:val="00217206"/>
    <w:rsid w:val="00321DA4"/>
    <w:rsid w:val="00EA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7AE70"/>
  <w15:chartTrackingRefBased/>
  <w15:docId w15:val="{3189FEFA-4589-44CE-B9FB-27F7E7201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1D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1DA4"/>
  </w:style>
  <w:style w:type="paragraph" w:styleId="Piedepgina">
    <w:name w:val="footer"/>
    <w:basedOn w:val="Normal"/>
    <w:link w:val="PiedepginaCar"/>
    <w:unhideWhenUsed/>
    <w:rsid w:val="00321D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21D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Grisel</dc:creator>
  <cp:keywords/>
  <dc:description/>
  <cp:lastModifiedBy>Grisel</cp:lastModifiedBy>
  <cp:revision>1</cp:revision>
  <dcterms:created xsi:type="dcterms:W3CDTF">2023-05-09T00:38:00Z</dcterms:created>
  <dcterms:modified xsi:type="dcterms:W3CDTF">2023-05-09T00:41:00Z</dcterms:modified>
</cp:coreProperties>
</file>