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1CA4" w:rsidRDefault="00AA5585" w:rsidP="00F01CA4">
      <w:pPr>
        <w:pStyle w:val="corte1datos"/>
        <w:jc w:val="right"/>
        <w:rPr>
          <w:rFonts w:cs="Arial"/>
          <w:color w:val="4F81BD"/>
          <w:sz w:val="24"/>
          <w:szCs w:val="24"/>
        </w:rPr>
      </w:pPr>
      <w:r w:rsidRPr="00AA5585">
        <w:rPr>
          <w:rFonts w:cs="Arial"/>
          <w:bCs/>
          <w:color w:val="595959" w:themeColor="text1" w:themeTint="A6"/>
          <w:sz w:val="24"/>
          <w:szCs w:val="24"/>
        </w:rPr>
        <w:tab/>
      </w:r>
      <w:r w:rsidR="00F01CA4" w:rsidRPr="00F01CA4">
        <w:rPr>
          <w:rFonts w:cs="Arial"/>
          <w:color w:val="4F81BD"/>
          <w:sz w:val="24"/>
          <w:szCs w:val="24"/>
        </w:rPr>
        <w:t>RECURSO DE REVISIÓN</w:t>
      </w:r>
      <w:r w:rsidR="00F01CA4">
        <w:rPr>
          <w:rFonts w:cs="Arial"/>
          <w:color w:val="4F81BD"/>
          <w:sz w:val="24"/>
          <w:szCs w:val="24"/>
        </w:rPr>
        <w:t xml:space="preserve"> 1148</w:t>
      </w:r>
      <w:r w:rsidR="00F01CA4" w:rsidRPr="00F01CA4">
        <w:rPr>
          <w:rFonts w:cs="Arial"/>
          <w:color w:val="4F81BD"/>
          <w:sz w:val="24"/>
          <w:szCs w:val="24"/>
        </w:rPr>
        <w:t xml:space="preserve">/2019-2 </w:t>
      </w:r>
    </w:p>
    <w:p w:rsidR="00F01CA4" w:rsidRPr="00F01CA4" w:rsidRDefault="00F01CA4" w:rsidP="00F01CA4">
      <w:pPr>
        <w:pStyle w:val="corte1datos"/>
        <w:jc w:val="right"/>
        <w:rPr>
          <w:rFonts w:cs="Arial"/>
          <w:color w:val="4F81BD"/>
          <w:sz w:val="24"/>
          <w:szCs w:val="24"/>
          <w:lang w:val="es-MX"/>
        </w:rPr>
      </w:pPr>
      <w:r>
        <w:rPr>
          <w:rFonts w:cs="Arial"/>
          <w:color w:val="4F81BD"/>
          <w:sz w:val="24"/>
          <w:szCs w:val="24"/>
          <w:lang w:val="es-MX"/>
        </w:rPr>
        <w:t>PNT.</w:t>
      </w:r>
    </w:p>
    <w:p w:rsidR="00F01CA4" w:rsidRPr="00F01CA4" w:rsidRDefault="00F01CA4" w:rsidP="00F01CA4">
      <w:pPr>
        <w:spacing w:after="0" w:line="240" w:lineRule="auto"/>
        <w:ind w:left="2552"/>
        <w:jc w:val="right"/>
        <w:rPr>
          <w:rFonts w:ascii="Arial" w:eastAsia="Times New Roman" w:hAnsi="Arial" w:cs="Arial"/>
          <w:b/>
          <w:caps/>
          <w:color w:val="4F81BD"/>
          <w:sz w:val="24"/>
          <w:szCs w:val="24"/>
          <w:lang w:eastAsia="es-MX"/>
        </w:rPr>
      </w:pPr>
    </w:p>
    <w:p w:rsidR="00F01CA4" w:rsidRPr="00F01CA4" w:rsidRDefault="00F01CA4" w:rsidP="00F01CA4">
      <w:pPr>
        <w:spacing w:after="0" w:line="240" w:lineRule="auto"/>
        <w:jc w:val="right"/>
        <w:rPr>
          <w:rFonts w:ascii="Arial" w:eastAsia="Times New Roman" w:hAnsi="Arial" w:cs="Arial"/>
          <w:b/>
          <w:caps/>
          <w:color w:val="4F81BD"/>
          <w:sz w:val="24"/>
          <w:szCs w:val="24"/>
          <w:lang w:val="x-none" w:eastAsia="es-MX"/>
        </w:rPr>
      </w:pPr>
      <w:r w:rsidRPr="00F01CA4">
        <w:rPr>
          <w:rFonts w:ascii="Arial" w:eastAsia="Times New Roman" w:hAnsi="Arial" w:cs="Arial"/>
          <w:b/>
          <w:caps/>
          <w:color w:val="4F81BD"/>
          <w:sz w:val="24"/>
          <w:szCs w:val="24"/>
          <w:lang w:val="x-none" w:eastAsia="es-MX"/>
        </w:rPr>
        <w:t xml:space="preserve">COMISIONADO PONENTE: </w:t>
      </w:r>
    </w:p>
    <w:p w:rsidR="00F01CA4" w:rsidRPr="00F01CA4" w:rsidRDefault="00F01CA4" w:rsidP="00F01CA4">
      <w:pPr>
        <w:spacing w:after="0" w:line="240" w:lineRule="auto"/>
        <w:jc w:val="right"/>
        <w:rPr>
          <w:rFonts w:ascii="Arial" w:eastAsia="Times New Roman" w:hAnsi="Arial" w:cs="Arial"/>
          <w:b/>
          <w:caps/>
          <w:color w:val="4F81BD"/>
          <w:sz w:val="24"/>
          <w:szCs w:val="24"/>
          <w:lang w:eastAsia="es-MX"/>
        </w:rPr>
      </w:pPr>
      <w:r w:rsidRPr="00F01CA4">
        <w:rPr>
          <w:rFonts w:ascii="Arial" w:eastAsia="Times New Roman" w:hAnsi="Arial" w:cs="Arial"/>
          <w:b/>
          <w:caps/>
          <w:color w:val="4F81BD"/>
          <w:sz w:val="24"/>
          <w:szCs w:val="24"/>
          <w:lang w:eastAsia="es-MX"/>
        </w:rPr>
        <w:t>DR. JOSÉ MARTÍN VÁZQUEZ VAZQUEZ</w:t>
      </w:r>
    </w:p>
    <w:p w:rsidR="00F01CA4" w:rsidRPr="00F01CA4" w:rsidRDefault="00F01CA4" w:rsidP="00F01CA4">
      <w:pPr>
        <w:spacing w:after="0" w:line="240" w:lineRule="auto"/>
        <w:ind w:left="708" w:hanging="708"/>
        <w:jc w:val="right"/>
        <w:rPr>
          <w:rFonts w:ascii="Arial" w:eastAsia="Times New Roman" w:hAnsi="Arial" w:cs="Arial"/>
          <w:b/>
          <w:caps/>
          <w:color w:val="4F81BD"/>
          <w:sz w:val="24"/>
          <w:szCs w:val="24"/>
          <w:lang w:eastAsia="es-MX"/>
        </w:rPr>
      </w:pPr>
    </w:p>
    <w:p w:rsidR="00F01CA4" w:rsidRPr="00F01CA4" w:rsidRDefault="00F01CA4" w:rsidP="00F01CA4">
      <w:pPr>
        <w:spacing w:after="0" w:line="240" w:lineRule="auto"/>
        <w:ind w:left="708" w:hanging="708"/>
        <w:jc w:val="right"/>
        <w:rPr>
          <w:rFonts w:ascii="Arial" w:eastAsia="Times New Roman" w:hAnsi="Arial" w:cs="Arial"/>
          <w:b/>
          <w:caps/>
          <w:color w:val="4F81BD"/>
          <w:sz w:val="24"/>
          <w:szCs w:val="24"/>
          <w:lang w:eastAsia="es-MX"/>
        </w:rPr>
      </w:pPr>
      <w:r w:rsidRPr="00F01CA4">
        <w:rPr>
          <w:rFonts w:ascii="Arial" w:eastAsia="Times New Roman" w:hAnsi="Arial" w:cs="Arial"/>
          <w:b/>
          <w:caps/>
          <w:color w:val="4F81BD"/>
          <w:sz w:val="24"/>
          <w:szCs w:val="24"/>
          <w:lang w:eastAsia="es-MX"/>
        </w:rPr>
        <w:t>SUJETO OBLIGADO:</w:t>
      </w:r>
    </w:p>
    <w:p w:rsidR="00F01CA4" w:rsidRPr="00F01CA4" w:rsidRDefault="00F01CA4" w:rsidP="00F01CA4">
      <w:pPr>
        <w:spacing w:after="0" w:line="240" w:lineRule="auto"/>
        <w:ind w:left="708" w:hanging="708"/>
        <w:jc w:val="right"/>
        <w:rPr>
          <w:rFonts w:ascii="Arial" w:eastAsia="Times New Roman" w:hAnsi="Arial" w:cs="Arial"/>
          <w:b/>
          <w:caps/>
          <w:color w:val="4F81BD"/>
          <w:sz w:val="24"/>
          <w:szCs w:val="24"/>
          <w:lang w:eastAsia="es-MX"/>
        </w:rPr>
      </w:pPr>
      <w:r>
        <w:rPr>
          <w:rFonts w:ascii="Arial" w:eastAsia="Times New Roman" w:hAnsi="Arial" w:cs="Arial"/>
          <w:b/>
          <w:caps/>
          <w:color w:val="4F81BD"/>
          <w:sz w:val="24"/>
          <w:szCs w:val="24"/>
          <w:lang w:eastAsia="es-MX"/>
        </w:rPr>
        <w:t>GOBIERNO DEL ESTADO DE SAN LUIS POTOSÍ, POR CONDUCTO DE LOS SERVICIOS DE SALUD</w:t>
      </w:r>
      <w:r w:rsidRPr="00F01CA4">
        <w:rPr>
          <w:rFonts w:ascii="Arial" w:eastAsia="Times New Roman" w:hAnsi="Arial" w:cs="Arial"/>
          <w:b/>
          <w:caps/>
          <w:color w:val="4F81BD"/>
          <w:sz w:val="24"/>
          <w:szCs w:val="24"/>
          <w:lang w:eastAsia="es-MX"/>
        </w:rPr>
        <w:t>.</w:t>
      </w:r>
    </w:p>
    <w:p w:rsidR="00F01CA4" w:rsidRPr="00F01CA4" w:rsidRDefault="00F01CA4" w:rsidP="00F01CA4">
      <w:pPr>
        <w:spacing w:line="240" w:lineRule="auto"/>
        <w:jc w:val="both"/>
        <w:rPr>
          <w:rFonts w:ascii="Arial" w:hAnsi="Arial" w:cs="Arial"/>
          <w:b/>
          <w:color w:val="5B9BD5"/>
          <w:sz w:val="24"/>
          <w:szCs w:val="24"/>
        </w:rPr>
      </w:pPr>
      <w:r w:rsidRPr="00F01CA4">
        <w:rPr>
          <w:rFonts w:ascii="Arial" w:hAnsi="Arial" w:cs="Arial"/>
          <w:b/>
          <w:color w:val="5B9BD5"/>
          <w:sz w:val="24"/>
          <w:szCs w:val="24"/>
        </w:rPr>
        <w:tab/>
      </w:r>
    </w:p>
    <w:p w:rsidR="004173D6" w:rsidRDefault="004173D6" w:rsidP="00F01CA4">
      <w:pPr>
        <w:jc w:val="both"/>
        <w:rPr>
          <w:rFonts w:cs="Arial"/>
          <w:color w:val="595959" w:themeColor="text1" w:themeTint="A6"/>
          <w:sz w:val="24"/>
          <w:szCs w:val="24"/>
        </w:rPr>
      </w:pPr>
    </w:p>
    <w:p w:rsidR="00BE31B5" w:rsidRPr="003D526F" w:rsidRDefault="00BE31B5" w:rsidP="00BE31B5">
      <w:pPr>
        <w:pStyle w:val="corte4fondo"/>
        <w:spacing w:line="276" w:lineRule="auto"/>
        <w:ind w:firstLine="708"/>
        <w:rPr>
          <w:rFonts w:cs="Arial"/>
          <w:i/>
          <w:iCs/>
          <w:color w:val="595959" w:themeColor="text1" w:themeTint="A6"/>
          <w:sz w:val="24"/>
          <w:szCs w:val="24"/>
        </w:rPr>
      </w:pPr>
    </w:p>
    <w:p w:rsidR="00063882" w:rsidRPr="00F01CA4" w:rsidRDefault="004173D6" w:rsidP="00063882">
      <w:pPr>
        <w:pStyle w:val="corte4fondo"/>
        <w:spacing w:line="276" w:lineRule="auto"/>
        <w:rPr>
          <w:rFonts w:eastAsia="Arial" w:cs="Arial"/>
          <w:iCs/>
          <w:color w:val="2F5496" w:themeColor="accent1" w:themeShade="BF"/>
          <w:sz w:val="22"/>
          <w:szCs w:val="22"/>
        </w:rPr>
      </w:pPr>
      <w:r w:rsidRPr="003E5C47">
        <w:rPr>
          <w:rFonts w:cs="Arial"/>
          <w:i/>
          <w:iCs/>
          <w:color w:val="2F5496" w:themeColor="accent1" w:themeShade="BF"/>
          <w:sz w:val="20"/>
        </w:rPr>
        <w:tab/>
      </w:r>
      <w:r w:rsidR="00E22C57" w:rsidRPr="00F01CA4">
        <w:rPr>
          <w:rFonts w:eastAsia="Arial Unicode MS" w:cs="Arial"/>
          <w:iCs/>
          <w:color w:val="2F5496" w:themeColor="accent1" w:themeShade="BF"/>
          <w:sz w:val="22"/>
          <w:szCs w:val="22"/>
        </w:rPr>
        <w:t xml:space="preserve"> </w:t>
      </w:r>
      <w:r w:rsidR="0077012D" w:rsidRPr="00F01CA4">
        <w:rPr>
          <w:rFonts w:eastAsia="Arial Unicode MS" w:cs="Arial"/>
          <w:iCs/>
          <w:color w:val="2F5496" w:themeColor="accent1" w:themeShade="BF"/>
          <w:sz w:val="22"/>
          <w:szCs w:val="22"/>
          <w:lang w:val="es-MX"/>
        </w:rPr>
        <w:t>“</w:t>
      </w:r>
      <w:r w:rsidR="00063882" w:rsidRPr="00F01CA4">
        <w:rPr>
          <w:rFonts w:eastAsia="Arial" w:cs="Arial"/>
          <w:iCs/>
          <w:color w:val="2F5496" w:themeColor="accent1" w:themeShade="BF"/>
          <w:sz w:val="22"/>
          <w:szCs w:val="22"/>
        </w:rPr>
        <w:t xml:space="preserve">San Luis Potosí, San Luis Potosí. Acuerdo del Pleno de la Comisión Estatal de Garantía de Acceso a la Información Pública, correspondiente a la Sesión Extraordinaria 12 doce de septiembre de 2019 dos mil diecinueve. </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VISTOS</w:t>
      </w:r>
      <w:r w:rsidRPr="00F01CA4">
        <w:rPr>
          <w:rFonts w:ascii="Arial" w:eastAsia="Arial" w:hAnsi="Arial" w:cs="Arial"/>
          <w:iCs/>
          <w:color w:val="2F5496" w:themeColor="accent1" w:themeShade="BF"/>
          <w:lang w:val="x-none" w:eastAsia="es-MX"/>
        </w:rPr>
        <w:t>, para resolver, los autos del recurso de revisión identificado al rubro; y</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center"/>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R E S U L T A N D O</w:t>
      </w:r>
      <w:r w:rsidRPr="00F01CA4">
        <w:rPr>
          <w:rFonts w:ascii="Arial" w:eastAsia="Arial" w:hAnsi="Arial" w:cs="Arial"/>
          <w:iCs/>
          <w:color w:val="2F5496" w:themeColor="accent1" w:themeShade="BF"/>
          <w:lang w:val="x-none" w:eastAsia="es-MX"/>
        </w:rPr>
        <w:t>:</w:t>
      </w:r>
    </w:p>
    <w:p w:rsidR="00063882" w:rsidRPr="00F01CA4" w:rsidRDefault="00063882" w:rsidP="00063882">
      <w:pPr>
        <w:spacing w:after="0"/>
        <w:ind w:firstLine="709"/>
        <w:jc w:val="center"/>
        <w:rPr>
          <w:rFonts w:ascii="Arial" w:eastAsia="Arial" w:hAnsi="Arial" w:cs="Arial"/>
          <w:iCs/>
          <w:color w:val="2F5496" w:themeColor="accent1" w:themeShade="BF"/>
          <w:lang w:val="x-none" w:eastAsia="es-MX"/>
        </w:rPr>
      </w:pPr>
    </w:p>
    <w:p w:rsidR="00063882" w:rsidRPr="00F01CA4" w:rsidRDefault="00063882" w:rsidP="00063882">
      <w:pPr>
        <w:spacing w:after="0"/>
        <w:ind w:firstLine="709"/>
        <w:jc w:val="center"/>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PRIMERO. Solicitud de acceso a la información pública.</w:t>
      </w:r>
      <w:r w:rsidRPr="00F01CA4">
        <w:rPr>
          <w:rFonts w:ascii="Arial" w:eastAsia="Arial" w:hAnsi="Arial" w:cs="Arial"/>
          <w:iCs/>
          <w:color w:val="2F5496" w:themeColor="accent1" w:themeShade="BF"/>
          <w:lang w:val="x-none" w:eastAsia="es-MX"/>
        </w:rPr>
        <w:t xml:space="preserve"> Según consta en la Plataforma Nacional de Transparencia con folio 00661919 el 20 veinte de mayo de 2019 dos mil diecinueve el Gobierno del Estado de San Luis Potosí, por conducto de los Servicios de Salud, recibió una solicitud de acceso a la información requiriendo lo siguiente:</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left="709" w:right="900"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“1.Copia del Acta de la Primera Reunión de la H. JUNTA DE GOBIERNO DEL ORGANISMO DESCENTRALIZADO DE LA ADMINISTRACIÓN PUBLICA ESTATAL DENOMINADO SERVICIOS DE SALUD DE SAN LUIS POTOSÍ celebrada el día 21 de Marzo 2019  y si no fue realizada copia del documento que avale dicha acción.” </w:t>
      </w:r>
      <w:r w:rsidRPr="00F01CA4">
        <w:rPr>
          <w:rFonts w:ascii="Arial" w:eastAsia="Arial" w:hAnsi="Arial" w:cs="Arial"/>
          <w:iCs/>
          <w:color w:val="2F5496" w:themeColor="accent1" w:themeShade="BF"/>
          <w:lang w:eastAsia="es-MX"/>
        </w:rPr>
        <w:t xml:space="preserve">(sic). </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SEGUNDO. Respuesta a la solicitud de acceso a la información pública.</w:t>
      </w:r>
      <w:r w:rsidRPr="00F01CA4">
        <w:rPr>
          <w:rFonts w:ascii="Arial" w:eastAsia="Arial" w:hAnsi="Arial" w:cs="Arial"/>
          <w:iCs/>
          <w:color w:val="2F5496" w:themeColor="accent1" w:themeShade="BF"/>
          <w:lang w:val="x-none" w:eastAsia="es-MX"/>
        </w:rPr>
        <w:t xml:space="preserve"> el 04 cuatro de junio, el sujeto obligado consta que, a través de la Plataforma nacional de transparencia, otorgó respuesta al escrito de solicitud del recurrente de la manera siguiente:</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tabs>
          <w:tab w:val="left" w:pos="7938"/>
        </w:tabs>
        <w:spacing w:after="0"/>
        <w:ind w:left="709" w:right="900"/>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“Estimado Roberto:</w:t>
      </w:r>
    </w:p>
    <w:p w:rsidR="00063882" w:rsidRPr="00F01CA4" w:rsidRDefault="00063882" w:rsidP="00063882">
      <w:pPr>
        <w:tabs>
          <w:tab w:val="left" w:pos="7938"/>
        </w:tabs>
        <w:spacing w:after="0"/>
        <w:ind w:left="709" w:right="900"/>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En archivo adjunto remito la respuesta otorgada a la solicitud de información realizada por usted.</w:t>
      </w:r>
    </w:p>
    <w:p w:rsidR="00063882" w:rsidRPr="00F01CA4" w:rsidRDefault="00063882" w:rsidP="00063882">
      <w:pPr>
        <w:tabs>
          <w:tab w:val="left" w:pos="7938"/>
        </w:tabs>
        <w:spacing w:after="0"/>
        <w:ind w:left="709" w:right="900"/>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Gracias por ejercer tu derecho a la información.” </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(Página 1 de 2)</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noProof/>
          <w:color w:val="2F5496" w:themeColor="accent1" w:themeShade="BF"/>
          <w:lang w:eastAsia="es-MX"/>
        </w:rPr>
        <w:lastRenderedPageBreak/>
        <w:drawing>
          <wp:inline distT="0" distB="0" distL="0" distR="0">
            <wp:extent cx="5095875" cy="2838450"/>
            <wp:effectExtent l="0" t="0" r="9525"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l="7703" r="7220"/>
                    <a:stretch>
                      <a:fillRect/>
                    </a:stretch>
                  </pic:blipFill>
                  <pic:spPr bwMode="auto">
                    <a:xfrm>
                      <a:off x="0" y="0"/>
                      <a:ext cx="5102857" cy="2842339"/>
                    </a:xfrm>
                    <a:prstGeom prst="rect">
                      <a:avLst/>
                    </a:prstGeom>
                    <a:noFill/>
                    <a:ln>
                      <a:noFill/>
                    </a:ln>
                  </pic:spPr>
                </pic:pic>
              </a:graphicData>
            </a:graphic>
          </wp:inline>
        </w:drawing>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(archivo digital anexo)</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tabs>
          <w:tab w:val="left" w:pos="5825"/>
        </w:tabs>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 xml:space="preserve">CUARTO. Interposición del recurso. </w:t>
      </w:r>
      <w:r w:rsidRPr="00F01CA4">
        <w:rPr>
          <w:rFonts w:ascii="Arial" w:eastAsia="Arial" w:hAnsi="Arial" w:cs="Arial"/>
          <w:iCs/>
          <w:color w:val="2F5496" w:themeColor="accent1" w:themeShade="BF"/>
          <w:lang w:val="x-none" w:eastAsia="es-MX"/>
        </w:rPr>
        <w:t>El 04 cuatro de junio de 2019 dos mil diecinueve, el hoy recurrente interpuso el presente medio de impugnación a través de la Plataforma Nacional de Transparencia, el cual quedó presentado el día cinco, del mismo mes y año ante oficialía de partes de esta Comisión; mediante el cual señaló como inconformidad lo siguiente:</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left="709" w:right="900"/>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“La información que se solicita no tiene que ver con la respuesta de los Servicios de Salud de San Luis Potosí. Ademas de no especificar los motivos por los cuales no se envía la copia del acta ya que la reunión ya fue llevada acabo el día 21 de Marzo del 2019. ” (sic)</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 xml:space="preserve">QUINTO. Trámite del recurso de revisión ante esta Comisión Estatal de Garantía de Acceso a la Información Pública. </w:t>
      </w:r>
      <w:r w:rsidRPr="00F01CA4">
        <w:rPr>
          <w:rFonts w:ascii="Arial" w:eastAsia="Arial" w:hAnsi="Arial" w:cs="Arial"/>
          <w:iCs/>
          <w:color w:val="2F5496" w:themeColor="accent1" w:themeShade="BF"/>
          <w:lang w:val="x-none" w:eastAsia="es-MX"/>
        </w:rPr>
        <w:t xml:space="preserve">Mediante auto de 06 seis de junio de 2019 dos mil diecinueve, la Presidencia de esta Comisión tuvo por recibido el recurso de revisión que hoy nos ocupa, por lo que razón de turno toco conocer a la ponencia de la Comisionada Paulina Sánchez Pérez del Pozo, por lo que se le turnó dicho expediente bajo el número </w:t>
      </w:r>
      <w:r w:rsidRPr="00F01CA4">
        <w:rPr>
          <w:rFonts w:ascii="Arial" w:eastAsia="Arial" w:hAnsi="Arial" w:cs="Arial"/>
          <w:b/>
          <w:bCs/>
          <w:iCs/>
          <w:color w:val="2F5496" w:themeColor="accent1" w:themeShade="BF"/>
          <w:lang w:val="x-none" w:eastAsia="es-MX"/>
        </w:rPr>
        <w:t xml:space="preserve">1148/2019-2 PNT, </w:t>
      </w:r>
      <w:r w:rsidRPr="00F01CA4">
        <w:rPr>
          <w:rFonts w:ascii="Arial" w:eastAsia="Arial" w:hAnsi="Arial" w:cs="Arial"/>
          <w:iCs/>
          <w:color w:val="2F5496" w:themeColor="accent1" w:themeShade="BF"/>
          <w:lang w:val="x-none" w:eastAsia="es-MX"/>
        </w:rPr>
        <w:t xml:space="preserve">para que procediera, previo análisis a su admisión o desechamiento según fuera el caso. </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ind w:firstLine="709"/>
        <w:jc w:val="both"/>
        <w:rPr>
          <w:rFonts w:ascii="Arial" w:eastAsia="Arial" w:hAnsi="Arial" w:cs="Arial"/>
          <w:iCs/>
          <w:color w:val="2F5496" w:themeColor="accent1" w:themeShade="BF"/>
        </w:rPr>
      </w:pPr>
      <w:r w:rsidRPr="00F01CA4">
        <w:rPr>
          <w:rFonts w:ascii="Arial" w:eastAsia="Arial" w:hAnsi="Arial" w:cs="Arial"/>
          <w:b/>
          <w:bCs/>
          <w:iCs/>
          <w:color w:val="2F5496" w:themeColor="accent1" w:themeShade="BF"/>
        </w:rPr>
        <w:t xml:space="preserve">SEXTO. Auto de admisión y trámite. </w:t>
      </w:r>
      <w:r w:rsidRPr="00F01CA4">
        <w:rPr>
          <w:rFonts w:ascii="Arial" w:eastAsia="Arial" w:hAnsi="Arial" w:cs="Arial"/>
          <w:iCs/>
          <w:color w:val="2F5496" w:themeColor="accent1" w:themeShade="BF"/>
        </w:rPr>
        <w:t xml:space="preserve">El 26 veintiséis de junio de 2019 dos mil diecinueve, la Comisionado Ponente acordó la admisión del recurso de recisión por actualizarse las hipótesis de las fracciones VI, del artículo 167 de la Ley de Transparencia y Acceso a la Información Pública del Estado, tuvo como ente obligado al </w:t>
      </w:r>
      <w:r w:rsidRPr="00F01CA4">
        <w:rPr>
          <w:rFonts w:ascii="Arial" w:eastAsia="Arial" w:hAnsi="Arial" w:cs="Arial"/>
          <w:b/>
          <w:bCs/>
          <w:iCs/>
          <w:color w:val="2F5496" w:themeColor="accent1" w:themeShade="BF"/>
        </w:rPr>
        <w:t xml:space="preserve">GOBIERNO DEL ESTADO DE SAN LUIS POTOSÍ, POR CONDUCTO DE LOS SERVICIOS DE SALUD, A TRAVÉS DE SU TITULAR Y DEL TITULAR DE LA UNIDAD DE TRANSPARENCIA </w:t>
      </w:r>
      <w:r w:rsidRPr="00F01CA4">
        <w:rPr>
          <w:rFonts w:ascii="Arial" w:eastAsia="Arial" w:hAnsi="Arial" w:cs="Arial"/>
          <w:iCs/>
          <w:color w:val="2F5496" w:themeColor="accent1" w:themeShade="BF"/>
        </w:rPr>
        <w:t xml:space="preserve">en lo sucesivo sujeto obligado. </w:t>
      </w:r>
    </w:p>
    <w:p w:rsidR="00063882" w:rsidRPr="00F01CA4" w:rsidRDefault="00063882" w:rsidP="00063882">
      <w:pPr>
        <w:ind w:firstLine="709"/>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Se puso a disposición de las partes el expediente para que en un plazo máximo de 7 siete días manifestaran lo que a su derecho conviniera –ofrecer pruebas y alegar–. </w:t>
      </w:r>
    </w:p>
    <w:p w:rsidR="00063882" w:rsidRPr="00F01CA4" w:rsidRDefault="00063882" w:rsidP="00063882">
      <w:pPr>
        <w:jc w:val="both"/>
        <w:rPr>
          <w:rFonts w:ascii="Arial" w:eastAsia="Arial" w:hAnsi="Arial" w:cs="Arial"/>
          <w:iCs/>
          <w:color w:val="2F5496" w:themeColor="accent1" w:themeShade="BF"/>
        </w:rPr>
      </w:pP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b/>
          <w:bCs/>
          <w:iCs/>
          <w:color w:val="2F5496" w:themeColor="accent1" w:themeShade="BF"/>
        </w:rPr>
        <w:lastRenderedPageBreak/>
        <w:t>SÉPTIMO. Rendición del informe del sujeto obligado</w:t>
      </w:r>
      <w:r w:rsidRPr="00F01CA4">
        <w:rPr>
          <w:rFonts w:ascii="Arial" w:eastAsia="Arial" w:hAnsi="Arial" w:cs="Arial"/>
          <w:iCs/>
          <w:color w:val="2F5496" w:themeColor="accent1" w:themeShade="BF"/>
        </w:rPr>
        <w:t>. El 05 cinco de agosto de 2019 dos mil diecinueve, esta Comisión tuvo por recibido oficio sin número emitido el 09 nueve de julio de 2019 dos mil diecinueve, por la Encargada de la Unidad de Transparencia del Organismo Público Descentralizado denominado Servicios de Salud, a través del cual se realizaron diversas manifestaciones respecto a los agravios señalados por el hoy recurrente en su recurso de revisión.</w:t>
      </w:r>
    </w:p>
    <w:p w:rsidR="00063882" w:rsidRPr="00F01CA4" w:rsidRDefault="00063882" w:rsidP="00063882">
      <w:pPr>
        <w:ind w:firstLine="708"/>
        <w:jc w:val="both"/>
        <w:rPr>
          <w:rFonts w:ascii="Arial" w:eastAsia="Arial" w:hAnsi="Arial" w:cs="Arial"/>
          <w:iCs/>
          <w:color w:val="2F5496" w:themeColor="accent1" w:themeShade="BF"/>
        </w:rPr>
      </w:pPr>
    </w:p>
    <w:p w:rsidR="00063882" w:rsidRPr="00F01CA4" w:rsidRDefault="00063882" w:rsidP="00063882">
      <w:pPr>
        <w:ind w:firstLine="708"/>
        <w:jc w:val="both"/>
        <w:rPr>
          <w:rFonts w:ascii="Arial" w:eastAsia="Arial" w:hAnsi="Arial" w:cs="Arial"/>
          <w:bCs/>
          <w:iCs/>
          <w:color w:val="2F5496" w:themeColor="accent1" w:themeShade="BF"/>
        </w:rPr>
      </w:pPr>
      <w:r w:rsidRPr="00F01CA4">
        <w:rPr>
          <w:rFonts w:ascii="Arial" w:eastAsia="Arial" w:hAnsi="Arial" w:cs="Arial"/>
          <w:b/>
          <w:iCs/>
          <w:color w:val="2F5496" w:themeColor="accent1" w:themeShade="BF"/>
        </w:rPr>
        <w:t>El oficio sin número emitido el 09 nueve de julio de 2019 dos mil diecinueve, señala: “(…)</w:t>
      </w:r>
      <w:r w:rsidRPr="00F01CA4">
        <w:rPr>
          <w:rFonts w:ascii="Arial" w:eastAsia="Arial" w:hAnsi="Arial" w:cs="Arial"/>
          <w:bCs/>
          <w:iCs/>
          <w:color w:val="2F5496" w:themeColor="accent1" w:themeShade="BF"/>
        </w:rPr>
        <w:t xml:space="preserve"> me permito señalar que como refiere el recurrente, nos acompañó copia del acta de la primera reunión de Junta de Gobierno, en razón de que el referido documento aún se encuentra en validación por los integrantes del H. Órgano de Gobierno, lo anterior tiene sustento legal, ya que de acuerdo a lo señalado en el artículo 12, fracción I, inciso e, del Reglamento Interior de Servicios de Salud, corresponde al Secretario Técnico, elaborar las convocatorias a las sesiones ordinarias y extraordinarias, el orden del día de los asuntos que deban tratarse en dichas sesiones y elaborar las actas correspondientes a las mismas, las que presentará para que en su caso sean aprobadas por la Junta de Gobierno. […]</w:t>
      </w:r>
    </w:p>
    <w:p w:rsidR="00063882" w:rsidRPr="00F01CA4" w:rsidRDefault="00063882" w:rsidP="00063882">
      <w:pPr>
        <w:ind w:firstLine="708"/>
        <w:jc w:val="both"/>
        <w:rPr>
          <w:rFonts w:ascii="Arial" w:eastAsia="Arial" w:hAnsi="Arial" w:cs="Arial"/>
          <w:b/>
          <w:iCs/>
          <w:color w:val="2F5496" w:themeColor="accent1" w:themeShade="BF"/>
        </w:rPr>
      </w:pPr>
      <w:r w:rsidRPr="00F01CA4">
        <w:rPr>
          <w:rFonts w:ascii="Arial" w:eastAsia="Arial" w:hAnsi="Arial" w:cs="Arial"/>
          <w:bCs/>
          <w:iCs/>
          <w:color w:val="2F5496" w:themeColor="accent1" w:themeShade="BF"/>
        </w:rPr>
        <w:t>Por lo que mediante memorando un número 12264, se explicó y fundamentó que a la fecha de atención de la solicitud de información registrada bajo folio 00667919, el acta de la primer Junta de Gobierno se encontraba en proceso de creación, en la etapa de observaciones por parte de los integrantes del H. Órgano de Gobierno, para lo cual se acompañó el contenido del artículo 12, fracción I, inciso e, del Reglamento Interior de Servicios de Salud.</w:t>
      </w:r>
      <w:r w:rsidRPr="00F01CA4">
        <w:rPr>
          <w:rFonts w:ascii="Arial" w:eastAsia="Arial" w:hAnsi="Arial" w:cs="Arial"/>
          <w:iCs/>
          <w:color w:val="2F5496" w:themeColor="accent1" w:themeShade="BF"/>
        </w:rPr>
        <w:t xml:space="preserve"> […] ”</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En cuanto al recurrente, no compareció a realizar las manifestaciones que a su derecho considero convenientes. En el mismo auto se decretó el cierre de instrucción y se ordenó se elaborará el proyecto de resolución correspondiente.</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Asimismo, mediante proveído de 19 diecinueve de agosto de dos mil diecinueve, se decretó la ampliación del plazo para resolver el presente recurso de revisión y,  </w:t>
      </w:r>
    </w:p>
    <w:p w:rsidR="00063882" w:rsidRPr="00F01CA4" w:rsidRDefault="00063882" w:rsidP="00063882">
      <w:pPr>
        <w:jc w:val="center"/>
        <w:rPr>
          <w:rFonts w:ascii="Arial" w:eastAsia="Arial" w:hAnsi="Arial" w:cs="Arial"/>
          <w:iCs/>
          <w:color w:val="2F5496" w:themeColor="accent1" w:themeShade="BF"/>
        </w:rPr>
      </w:pPr>
      <w:r w:rsidRPr="00F01CA4">
        <w:rPr>
          <w:rFonts w:ascii="Arial" w:eastAsia="Arial" w:hAnsi="Arial" w:cs="Arial"/>
          <w:b/>
          <w:bCs/>
          <w:iCs/>
          <w:color w:val="2F5496" w:themeColor="accent1" w:themeShade="BF"/>
        </w:rPr>
        <w:t>C O N S I D E R A N D O</w:t>
      </w:r>
    </w:p>
    <w:p w:rsidR="00063882" w:rsidRPr="00F01CA4" w:rsidRDefault="00063882" w:rsidP="00063882">
      <w:pPr>
        <w:jc w:val="center"/>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 xml:space="preserve">PRIMERO. Competencia. </w:t>
      </w:r>
      <w:r w:rsidRPr="00F01CA4">
        <w:rPr>
          <w:rFonts w:ascii="Arial" w:eastAsia="Arial" w:hAnsi="Arial" w:cs="Arial"/>
          <w:iCs/>
          <w:color w:val="2F5496" w:themeColor="accent1" w:themeShade="BF"/>
          <w:lang w:val="x-none"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      </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 xml:space="preserve">SEGUNDO. Procedencia. </w:t>
      </w:r>
      <w:r w:rsidRPr="00F01CA4">
        <w:rPr>
          <w:rFonts w:ascii="Arial" w:eastAsia="Arial" w:hAnsi="Arial" w:cs="Arial"/>
          <w:iCs/>
          <w:color w:val="2F5496" w:themeColor="accent1" w:themeShade="BF"/>
          <w:lang w:val="x-none" w:eastAsia="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TERCERO</w:t>
      </w:r>
      <w:r w:rsidRPr="00F01CA4">
        <w:rPr>
          <w:rFonts w:ascii="Arial" w:eastAsia="Arial" w:hAnsi="Arial" w:cs="Arial"/>
          <w:iCs/>
          <w:color w:val="2F5496" w:themeColor="accent1" w:themeShade="BF"/>
          <w:lang w:val="x-none" w:eastAsia="es-MX"/>
        </w:rPr>
        <w:t xml:space="preserve">. </w:t>
      </w:r>
      <w:r w:rsidRPr="00F01CA4">
        <w:rPr>
          <w:rFonts w:ascii="Arial" w:eastAsia="Arial" w:hAnsi="Arial" w:cs="Arial"/>
          <w:b/>
          <w:bCs/>
          <w:iCs/>
          <w:color w:val="2F5496" w:themeColor="accent1" w:themeShade="BF"/>
          <w:lang w:val="x-none" w:eastAsia="es-MX"/>
        </w:rPr>
        <w:t xml:space="preserve">Caso Concreto. </w:t>
      </w:r>
      <w:r w:rsidRPr="00F01CA4">
        <w:rPr>
          <w:rFonts w:ascii="Arial" w:eastAsia="Arial" w:hAnsi="Arial" w:cs="Arial"/>
          <w:iCs/>
          <w:color w:val="2F5496" w:themeColor="accent1" w:themeShade="BF"/>
          <w:lang w:val="x-none" w:eastAsia="es-MX"/>
        </w:rPr>
        <w:t xml:space="preserve">En la solicitud de acceso a la información, el hoy recurrente solicitó Al Organismo Público Descentralizado Denominado Servicios de Salud, de San Luis Potosí, a saber: </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left="709" w:right="900"/>
        <w:jc w:val="both"/>
        <w:rPr>
          <w:rFonts w:ascii="Arial" w:eastAsia="Arial" w:hAnsi="Arial" w:cs="Arial"/>
          <w:iCs/>
          <w:color w:val="2F5496" w:themeColor="accent1" w:themeShade="BF"/>
          <w:lang w:val="es-ES" w:eastAsia="es-MX"/>
        </w:rPr>
      </w:pPr>
      <w:r w:rsidRPr="00F01CA4">
        <w:rPr>
          <w:rFonts w:ascii="Arial" w:eastAsia="Arial" w:hAnsi="Arial" w:cs="Arial"/>
          <w:iCs/>
          <w:color w:val="2F5496" w:themeColor="accent1" w:themeShade="BF"/>
          <w:lang w:val="x-none" w:eastAsia="es-MX"/>
        </w:rPr>
        <w:lastRenderedPageBreak/>
        <w:t>“1.Copia del Acta de la Primera Reunión de la H. JUNTA DE GOBIERNO DEL ORGANISMO DESCENTRALIZADO DE LA ADMINISTRACIÓN PUBLICA ESTATAL DENOMINADO SERVICIOS DE SALUD DE SAN LUIS POTOSÍ celebrada el día 21 de Marzo 2019  y si no fue realizada copia del documento que avale dicha acción.”</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(se insertan capturas de pantalla de los documentos anexos a la respuesta del sujeto obligado)</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(página 1 de 5)                                          </w:t>
      </w:r>
    </w:p>
    <w:p w:rsidR="00063882" w:rsidRPr="00F01CA4" w:rsidRDefault="00063882" w:rsidP="00063882">
      <w:pPr>
        <w:spacing w:after="0"/>
        <w:ind w:firstLine="709"/>
        <w:jc w:val="both"/>
        <w:rPr>
          <w:rFonts w:ascii="Arial" w:eastAsia="Arial" w:hAnsi="Arial" w:cs="Arial"/>
          <w:iCs/>
          <w:color w:val="2F5496" w:themeColor="accent1" w:themeShade="BF"/>
        </w:rPr>
      </w:pPr>
      <w:r w:rsidRPr="00F01CA4">
        <w:rPr>
          <w:rFonts w:ascii="Arial" w:eastAsia="Arial" w:hAnsi="Arial" w:cs="Arial"/>
          <w:iCs/>
          <w:noProof/>
          <w:color w:val="2F5496" w:themeColor="accent1" w:themeShade="BF"/>
          <w:lang w:eastAsia="es-MX"/>
        </w:rPr>
        <w:drawing>
          <wp:inline distT="0" distB="0" distL="0" distR="0">
            <wp:extent cx="4095750" cy="3248025"/>
            <wp:effectExtent l="0" t="0" r="0" b="952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l="8733" r="9486"/>
                    <a:stretch>
                      <a:fillRect/>
                    </a:stretch>
                  </pic:blipFill>
                  <pic:spPr bwMode="auto">
                    <a:xfrm>
                      <a:off x="0" y="0"/>
                      <a:ext cx="4095750" cy="3248025"/>
                    </a:xfrm>
                    <a:prstGeom prst="rect">
                      <a:avLst/>
                    </a:prstGeom>
                    <a:noFill/>
                    <a:ln>
                      <a:noFill/>
                    </a:ln>
                  </pic:spPr>
                </pic:pic>
              </a:graphicData>
            </a:graphic>
          </wp:inline>
        </w:drawing>
      </w:r>
    </w:p>
    <w:p w:rsidR="00063882" w:rsidRPr="00F01CA4" w:rsidRDefault="00063882" w:rsidP="00063882">
      <w:pPr>
        <w:spacing w:after="0"/>
        <w:ind w:firstLine="709"/>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(página 2 de 5)</w:t>
      </w:r>
    </w:p>
    <w:p w:rsidR="00063882" w:rsidRPr="00F01CA4" w:rsidRDefault="00063882" w:rsidP="00063882">
      <w:pPr>
        <w:spacing w:after="0"/>
        <w:ind w:firstLine="709"/>
        <w:jc w:val="both"/>
        <w:rPr>
          <w:rFonts w:ascii="Arial" w:eastAsia="Arial" w:hAnsi="Arial" w:cs="Arial"/>
          <w:iCs/>
          <w:color w:val="2F5496" w:themeColor="accent1" w:themeShade="BF"/>
        </w:rPr>
      </w:pPr>
      <w:r w:rsidRPr="00F01CA4">
        <w:rPr>
          <w:rFonts w:ascii="Arial" w:eastAsia="Arial" w:hAnsi="Arial" w:cs="Arial"/>
          <w:iCs/>
          <w:noProof/>
          <w:color w:val="2F5496" w:themeColor="accent1" w:themeShade="BF"/>
          <w:lang w:eastAsia="es-MX"/>
        </w:rPr>
        <w:drawing>
          <wp:inline distT="0" distB="0" distL="0" distR="0">
            <wp:extent cx="4314825" cy="3248025"/>
            <wp:effectExtent l="0" t="0" r="9525" b="952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9" cstate="print">
                      <a:extLst>
                        <a:ext uri="{28A0092B-C50C-407E-A947-70E740481C1C}">
                          <a14:useLocalDpi xmlns:a14="http://schemas.microsoft.com/office/drawing/2010/main" val="0"/>
                        </a:ext>
                      </a:extLst>
                    </a:blip>
                    <a:srcRect l="7417" r="6429"/>
                    <a:stretch>
                      <a:fillRect/>
                    </a:stretch>
                  </pic:blipFill>
                  <pic:spPr bwMode="auto">
                    <a:xfrm>
                      <a:off x="0" y="0"/>
                      <a:ext cx="4314825" cy="3248025"/>
                    </a:xfrm>
                    <a:prstGeom prst="rect">
                      <a:avLst/>
                    </a:prstGeom>
                    <a:noFill/>
                    <a:ln>
                      <a:noFill/>
                    </a:ln>
                  </pic:spPr>
                </pic:pic>
              </a:graphicData>
            </a:graphic>
          </wp:inline>
        </w:drawing>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tabs>
          <w:tab w:val="left" w:pos="5825"/>
        </w:tabs>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Inconforme con lo anterior, el hoy recurrente señaló; a saber:</w:t>
      </w:r>
    </w:p>
    <w:p w:rsidR="00063882" w:rsidRPr="00F01CA4" w:rsidRDefault="00063882" w:rsidP="00063882">
      <w:pPr>
        <w:tabs>
          <w:tab w:val="left" w:pos="5825"/>
        </w:tabs>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left="709" w:right="900"/>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“La información que se solicita no tiene que ver con la respuesta de los Servicios de Salud de San Luis Potosí. Ademas de no especificar los </w:t>
      </w:r>
      <w:r w:rsidRPr="00F01CA4">
        <w:rPr>
          <w:rFonts w:ascii="Arial" w:eastAsia="Arial" w:hAnsi="Arial" w:cs="Arial"/>
          <w:iCs/>
          <w:color w:val="2F5496" w:themeColor="accent1" w:themeShade="BF"/>
          <w:lang w:val="x-none" w:eastAsia="es-MX"/>
        </w:rPr>
        <w:lastRenderedPageBreak/>
        <w:t>motivos por los cuales no se envía la copia del acta ya que la reunión ya fue llevada acabo el día 21 de Marzo del 2019.  ” (sic)</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Por su parte, a través de su escrito de informe, el sujeto obligado reitero su respuesta original.</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QUINTO</w:t>
      </w:r>
      <w:r w:rsidRPr="00F01CA4">
        <w:rPr>
          <w:rFonts w:ascii="Arial" w:eastAsia="Arial" w:hAnsi="Arial" w:cs="Arial"/>
          <w:iCs/>
          <w:color w:val="2F5496" w:themeColor="accent1" w:themeShade="BF"/>
          <w:lang w:val="x-none" w:eastAsia="es-MX"/>
        </w:rPr>
        <w:t xml:space="preserve">. Derivado de lo anterior, se advierte que: </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El recurrente señala como agravio, la falta de entrega de la información, toda vez que: </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1. No le entregan la información solicitada, pues únicamente se limitan a manifestar que el acta solicitada por el ahora recurrente, se remitió para validación, a los integrantes del H. Órgano de Gobierno, para su respectiva validación. </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Por su parte el sujeto obligado manifiesta que la información fue entregada conforme a las disposiciones legales.</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Así entonces, la resolución resolverá si, la información que constituye el objeto del presente recurso, fue entregada por el sujeto obligado, de acuerdo con lo dispuesto por los artículos 3, fracción XII, 4, 18, 19 de la Ley de Transparencia y Acceso a la Información Pública del Estado de San Luis Potosí y demás normativa aplicable.</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es-ES"/>
        </w:rPr>
      </w:pPr>
      <w:r w:rsidRPr="00F01CA4">
        <w:rPr>
          <w:rFonts w:ascii="Arial" w:eastAsia="Arial" w:hAnsi="Arial" w:cs="Arial"/>
          <w:iCs/>
          <w:color w:val="2F5496" w:themeColor="accent1" w:themeShade="BF"/>
          <w:lang w:val="es-ES"/>
        </w:rPr>
        <w:t>El artículo 3°, fracción XII, de la Ley de Transparencia y Acceso a la Información Pública del Estado de San Luis Potosí establecen lo siguiente:</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left="709" w:right="993"/>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w:t>
      </w:r>
      <w:r w:rsidRPr="00F01CA4">
        <w:rPr>
          <w:rFonts w:ascii="Arial" w:eastAsia="Arial" w:hAnsi="Arial" w:cs="Arial"/>
          <w:iCs/>
          <w:color w:val="2F5496" w:themeColor="accent1" w:themeShade="BF"/>
          <w:lang w:val="x-none" w:eastAsia="es-MX"/>
        </w:rPr>
        <w:t>ARTÍCULO 3°.</w:t>
      </w:r>
      <w:r w:rsidRPr="00F01CA4">
        <w:rPr>
          <w:rFonts w:ascii="Arial" w:eastAsia="Arial" w:hAnsi="Arial" w:cs="Arial"/>
          <w:b/>
          <w:bCs/>
          <w:iCs/>
          <w:color w:val="2F5496" w:themeColor="accent1" w:themeShade="BF"/>
          <w:lang w:val="x-none" w:eastAsia="es-MX"/>
        </w:rPr>
        <w:t xml:space="preserve"> </w:t>
      </w:r>
      <w:r w:rsidRPr="00F01CA4">
        <w:rPr>
          <w:rFonts w:ascii="Arial" w:eastAsia="Arial" w:hAnsi="Arial" w:cs="Arial"/>
          <w:iCs/>
          <w:color w:val="2F5496" w:themeColor="accent1" w:themeShade="BF"/>
          <w:lang w:val="x-none" w:eastAsia="es-MX"/>
        </w:rPr>
        <w:t>Para los efectos de la presente Ley se entenderá por:</w:t>
      </w:r>
    </w:p>
    <w:p w:rsidR="00063882" w:rsidRPr="00F01CA4" w:rsidRDefault="00063882" w:rsidP="00063882">
      <w:pPr>
        <w:spacing w:after="0"/>
        <w:ind w:left="709" w:right="993"/>
        <w:jc w:val="both"/>
        <w:rPr>
          <w:rFonts w:ascii="Arial" w:eastAsia="Arial" w:hAnsi="Arial" w:cs="Arial"/>
          <w:iCs/>
          <w:color w:val="2F5496" w:themeColor="accent1" w:themeShade="BF"/>
        </w:rPr>
      </w:pPr>
    </w:p>
    <w:p w:rsidR="00063882" w:rsidRPr="00F01CA4" w:rsidRDefault="00063882" w:rsidP="00063882">
      <w:pPr>
        <w:spacing w:after="0"/>
        <w:ind w:left="709" w:right="993"/>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w:t>
      </w:r>
    </w:p>
    <w:p w:rsidR="00063882" w:rsidRPr="00F01CA4" w:rsidRDefault="00063882" w:rsidP="00063882">
      <w:pPr>
        <w:spacing w:after="0"/>
        <w:ind w:left="709" w:right="993"/>
        <w:jc w:val="both"/>
        <w:rPr>
          <w:rFonts w:ascii="Arial" w:eastAsia="Arial" w:hAnsi="Arial" w:cs="Arial"/>
          <w:iCs/>
          <w:color w:val="2F5496" w:themeColor="accent1" w:themeShade="BF"/>
        </w:rPr>
      </w:pPr>
      <w:r w:rsidRPr="00F01CA4">
        <w:rPr>
          <w:rFonts w:ascii="Arial" w:eastAsia="Arial" w:hAnsi="Arial" w:cs="Arial"/>
          <w:b/>
          <w:bCs/>
          <w:iCs/>
          <w:color w:val="2F5496" w:themeColor="accent1" w:themeShade="BF"/>
        </w:rPr>
        <w:t xml:space="preserve">XII. Derecho de Acceso a la información pública: </w:t>
      </w:r>
      <w:r w:rsidRPr="00F01CA4">
        <w:rPr>
          <w:rFonts w:ascii="Arial" w:eastAsia="Arial" w:hAnsi="Arial" w:cs="Arial"/>
          <w:iCs/>
          <w:color w:val="2F5496" w:themeColor="accent1" w:themeShade="BF"/>
        </w:rPr>
        <w:t>derecho humano de las personas para acceder a la información pública en posesión de los sujetos obligados, en los términos de esta Ley;”</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Con el precepto anterior,</w:t>
      </w:r>
      <w:r w:rsidRPr="00F01CA4">
        <w:rPr>
          <w:rFonts w:ascii="Arial" w:eastAsia="Arial" w:hAnsi="Arial" w:cs="Arial"/>
          <w:iCs/>
          <w:color w:val="2F5496" w:themeColor="accent1" w:themeShade="BF"/>
          <w:lang w:val="es-ES" w:eastAsia="es-MX"/>
        </w:rPr>
        <w:t xml:space="preserve"> es posible definir en qué consiste el derecho al acceso a la información pública, el cual es un derecho humano que poseen las personas, por el cual tienen la posibilidad de acceder a la información pública en posesión de los sujetos obligados</w:t>
      </w:r>
      <w:r w:rsidRPr="00F01CA4">
        <w:rPr>
          <w:rFonts w:ascii="Arial" w:eastAsia="Arial" w:hAnsi="Arial" w:cs="Arial"/>
          <w:iCs/>
          <w:color w:val="2F5496" w:themeColor="accent1" w:themeShade="BF"/>
          <w:lang w:val="x-none" w:eastAsia="es-MX"/>
        </w:rPr>
        <w:t>.</w:t>
      </w:r>
    </w:p>
    <w:p w:rsidR="00063882" w:rsidRPr="00F01CA4" w:rsidRDefault="00063882" w:rsidP="00063882">
      <w:pPr>
        <w:spacing w:after="0"/>
        <w:jc w:val="both"/>
        <w:rPr>
          <w:rFonts w:ascii="Arial" w:eastAsia="Arial" w:hAnsi="Arial" w:cs="Arial"/>
          <w:iCs/>
          <w:color w:val="2F5496" w:themeColor="accent1" w:themeShade="BF"/>
        </w:rPr>
      </w:pPr>
    </w:p>
    <w:p w:rsidR="00063882" w:rsidRPr="00F01CA4" w:rsidRDefault="00063882" w:rsidP="00063882">
      <w:pPr>
        <w:spacing w:after="0"/>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hAnsi="Arial" w:cs="Arial"/>
          <w:iCs/>
          <w:color w:val="2F5496" w:themeColor="accent1" w:themeShade="BF"/>
          <w:lang w:val="es-ES"/>
        </w:rPr>
      </w:pPr>
      <w:r w:rsidRPr="00F01CA4">
        <w:rPr>
          <w:rFonts w:ascii="Arial" w:hAnsi="Arial" w:cs="Arial"/>
          <w:iCs/>
          <w:color w:val="2F5496" w:themeColor="accent1" w:themeShade="BF"/>
          <w:lang w:val="es-ES"/>
        </w:rPr>
        <w:t>Asimismo, resulta menester precisar lo estipulado por los artículos 4°, fracción y 18 de la Ley de Transparencia y Acceso a la Información Pública del Estado de San Luis Potosí</w:t>
      </w:r>
    </w:p>
    <w:p w:rsidR="00063882" w:rsidRPr="00F01CA4" w:rsidRDefault="00063882" w:rsidP="00063882">
      <w:pPr>
        <w:spacing w:after="0"/>
        <w:ind w:firstLine="708"/>
        <w:jc w:val="both"/>
        <w:rPr>
          <w:rFonts w:ascii="Arial" w:eastAsia="Arial" w:hAnsi="Arial" w:cs="Arial"/>
          <w:iCs/>
          <w:color w:val="2F5496" w:themeColor="accent1" w:themeShade="BF"/>
        </w:rPr>
      </w:pPr>
    </w:p>
    <w:p w:rsidR="00063882" w:rsidRPr="00F01CA4" w:rsidRDefault="00063882" w:rsidP="00063882">
      <w:pPr>
        <w:ind w:left="709" w:right="993" w:hanging="1"/>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lastRenderedPageBreak/>
        <w:t>[…]</w:t>
      </w:r>
    </w:p>
    <w:p w:rsidR="00063882" w:rsidRPr="00F01CA4" w:rsidRDefault="00063882" w:rsidP="00063882">
      <w:pPr>
        <w:tabs>
          <w:tab w:val="left" w:pos="7938"/>
        </w:tabs>
        <w:ind w:left="709" w:right="993" w:hanging="1"/>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ARTÍCULO 18. Los sujetos obligados deberán documentar todo acto que derive del ejercicio de sus facultades, competencias o funciones.</w:t>
      </w:r>
    </w:p>
    <w:p w:rsidR="00063882" w:rsidRPr="00F01CA4" w:rsidRDefault="00063882" w:rsidP="00063882">
      <w:pPr>
        <w:autoSpaceDE w:val="0"/>
        <w:autoSpaceDN w:val="0"/>
        <w:adjustRightInd w:val="0"/>
        <w:spacing w:after="0"/>
        <w:ind w:left="709" w:right="993"/>
        <w:jc w:val="both"/>
        <w:rPr>
          <w:rFonts w:ascii="Arial" w:hAnsi="Arial" w:cs="Arial"/>
          <w:iCs/>
          <w:color w:val="2F5496" w:themeColor="accent1" w:themeShade="BF"/>
        </w:rPr>
      </w:pPr>
      <w:r w:rsidRPr="00F01CA4">
        <w:rPr>
          <w:rFonts w:ascii="Arial" w:hAnsi="Arial" w:cs="Arial"/>
          <w:iCs/>
          <w:color w:val="2F5496" w:themeColor="accent1" w:themeShade="BF"/>
        </w:rPr>
        <w:t>ARTÍCULO 19.</w:t>
      </w:r>
      <w:r w:rsidRPr="00F01CA4">
        <w:rPr>
          <w:rFonts w:ascii="Arial" w:hAnsi="Arial" w:cs="Arial"/>
          <w:b/>
          <w:bCs/>
          <w:iCs/>
          <w:color w:val="2F5496" w:themeColor="accent1" w:themeShade="BF"/>
        </w:rPr>
        <w:t xml:space="preserve"> </w:t>
      </w:r>
      <w:r w:rsidRPr="00F01CA4">
        <w:rPr>
          <w:rFonts w:ascii="Arial" w:hAnsi="Arial" w:cs="Arial"/>
          <w:iCs/>
          <w:color w:val="2F5496" w:themeColor="accent1" w:themeShade="BF"/>
        </w:rPr>
        <w:t xml:space="preserve">Se presume que la información debe existir si se refiere a las facultades, competencias y funciones que los ordenamientos jurídicos aplicables otorgan a los sujetos obligados. </w:t>
      </w:r>
    </w:p>
    <w:p w:rsidR="00063882" w:rsidRPr="00F01CA4" w:rsidRDefault="00063882" w:rsidP="00063882">
      <w:pPr>
        <w:tabs>
          <w:tab w:val="left" w:pos="7938"/>
        </w:tabs>
        <w:ind w:left="709" w:right="993"/>
        <w:jc w:val="both"/>
        <w:rPr>
          <w:rFonts w:ascii="Arial" w:hAnsi="Arial" w:cs="Arial"/>
          <w:iCs/>
          <w:color w:val="2F5496" w:themeColor="accent1" w:themeShade="BF"/>
        </w:rPr>
      </w:pPr>
      <w:r w:rsidRPr="00F01CA4">
        <w:rPr>
          <w:rFonts w:ascii="Arial" w:hAnsi="Arial" w:cs="Arial"/>
          <w:iCs/>
          <w:color w:val="2F5496" w:themeColor="accent1" w:themeShade="BF"/>
        </w:rPr>
        <w:t>En los casos en que ciertas facultades, competencias o funciones no se hayan ejercido, se debe motivar la respuesta en función de las causas que motiven la inexistencia.</w:t>
      </w:r>
    </w:p>
    <w:p w:rsidR="00063882" w:rsidRPr="00F01CA4" w:rsidRDefault="00063882" w:rsidP="00063882">
      <w:pPr>
        <w:tabs>
          <w:tab w:val="left" w:pos="7938"/>
        </w:tabs>
        <w:ind w:left="709" w:right="993"/>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rsidR="00063882" w:rsidRPr="00F01CA4" w:rsidRDefault="00063882" w:rsidP="00063882">
      <w:pPr>
        <w:tabs>
          <w:tab w:val="left" w:pos="7938"/>
        </w:tabs>
        <w:ind w:left="709" w:right="993"/>
        <w:jc w:val="both"/>
        <w:rPr>
          <w:rFonts w:ascii="Arial" w:eastAsia="Arial" w:hAnsi="Arial" w:cs="Arial"/>
          <w:iCs/>
          <w:color w:val="2F5496" w:themeColor="accent1" w:themeShade="BF"/>
        </w:rPr>
      </w:pPr>
    </w:p>
    <w:p w:rsidR="00063882" w:rsidRPr="00F01CA4" w:rsidRDefault="00063882" w:rsidP="00063882">
      <w:pPr>
        <w:tabs>
          <w:tab w:val="left" w:pos="7938"/>
        </w:tabs>
        <w:ind w:left="709" w:right="993"/>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En el caso de que la información solicitada consista en bases de datos se deberá privilegiar la entrega de la misma en Formatos Abiertos.</w:t>
      </w:r>
    </w:p>
    <w:p w:rsidR="00063882" w:rsidRPr="00F01CA4" w:rsidRDefault="00063882" w:rsidP="00063882">
      <w:pPr>
        <w:tabs>
          <w:tab w:val="left" w:pos="7938"/>
        </w:tabs>
        <w:ind w:left="709" w:right="993"/>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b/>
      </w:r>
    </w:p>
    <w:p w:rsidR="00063882" w:rsidRPr="00F01CA4" w:rsidRDefault="00063882" w:rsidP="00063882">
      <w:pPr>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b/>
        <w:t>Conforme a lo anterior, el acceso a la información comprende la solicitud, el investigar, difundir buscar y recibir información; señala que toda la información que se encuentra en posesión de los sujetos obligados se considera pública y por ende se puede tener acceso a ella y solo podrá ser clasificada en los casos de reserva señalados en la Ley de la materia; por su parte el artículo 18 de la Ley de la Matera, establece que los sujetos obligados tienen la obligación de documentar todas las actuaciones que se deriven del ejercicio de sus funciones, competencias y facultades; y, el último de los preceptos anteriores citados, se aduce que la información puede existir si de las facultades competencias y funciones se advierte la posibilidad de generarlas.</w:t>
      </w:r>
    </w:p>
    <w:p w:rsidR="00063882" w:rsidRPr="00F01CA4" w:rsidRDefault="00063882" w:rsidP="00063882">
      <w:pPr>
        <w:jc w:val="both"/>
        <w:rPr>
          <w:rFonts w:ascii="Arial" w:eastAsia="Arial" w:hAnsi="Arial" w:cs="Arial"/>
          <w:iCs/>
          <w:color w:val="2F5496" w:themeColor="accent1" w:themeShade="BF"/>
        </w:rPr>
      </w:pP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De igual forma, es importante precisar lo establecido en el artículo 12, fracción I, inciso e y fracción III, inciso b, del Reglamento Interior del Organismo Descentralizado Denominado Servicios de Salud de San Luis Potosí, </w:t>
      </w:r>
      <w:r w:rsidRPr="00F01CA4">
        <w:rPr>
          <w:rFonts w:ascii="Arial" w:hAnsi="Arial" w:cs="Arial"/>
          <w:bCs/>
          <w:iCs/>
          <w:color w:val="2F5496" w:themeColor="accent1" w:themeShade="BF"/>
        </w:rPr>
        <w:t>los cuales a la letra dicen lo siguiente:</w:t>
      </w:r>
      <w:r w:rsidRPr="00F01CA4">
        <w:rPr>
          <w:rFonts w:ascii="Arial" w:eastAsia="Arial" w:hAnsi="Arial" w:cs="Arial"/>
          <w:iCs/>
          <w:color w:val="2F5496" w:themeColor="accent1" w:themeShade="BF"/>
        </w:rPr>
        <w:t xml:space="preserve"> </w:t>
      </w:r>
    </w:p>
    <w:p w:rsidR="00063882" w:rsidRPr="00F01CA4" w:rsidRDefault="00063882" w:rsidP="00063882">
      <w:pPr>
        <w:ind w:left="709" w:right="993"/>
        <w:jc w:val="both"/>
        <w:rPr>
          <w:rFonts w:ascii="Arial" w:eastAsia="Arial" w:hAnsi="Arial" w:cs="Arial"/>
          <w:iCs/>
          <w:color w:val="2F5496" w:themeColor="accent1" w:themeShade="BF"/>
        </w:rPr>
      </w:pPr>
      <w:r w:rsidRPr="00F01CA4">
        <w:rPr>
          <w:rFonts w:ascii="Arial" w:eastAsia="Arial" w:hAnsi="Arial" w:cs="Arial"/>
          <w:b/>
          <w:bCs/>
          <w:iCs/>
          <w:color w:val="2F5496" w:themeColor="accent1" w:themeShade="BF"/>
        </w:rPr>
        <w:t xml:space="preserve">“ARTÍCULO 12. </w:t>
      </w:r>
      <w:r w:rsidRPr="00F01CA4">
        <w:rPr>
          <w:rFonts w:ascii="Arial" w:eastAsia="Arial" w:hAnsi="Arial" w:cs="Arial"/>
          <w:iCs/>
          <w:color w:val="2F5496" w:themeColor="accent1" w:themeShade="BF"/>
        </w:rPr>
        <w:t>Los integrantes de la Junta de Gobierno tendrán las siguientes facultades específicas:</w:t>
      </w:r>
    </w:p>
    <w:p w:rsidR="00063882" w:rsidRPr="00F01CA4" w:rsidRDefault="00063882" w:rsidP="00A963DE">
      <w:pPr>
        <w:numPr>
          <w:ilvl w:val="0"/>
          <w:numId w:val="3"/>
        </w:numPr>
        <w:spacing w:after="160" w:line="259" w:lineRule="auto"/>
        <w:ind w:right="993"/>
        <w:contextualSpacing/>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El Presidente:</w:t>
      </w:r>
    </w:p>
    <w:p w:rsidR="00063882" w:rsidRPr="00F01CA4" w:rsidRDefault="00063882" w:rsidP="00063882">
      <w:pPr>
        <w:ind w:left="1429" w:right="993"/>
        <w:contextualSpacing/>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w:t>
      </w:r>
    </w:p>
    <w:p w:rsidR="00063882" w:rsidRPr="00F01CA4" w:rsidRDefault="00063882" w:rsidP="00063882">
      <w:pPr>
        <w:ind w:left="1429" w:right="993"/>
        <w:contextualSpacing/>
        <w:jc w:val="both"/>
        <w:rPr>
          <w:rFonts w:ascii="Arial" w:eastAsia="Arial" w:hAnsi="Arial" w:cs="Arial"/>
          <w:iCs/>
          <w:color w:val="2F5496" w:themeColor="accent1" w:themeShade="BF"/>
        </w:rPr>
      </w:pPr>
      <w:r w:rsidRPr="00F01CA4">
        <w:rPr>
          <w:rFonts w:ascii="Arial" w:eastAsia="Arial" w:hAnsi="Arial" w:cs="Arial"/>
          <w:b/>
          <w:bCs/>
          <w:iCs/>
          <w:color w:val="2F5496" w:themeColor="accent1" w:themeShade="BF"/>
        </w:rPr>
        <w:t xml:space="preserve">e. </w:t>
      </w:r>
      <w:r w:rsidRPr="00F01CA4">
        <w:rPr>
          <w:rFonts w:ascii="Arial" w:eastAsia="Arial" w:hAnsi="Arial" w:cs="Arial"/>
          <w:iCs/>
          <w:color w:val="2F5496" w:themeColor="accent1" w:themeShade="BF"/>
        </w:rPr>
        <w:t>Elaborar, por conducto del Secretario Técnico, las convocatorias a las sesiones ordinarias y extraordinarias, el orden del día de los asuntos que deban tratarse en dichas sesiones y las actas correspondientes a las mismas, las que presentara para que en su caso sean aprobadas por la Junta de Gobierno;</w:t>
      </w:r>
    </w:p>
    <w:p w:rsidR="00063882" w:rsidRPr="00F01CA4" w:rsidRDefault="00063882" w:rsidP="00063882">
      <w:pPr>
        <w:ind w:left="1429" w:right="993"/>
        <w:contextualSpacing/>
        <w:jc w:val="both"/>
        <w:rPr>
          <w:rFonts w:ascii="Arial" w:eastAsia="Arial" w:hAnsi="Arial" w:cs="Arial"/>
          <w:iCs/>
          <w:color w:val="2F5496" w:themeColor="accent1" w:themeShade="BF"/>
        </w:rPr>
      </w:pPr>
      <w:r w:rsidRPr="00F01CA4">
        <w:rPr>
          <w:rFonts w:ascii="Arial" w:eastAsia="Arial" w:hAnsi="Arial" w:cs="Arial"/>
          <w:b/>
          <w:bCs/>
          <w:iCs/>
          <w:color w:val="2F5496" w:themeColor="accent1" w:themeShade="BF"/>
        </w:rPr>
        <w:t xml:space="preserve">III. </w:t>
      </w:r>
      <w:r w:rsidRPr="00F01CA4">
        <w:rPr>
          <w:rFonts w:ascii="Arial" w:eastAsia="Arial" w:hAnsi="Arial" w:cs="Arial"/>
          <w:iCs/>
          <w:color w:val="2F5496" w:themeColor="accent1" w:themeShade="BF"/>
        </w:rPr>
        <w:t>El Secretario Técnico:</w:t>
      </w:r>
    </w:p>
    <w:p w:rsidR="00063882" w:rsidRPr="00F01CA4" w:rsidRDefault="00063882" w:rsidP="00063882">
      <w:pPr>
        <w:ind w:left="1429" w:right="993"/>
        <w:contextualSpacing/>
        <w:jc w:val="both"/>
        <w:rPr>
          <w:rFonts w:ascii="Arial" w:eastAsia="Arial" w:hAnsi="Arial" w:cs="Arial"/>
          <w:iCs/>
          <w:color w:val="2F5496" w:themeColor="accent1" w:themeShade="BF"/>
        </w:rPr>
      </w:pPr>
      <w:r w:rsidRPr="00F01CA4">
        <w:rPr>
          <w:rFonts w:ascii="Arial" w:eastAsia="Arial" w:hAnsi="Arial" w:cs="Arial"/>
          <w:b/>
          <w:bCs/>
          <w:iCs/>
          <w:color w:val="2F5496" w:themeColor="accent1" w:themeShade="BF"/>
        </w:rPr>
        <w:t xml:space="preserve">b. </w:t>
      </w:r>
      <w:r w:rsidRPr="00F01CA4">
        <w:rPr>
          <w:rFonts w:ascii="Arial" w:eastAsia="Arial" w:hAnsi="Arial" w:cs="Arial"/>
          <w:iCs/>
          <w:color w:val="2F5496" w:themeColor="accent1" w:themeShade="BF"/>
        </w:rPr>
        <w:t>Asistir a las sesiones de la Junta de Gobierno y levantar las actas correspondientes, debiendo recabar la firma de las mismas;</w:t>
      </w:r>
    </w:p>
    <w:p w:rsidR="00063882" w:rsidRPr="00F01CA4" w:rsidRDefault="00063882" w:rsidP="00063882">
      <w:pPr>
        <w:ind w:left="1429" w:right="993"/>
        <w:contextualSpacing/>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lastRenderedPageBreak/>
        <w:t>[…]”</w:t>
      </w:r>
    </w:p>
    <w:p w:rsidR="00063882" w:rsidRPr="00F01CA4" w:rsidRDefault="00063882" w:rsidP="00063882">
      <w:pPr>
        <w:ind w:left="709" w:right="993"/>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w:t>
      </w:r>
    </w:p>
    <w:p w:rsidR="00063882" w:rsidRPr="00F01CA4" w:rsidRDefault="00063882" w:rsidP="00063882">
      <w:pPr>
        <w:ind w:firstLine="567"/>
        <w:jc w:val="both"/>
        <w:rPr>
          <w:rFonts w:ascii="Arial" w:hAnsi="Arial" w:cs="Arial"/>
          <w:bCs/>
          <w:iCs/>
          <w:color w:val="2F5496" w:themeColor="accent1" w:themeShade="BF"/>
        </w:rPr>
      </w:pPr>
      <w:r w:rsidRPr="00F01CA4">
        <w:rPr>
          <w:rFonts w:ascii="Arial" w:eastAsia="Arial" w:hAnsi="Arial" w:cs="Arial"/>
          <w:iCs/>
          <w:color w:val="2F5496" w:themeColor="accent1" w:themeShade="BF"/>
        </w:rPr>
        <w:t>Del anterior precepto, se advierte que el Presidente de la  Junta de Gobierno, tiene la obligación de elaborar las convocatorias a las sesiones ordinarias y extraordinarias de la Junta de Gobierno, así como las respectivas actas, mismas que deberán presentarse para su aprobación, ante la propia Junta de Gobierno; lo anterior, a través del Secretario Técnico, el cual, por su parte tiene el deber de asistir a las sesiones de la Junta de Gobierno y levantar las actas correspondientes, debiendo recabar las firmas de las mismas</w:t>
      </w:r>
      <w:r w:rsidRPr="00F01CA4">
        <w:rPr>
          <w:rFonts w:ascii="Arial" w:hAnsi="Arial" w:cs="Arial"/>
          <w:bCs/>
          <w:iCs/>
          <w:color w:val="2F5496" w:themeColor="accent1" w:themeShade="BF"/>
        </w:rPr>
        <w:t>.</w:t>
      </w:r>
    </w:p>
    <w:p w:rsidR="00063882" w:rsidRPr="00F01CA4" w:rsidRDefault="00063882" w:rsidP="00063882">
      <w:pPr>
        <w:ind w:firstLine="567"/>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Ahora bien, el sujeto obligado, al momento de elaborar su contestación a la solicitud de información del ahora recurrente manifestó que la minuta</w:t>
      </w:r>
      <w:r w:rsidRPr="00F01CA4">
        <w:rPr>
          <w:rFonts w:ascii="Arial" w:eastAsia="Arial" w:hAnsi="Arial" w:cs="Arial"/>
          <w:iCs/>
          <w:color w:val="2F5496" w:themeColor="accent1" w:themeShade="BF"/>
          <w:vertAlign w:val="superscript"/>
        </w:rPr>
        <w:footnoteReference w:id="1"/>
      </w:r>
      <w:r w:rsidRPr="00F01CA4">
        <w:rPr>
          <w:rFonts w:ascii="Arial" w:eastAsia="Arial" w:hAnsi="Arial" w:cs="Arial"/>
          <w:iCs/>
          <w:color w:val="2F5496" w:themeColor="accent1" w:themeShade="BF"/>
        </w:rPr>
        <w:t xml:space="preserve"> (por ser la versión previa a la aprobación del Acta solicitada por el ahora recurrente), había sido remitida a los miembros de la Junta de Gobierno, para su aprobación y firma.</w:t>
      </w:r>
    </w:p>
    <w:p w:rsidR="00063882" w:rsidRPr="00F01CA4" w:rsidRDefault="00063882" w:rsidP="00063882">
      <w:pPr>
        <w:ind w:firstLine="567"/>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Así entonces, con lo antes transcrito, es posible decir que el sujeto obligado tiene la facultad para emitir la información solicitada por el ahora recurrente, misma que de conformidad con la Ley de la Materia, hace presumible la existencia de la misma, pues, de lo que se aprecia en los numerales 18, 19 y 151, de la Ley de la materia, los sujetos obligados deberán otorgar acceso a la información que contengan en sus archivos, que hayan sido generados, a partir del ejercicio de las facultades propias del sujeto obligado. </w:t>
      </w:r>
    </w:p>
    <w:p w:rsidR="00063882" w:rsidRPr="00F01CA4" w:rsidRDefault="00063882" w:rsidP="00063882">
      <w:pPr>
        <w:ind w:firstLine="567"/>
        <w:jc w:val="both"/>
        <w:rPr>
          <w:rFonts w:ascii="Arial" w:eastAsia="Arial" w:hAnsi="Arial" w:cs="Arial"/>
          <w:iCs/>
          <w:color w:val="2F5496" w:themeColor="accent1" w:themeShade="BF"/>
        </w:rPr>
      </w:pP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Ahora bien, como ha quedado precisado, el sujeto obligado cuenta con las facultades para emitir documentos que contengan la información solicitada por el ahora recurrente, razón por la cual, de conformidad con lo establecido en la Ley de la materia, el sujeto obligado debió atender lo estipulado por los numerales 52, fracciones II y III, 160 y 161, de la Ley de Transparencia y Acceso a la Información Pública del Estado de San Luis Potosí, a saber:</w:t>
      </w:r>
    </w:p>
    <w:p w:rsidR="00063882" w:rsidRPr="00F01CA4" w:rsidRDefault="00063882" w:rsidP="00063882">
      <w:pPr>
        <w:ind w:firstLine="567"/>
        <w:jc w:val="both"/>
        <w:rPr>
          <w:rFonts w:ascii="Arial" w:eastAsia="Arial" w:hAnsi="Arial" w:cs="Arial"/>
          <w:iCs/>
          <w:color w:val="2F5496" w:themeColor="accent1" w:themeShade="BF"/>
        </w:rPr>
      </w:pP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 xml:space="preserve">ARTÍCULO 52. </w:t>
      </w:r>
      <w:r w:rsidRPr="00F01CA4">
        <w:rPr>
          <w:rFonts w:ascii="Arial" w:hAnsi="Arial" w:cs="Arial"/>
          <w:b/>
          <w:bCs/>
          <w:iCs/>
          <w:color w:val="2F5496" w:themeColor="accent1" w:themeShade="BF"/>
        </w:rPr>
        <w:t>Cada Comité de Transparencia tendrá las siguientes funciones</w:t>
      </w:r>
      <w:r w:rsidRPr="00F01CA4">
        <w:rPr>
          <w:rFonts w:ascii="Arial" w:hAnsi="Arial" w:cs="Arial"/>
          <w:iCs/>
          <w:color w:val="2F5496" w:themeColor="accent1" w:themeShade="BF"/>
        </w:rPr>
        <w:t>:</w:t>
      </w: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w:t>
      </w: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 xml:space="preserve">II. Confirmar, modificar o revocar las determinaciones que en materia de ampliación del plazo de respuesta, clasificación de la información y </w:t>
      </w:r>
      <w:r w:rsidRPr="00F01CA4">
        <w:rPr>
          <w:rFonts w:ascii="Arial" w:hAnsi="Arial" w:cs="Arial"/>
          <w:b/>
          <w:bCs/>
          <w:iCs/>
          <w:color w:val="2F5496" w:themeColor="accent1" w:themeShade="BF"/>
        </w:rPr>
        <w:t>declaración de inexistencia</w:t>
      </w:r>
      <w:r w:rsidRPr="00F01CA4">
        <w:rPr>
          <w:rFonts w:ascii="Arial" w:hAnsi="Arial" w:cs="Arial"/>
          <w:iCs/>
          <w:color w:val="2F5496" w:themeColor="accent1" w:themeShade="BF"/>
        </w:rPr>
        <w:t xml:space="preserve"> o de incompetencia realicen los titulares de las áreas de los sujetos obligados; </w:t>
      </w:r>
    </w:p>
    <w:p w:rsidR="00063882" w:rsidRPr="00F01CA4" w:rsidRDefault="00063882" w:rsidP="00063882">
      <w:pPr>
        <w:spacing w:after="0"/>
        <w:ind w:left="567" w:right="616" w:hanging="1"/>
        <w:jc w:val="both"/>
        <w:rPr>
          <w:rFonts w:ascii="Arial" w:hAnsi="Arial" w:cs="Arial"/>
          <w:iCs/>
          <w:color w:val="2F5496" w:themeColor="accent1" w:themeShade="BF"/>
        </w:rPr>
      </w:pP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 xml:space="preserve">III. </w:t>
      </w:r>
      <w:r w:rsidRPr="00F01CA4">
        <w:rPr>
          <w:rFonts w:ascii="Arial" w:hAnsi="Arial" w:cs="Arial"/>
          <w:b/>
          <w:bCs/>
          <w:iCs/>
          <w:color w:val="2F5496" w:themeColor="accent1" w:themeShade="BF"/>
        </w:rPr>
        <w:t>Ordenar</w:t>
      </w:r>
      <w:r w:rsidRPr="00F01CA4">
        <w:rPr>
          <w:rFonts w:ascii="Arial" w:hAnsi="Arial" w:cs="Arial"/>
          <w:iCs/>
          <w:color w:val="2F5496" w:themeColor="accent1" w:themeShade="BF"/>
        </w:rPr>
        <w:t>, en su caso</w:t>
      </w:r>
      <w:r w:rsidRPr="00F01CA4">
        <w:rPr>
          <w:rFonts w:ascii="Arial" w:hAnsi="Arial" w:cs="Arial"/>
          <w:b/>
          <w:bCs/>
          <w:iCs/>
          <w:color w:val="2F5496" w:themeColor="accent1" w:themeShade="BF"/>
        </w:rPr>
        <w:t>, a las áreas competentes que generen la información que derivado de sus facultades, competencias y funciones deban tener en posesión</w:t>
      </w:r>
      <w:r w:rsidRPr="00F01CA4">
        <w:rPr>
          <w:rFonts w:ascii="Arial" w:hAnsi="Arial" w:cs="Arial"/>
          <w:iCs/>
          <w:color w:val="2F5496" w:themeColor="accent1" w:themeShade="BF"/>
        </w:rPr>
        <w:t xml:space="preserve"> o que previa acreditación de la imposibilidad de su generación, </w:t>
      </w:r>
      <w:r w:rsidRPr="00F01CA4">
        <w:rPr>
          <w:rFonts w:ascii="Arial" w:hAnsi="Arial" w:cs="Arial"/>
          <w:b/>
          <w:bCs/>
          <w:iCs/>
          <w:color w:val="2F5496" w:themeColor="accent1" w:themeShade="BF"/>
        </w:rPr>
        <w:t>exponga, de forma fundada y motivada, las razones por las cuales, en el caso particular, no ejercieron dichas facultades, competencias o funciones</w:t>
      </w:r>
      <w:r w:rsidRPr="00F01CA4">
        <w:rPr>
          <w:rFonts w:ascii="Arial" w:hAnsi="Arial" w:cs="Arial"/>
          <w:iCs/>
          <w:color w:val="2F5496" w:themeColor="accent1" w:themeShade="BF"/>
        </w:rPr>
        <w:t>;</w:t>
      </w: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w:t>
      </w: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lastRenderedPageBreak/>
        <w:t xml:space="preserve">Artículo 160. </w:t>
      </w:r>
      <w:r w:rsidRPr="00F01CA4">
        <w:rPr>
          <w:rFonts w:ascii="Arial" w:hAnsi="Arial" w:cs="Arial"/>
          <w:b/>
          <w:bCs/>
          <w:iCs/>
          <w:color w:val="2F5496" w:themeColor="accent1" w:themeShade="BF"/>
        </w:rPr>
        <w:t>Cuando la información no se encuentre en los archivos del sujeto obligado, el Comité de Transparencia</w:t>
      </w:r>
      <w:r w:rsidRPr="00F01CA4">
        <w:rPr>
          <w:rFonts w:ascii="Arial" w:hAnsi="Arial" w:cs="Arial"/>
          <w:iCs/>
          <w:color w:val="2F5496" w:themeColor="accent1" w:themeShade="BF"/>
        </w:rPr>
        <w:t xml:space="preserve">: </w:t>
      </w:r>
    </w:p>
    <w:p w:rsidR="00063882" w:rsidRPr="00F01CA4" w:rsidRDefault="00063882" w:rsidP="00063882">
      <w:pPr>
        <w:spacing w:after="0"/>
        <w:ind w:left="567" w:right="616" w:hanging="1"/>
        <w:jc w:val="both"/>
        <w:rPr>
          <w:rFonts w:ascii="Arial" w:hAnsi="Arial" w:cs="Arial"/>
          <w:iCs/>
          <w:color w:val="2F5496" w:themeColor="accent1" w:themeShade="BF"/>
        </w:rPr>
      </w:pP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 xml:space="preserve">Fracción I. </w:t>
      </w:r>
      <w:r w:rsidRPr="00F01CA4">
        <w:rPr>
          <w:rFonts w:ascii="Arial" w:hAnsi="Arial" w:cs="Arial"/>
          <w:iCs/>
          <w:color w:val="2F5496" w:themeColor="accent1" w:themeShade="BF"/>
          <w:u w:val="single"/>
        </w:rPr>
        <w:t>Analizará el caso y tomará las medidas necesarias para localizar la información</w:t>
      </w:r>
      <w:r w:rsidRPr="00F01CA4">
        <w:rPr>
          <w:rFonts w:ascii="Arial" w:hAnsi="Arial" w:cs="Arial"/>
          <w:iCs/>
          <w:color w:val="2F5496" w:themeColor="accent1" w:themeShade="BF"/>
        </w:rPr>
        <w:t>; </w:t>
      </w:r>
    </w:p>
    <w:p w:rsidR="00063882" w:rsidRPr="00F01CA4" w:rsidRDefault="00063882" w:rsidP="00063882">
      <w:pPr>
        <w:spacing w:after="0"/>
        <w:ind w:left="567" w:right="616" w:hanging="1"/>
        <w:jc w:val="both"/>
        <w:rPr>
          <w:rFonts w:ascii="Arial" w:hAnsi="Arial" w:cs="Arial"/>
          <w:iCs/>
          <w:color w:val="2F5496" w:themeColor="accent1" w:themeShade="BF"/>
        </w:rPr>
      </w:pP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 xml:space="preserve">Fracción Il. </w:t>
      </w:r>
      <w:r w:rsidRPr="00F01CA4">
        <w:rPr>
          <w:rFonts w:ascii="Arial" w:hAnsi="Arial" w:cs="Arial"/>
          <w:iCs/>
          <w:color w:val="2F5496" w:themeColor="accent1" w:themeShade="BF"/>
          <w:u w:val="single"/>
        </w:rPr>
        <w:t>Ordenará, siempre que sea materialmente posible, que se genere o se reponga la información</w:t>
      </w:r>
      <w:r w:rsidRPr="00F01CA4">
        <w:rPr>
          <w:rFonts w:ascii="Arial" w:hAnsi="Arial" w:cs="Arial"/>
          <w:iCs/>
          <w:color w:val="2F5496" w:themeColor="accent1" w:themeShade="BF"/>
        </w:rPr>
        <w:t xml:space="preserve"> en caso de que esta tuviera que existir en la medida que deriva del ejercicio de sus facultades, competencias o funciones, </w:t>
      </w:r>
      <w:r w:rsidRPr="00F01CA4">
        <w:rPr>
          <w:rFonts w:ascii="Arial" w:hAnsi="Arial" w:cs="Arial"/>
          <w:iCs/>
          <w:color w:val="2F5496" w:themeColor="accent1" w:themeShade="BF"/>
          <w:u w:val="single"/>
        </w:rPr>
        <w:t>o que previa acreditación de la imposibilidad de su generación, exponga de forma fundada y motivada, las razones por las cuales en el caso particular no ejerció dichas facultades, competencias o funciones, lo cual notificará al solicitante a través de la Unidad de Transparencia</w:t>
      </w:r>
      <w:r w:rsidRPr="00F01CA4">
        <w:rPr>
          <w:rFonts w:ascii="Arial" w:hAnsi="Arial" w:cs="Arial"/>
          <w:iCs/>
          <w:color w:val="2F5496" w:themeColor="accent1" w:themeShade="BF"/>
        </w:rPr>
        <w:t>, y </w:t>
      </w:r>
    </w:p>
    <w:p w:rsidR="00063882" w:rsidRPr="00F01CA4" w:rsidRDefault="00063882" w:rsidP="00063882">
      <w:pPr>
        <w:spacing w:after="0"/>
        <w:ind w:left="567" w:right="616" w:hanging="1"/>
        <w:jc w:val="both"/>
        <w:rPr>
          <w:rFonts w:ascii="Arial" w:hAnsi="Arial" w:cs="Arial"/>
          <w:iCs/>
          <w:color w:val="2F5496" w:themeColor="accent1" w:themeShade="BF"/>
        </w:rPr>
      </w:pP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III</w:t>
      </w:r>
      <w:r w:rsidRPr="00F01CA4">
        <w:rPr>
          <w:rFonts w:ascii="Arial" w:hAnsi="Arial" w:cs="Arial"/>
          <w:iCs/>
          <w:color w:val="2F5496" w:themeColor="accent1" w:themeShade="BF"/>
          <w:u w:val="single"/>
        </w:rPr>
        <w:t>. Ordenará, siempre que sea materialmente posible, que se genere o se reponga la información en caso de que ésta tuviera que existir en la medida que deriva del ejercicio de sus facultades, competencias o funciones</w:t>
      </w:r>
      <w:r w:rsidRPr="00F01CA4">
        <w:rPr>
          <w:rFonts w:ascii="Arial" w:hAnsi="Arial" w:cs="Arial"/>
          <w:iCs/>
          <w:color w:val="2F5496" w:themeColor="accent1" w:themeShade="BF"/>
        </w:rPr>
        <w:t>,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rsidR="00063882" w:rsidRPr="00F01CA4" w:rsidRDefault="00063882" w:rsidP="00063882">
      <w:pPr>
        <w:spacing w:after="0"/>
        <w:ind w:left="567" w:right="616" w:hanging="1"/>
        <w:jc w:val="both"/>
        <w:rPr>
          <w:rFonts w:ascii="Arial" w:hAnsi="Arial" w:cs="Arial"/>
          <w:iCs/>
          <w:color w:val="2F5496" w:themeColor="accent1" w:themeShade="BF"/>
        </w:rPr>
      </w:pP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 xml:space="preserve">Fracción IV. </w:t>
      </w:r>
      <w:r w:rsidRPr="00F01CA4">
        <w:rPr>
          <w:rFonts w:ascii="Arial" w:hAnsi="Arial" w:cs="Arial"/>
          <w:iCs/>
          <w:color w:val="2F5496" w:themeColor="accent1" w:themeShade="BF"/>
          <w:u w:val="single"/>
        </w:rPr>
        <w:t>Notificará al órgano interno de control o equivalente del sujeto obligado quien, en su caso, deberá iniciar el procedimiento de responsabilidad administrativa que corresponda</w:t>
      </w:r>
      <w:r w:rsidRPr="00F01CA4">
        <w:rPr>
          <w:rFonts w:ascii="Arial" w:hAnsi="Arial" w:cs="Arial"/>
          <w:iCs/>
          <w:color w:val="2F5496" w:themeColor="accent1" w:themeShade="BF"/>
        </w:rPr>
        <w:t>.</w:t>
      </w:r>
    </w:p>
    <w:p w:rsidR="00063882" w:rsidRPr="00F01CA4" w:rsidRDefault="00063882" w:rsidP="00063882">
      <w:pPr>
        <w:spacing w:after="0"/>
        <w:ind w:left="567" w:right="616" w:hanging="1"/>
        <w:jc w:val="both"/>
        <w:rPr>
          <w:rFonts w:ascii="Arial" w:hAnsi="Arial" w:cs="Arial"/>
          <w:iCs/>
          <w:color w:val="2F5496" w:themeColor="accent1" w:themeShade="BF"/>
        </w:rPr>
      </w:pPr>
    </w:p>
    <w:p w:rsidR="00063882" w:rsidRPr="00F01CA4" w:rsidRDefault="00063882" w:rsidP="00063882">
      <w:pPr>
        <w:spacing w:after="0"/>
        <w:ind w:left="567" w:right="616" w:hanging="1"/>
        <w:jc w:val="both"/>
        <w:rPr>
          <w:rFonts w:ascii="Arial" w:hAnsi="Arial" w:cs="Arial"/>
          <w:iCs/>
          <w:color w:val="2F5496" w:themeColor="accent1" w:themeShade="BF"/>
        </w:rPr>
      </w:pPr>
      <w:r w:rsidRPr="00F01CA4">
        <w:rPr>
          <w:rFonts w:ascii="Arial" w:hAnsi="Arial" w:cs="Arial"/>
          <w:iCs/>
          <w:color w:val="2F5496" w:themeColor="accent1" w:themeShade="BF"/>
        </w:rPr>
        <w:t xml:space="preserve">ARTÍCULO 161. </w:t>
      </w:r>
      <w:r w:rsidRPr="00F01CA4">
        <w:rPr>
          <w:rFonts w:ascii="Arial" w:hAnsi="Arial" w:cs="Arial"/>
          <w:iCs/>
          <w:color w:val="2F5496" w:themeColor="accent1" w:themeShade="BF"/>
          <w:u w:val="single"/>
        </w:rPr>
        <w:t>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r w:rsidRPr="00F01CA4">
        <w:rPr>
          <w:rFonts w:ascii="Arial" w:hAnsi="Arial" w:cs="Arial"/>
          <w:iCs/>
          <w:color w:val="2F5496" w:themeColor="accent1" w:themeShade="BF"/>
        </w:rPr>
        <w:t>. </w:t>
      </w:r>
    </w:p>
    <w:p w:rsidR="00063882" w:rsidRPr="00F01CA4" w:rsidRDefault="00063882" w:rsidP="00063882">
      <w:pPr>
        <w:spacing w:after="0"/>
        <w:ind w:firstLine="708"/>
        <w:jc w:val="both"/>
        <w:rPr>
          <w:rFonts w:ascii="Arial" w:hAnsi="Arial" w:cs="Arial"/>
          <w:iCs/>
          <w:color w:val="2F5496" w:themeColor="accent1" w:themeShade="BF"/>
        </w:rPr>
      </w:pP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Así entonces, de lo anterior se advierten los conceptos básicos para comprender los alcances de la solicitud de información que en el asunto nos ocupa, las obligaciones con las que cuenta el Sujeto Obligado en cuanto a la generación y publicación de los documentos para dar acceso a la ciudadanía a la información generada por el Sujeto Obligado, los supuestos por los cuales el sujeto obligado debe generar información, así como los procedimientos a realizar en caso de que dicha información se encuentre como “desaparecida”, asimismo, que en caso de que sea necesaria la declaración formal de inexistencia, la resolución que declare la inexistencia de la información, deberá contar con algunas características fundamentales, entre las cuales se encuentra: 1. Realizar las gestiones necesarias para localizar la información; 2. Ordenará la reposición de la información siempre que esto sea posible, o que previa acreditación de la imposibilidad de su reposición exponga de manera fundada y motivada las razones por las cuales en el caso en concreto no ejerció dichas facultades; 3. Notificará a la unidad administrativa que corresponda, para la posible imposición de una responsabilidad administrativa.</w:t>
      </w:r>
    </w:p>
    <w:p w:rsidR="00063882" w:rsidRPr="00F01CA4" w:rsidRDefault="00063882" w:rsidP="00063882">
      <w:pPr>
        <w:ind w:firstLine="567"/>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Así, el sujeto obligado, en el caso en concreto, manifestó que dicha acta no se encontraba disponible para su entrega, pues la misma se encontraba en etapa de aprobación, para su firma; por lo cual, toda vez que de conformidad con el artículo 164 del Código de Procedimientos Administrativos para el Estado de San Luis potosí, es un </w:t>
      </w:r>
      <w:r w:rsidRPr="00F01CA4">
        <w:rPr>
          <w:rFonts w:ascii="Arial" w:eastAsia="Arial" w:hAnsi="Arial" w:cs="Arial"/>
          <w:iCs/>
          <w:color w:val="2F5496" w:themeColor="accent1" w:themeShade="BF"/>
        </w:rPr>
        <w:lastRenderedPageBreak/>
        <w:t>elemento del Acto Administrativo, el encontrarse firmado por autoridad competente</w:t>
      </w:r>
      <w:r w:rsidRPr="00F01CA4">
        <w:rPr>
          <w:rFonts w:ascii="Arial" w:eastAsia="Arial" w:hAnsi="Arial" w:cs="Arial"/>
          <w:iCs/>
          <w:color w:val="2F5496" w:themeColor="accent1" w:themeShade="BF"/>
          <w:vertAlign w:val="superscript"/>
        </w:rPr>
        <w:footnoteReference w:id="2"/>
      </w:r>
      <w:r w:rsidRPr="00F01CA4">
        <w:rPr>
          <w:rFonts w:ascii="Arial" w:eastAsia="Arial" w:hAnsi="Arial" w:cs="Arial"/>
          <w:iCs/>
          <w:color w:val="2F5496" w:themeColor="accent1" w:themeShade="BF"/>
        </w:rPr>
        <w:t>, el carecer de las firmas respectivas se asemeja a la nada jurídica, situación que devendría en la necesidad de declarar la inexistencia formal de la información solicitada, hasta en tanto, esta haya sido debidamente aprobada.</w:t>
      </w:r>
    </w:p>
    <w:p w:rsidR="00063882" w:rsidRPr="00F01CA4" w:rsidRDefault="00063882" w:rsidP="00063882">
      <w:pPr>
        <w:ind w:firstLine="567"/>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Resulta aplicable a lo anterior por analogía, lo señalado en el criterio orientador emitido por el Instituto Nacional de Transparencia, Acceso a la Información Pública y Protección de Datos Personales número 20/13, el cual a la letra señala:</w:t>
      </w:r>
    </w:p>
    <w:p w:rsidR="00063882" w:rsidRPr="00F01CA4" w:rsidRDefault="00063882" w:rsidP="00063882">
      <w:pPr>
        <w:tabs>
          <w:tab w:val="left" w:pos="7938"/>
        </w:tabs>
        <w:ind w:left="567" w:right="993"/>
        <w:jc w:val="both"/>
        <w:rPr>
          <w:rFonts w:ascii="Arial" w:eastAsia="Arial" w:hAnsi="Arial" w:cs="Arial"/>
          <w:b/>
          <w:iCs/>
          <w:color w:val="2F5496" w:themeColor="accent1" w:themeShade="BF"/>
          <w:spacing w:val="1"/>
        </w:rPr>
      </w:pPr>
      <w:r w:rsidRPr="00F01CA4">
        <w:rPr>
          <w:rFonts w:ascii="Arial" w:eastAsia="Arial" w:hAnsi="Arial" w:cs="Arial"/>
          <w:b/>
          <w:iCs/>
          <w:color w:val="2F5496" w:themeColor="accent1" w:themeShade="BF"/>
          <w:spacing w:val="1"/>
        </w:rPr>
        <w:t xml:space="preserve">Procede declarar la inexistencia cuando la información solicitada sea el resultado de un proceso deliberativo en trámite. </w:t>
      </w:r>
      <w:r w:rsidRPr="00F01CA4">
        <w:rPr>
          <w:rFonts w:ascii="Arial" w:eastAsia="Arial" w:hAnsi="Arial" w:cs="Arial"/>
          <w:bCs/>
          <w:iCs/>
          <w:color w:val="2F5496" w:themeColor="accent1" w:themeShade="BF"/>
          <w:spacing w:val="1"/>
        </w:rPr>
        <w:t xml:space="preserve">De acuerdo con el artículo 14, fracción VI de la Ley Federal de Transparencia y Acceso a la Información Pública Gubernamental,  esta   causal  de   clasificación   tiene   por  objeto   proteger   la información que sirve de base para deliberar sobre un asunto determinado, a fin de evitar que su publicidad afecte el proceso deliberativo. Ahora bien, la inexistencia implica necesariamente que la información no se encuentra en los archivos de la dependencia o entidad aun cuando tenga facultades para contar con ella. En este sentido, </w:t>
      </w:r>
      <w:r w:rsidRPr="00F01CA4">
        <w:rPr>
          <w:rFonts w:ascii="Arial" w:eastAsia="Arial" w:hAnsi="Arial" w:cs="Arial"/>
          <w:b/>
          <w:iCs/>
          <w:color w:val="2F5496" w:themeColor="accent1" w:themeShade="BF"/>
          <w:spacing w:val="1"/>
        </w:rPr>
        <w:t>en los casos en que se esté llevando a cabo un proceso deliberativo del cual aún no se emite una determinación definitiva y lo solicitado por el particular consista  precisamente en esa determinación, procede  que el Comité de Información declare formalmente su inexistencia</w:t>
      </w:r>
      <w:r w:rsidRPr="00F01CA4">
        <w:rPr>
          <w:rFonts w:ascii="Arial" w:eastAsia="Arial" w:hAnsi="Arial" w:cs="Arial"/>
          <w:bCs/>
          <w:iCs/>
          <w:color w:val="2F5496" w:themeColor="accent1" w:themeShade="BF"/>
          <w:spacing w:val="1"/>
        </w:rPr>
        <w:t>.</w:t>
      </w:r>
    </w:p>
    <w:p w:rsidR="00063882" w:rsidRPr="00F01CA4" w:rsidRDefault="00063882" w:rsidP="00063882">
      <w:pPr>
        <w:ind w:firstLine="567"/>
        <w:jc w:val="both"/>
        <w:rPr>
          <w:rFonts w:ascii="Arial" w:eastAsia="Arial" w:hAnsi="Arial" w:cs="Arial"/>
          <w:iCs/>
          <w:color w:val="2F5496" w:themeColor="accent1" w:themeShade="BF"/>
        </w:rPr>
      </w:pP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En ese sentido, la declaración formal de inexistencia tiene como principal objetivo, el salvaguardar el derecho de los solicitantes, estableciendo un procedimiento por el cual el sujeto obligado se encuentre en oportunidad de señalar las circunstancias por las cuales no se generó la información que se encuentra como inexistente; y, con esto, se pueda orientar al recurrente en las razones por las que no le es factible entregarle la información.</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Por lo que es preciso citar al presente recurso el artículo 165 del Código de Procedimientos Administrativos del Estado de San Luis Potosí vigente en el cual se precisan los requisitos del acto administrativo, a saber:</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“ARTÍCULO 165. Son requisitos del acto administrativo: </w:t>
      </w:r>
    </w:p>
    <w:p w:rsidR="00063882" w:rsidRPr="00F01CA4" w:rsidRDefault="00063882" w:rsidP="00A963DE">
      <w:pPr>
        <w:numPr>
          <w:ilvl w:val="0"/>
          <w:numId w:val="2"/>
        </w:numPr>
        <w:spacing w:after="160" w:line="259" w:lineRule="auto"/>
        <w:ind w:right="709"/>
        <w:contextualSpacing/>
        <w:jc w:val="both"/>
        <w:rPr>
          <w:rFonts w:ascii="Arial" w:eastAsia="Arial" w:hAnsi="Arial" w:cs="Arial"/>
          <w:b/>
          <w:bCs/>
          <w:iCs/>
          <w:color w:val="2F5496" w:themeColor="accent1" w:themeShade="BF"/>
        </w:rPr>
      </w:pPr>
      <w:r w:rsidRPr="00F01CA4">
        <w:rPr>
          <w:rFonts w:ascii="Arial" w:eastAsia="Arial" w:hAnsi="Arial" w:cs="Arial"/>
          <w:b/>
          <w:bCs/>
          <w:iCs/>
          <w:color w:val="2F5496" w:themeColor="accent1" w:themeShade="BF"/>
        </w:rPr>
        <w:t xml:space="preserve">Que cumpla con las formalidades del procedimiento; </w:t>
      </w:r>
    </w:p>
    <w:p w:rsidR="00063882" w:rsidRPr="00F01CA4" w:rsidRDefault="00063882" w:rsidP="00A963DE">
      <w:pPr>
        <w:numPr>
          <w:ilvl w:val="0"/>
          <w:numId w:val="2"/>
        </w:numPr>
        <w:spacing w:after="160" w:line="259" w:lineRule="auto"/>
        <w:ind w:right="709"/>
        <w:contextualSpacing/>
        <w:jc w:val="both"/>
        <w:rPr>
          <w:rFonts w:ascii="Arial" w:eastAsia="Arial" w:hAnsi="Arial" w:cs="Arial"/>
          <w:b/>
          <w:bCs/>
          <w:iCs/>
          <w:color w:val="2F5496" w:themeColor="accent1" w:themeShade="BF"/>
        </w:rPr>
      </w:pPr>
      <w:r w:rsidRPr="00F01CA4">
        <w:rPr>
          <w:rFonts w:ascii="Arial" w:eastAsia="Arial" w:hAnsi="Arial" w:cs="Arial"/>
          <w:b/>
          <w:bCs/>
          <w:iCs/>
          <w:color w:val="2F5496" w:themeColor="accent1" w:themeShade="BF"/>
        </w:rPr>
        <w:t xml:space="preserve">Que se encuentre adecuadamente fundado y motivado; </w:t>
      </w:r>
    </w:p>
    <w:p w:rsidR="00063882" w:rsidRPr="00F01CA4" w:rsidRDefault="00063882" w:rsidP="00A963DE">
      <w:pPr>
        <w:numPr>
          <w:ilvl w:val="0"/>
          <w:numId w:val="2"/>
        </w:numPr>
        <w:spacing w:after="160" w:line="259" w:lineRule="auto"/>
        <w:ind w:right="709"/>
        <w:contextualSpacing/>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Que se expida de manera congruente con lo solicitado y resolver expresamente todos los puntos propuestos por el interesado o previstos por las normas. </w:t>
      </w:r>
    </w:p>
    <w:p w:rsidR="00063882" w:rsidRPr="00F01CA4" w:rsidRDefault="00063882" w:rsidP="00A963DE">
      <w:pPr>
        <w:numPr>
          <w:ilvl w:val="0"/>
          <w:numId w:val="2"/>
        </w:numPr>
        <w:spacing w:after="160" w:line="259" w:lineRule="auto"/>
        <w:ind w:right="709"/>
        <w:contextualSpacing/>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Que en su expedición se señale lugar y fecha de emisión; </w:t>
      </w:r>
    </w:p>
    <w:p w:rsidR="00063882" w:rsidRPr="00F01CA4" w:rsidRDefault="00063882" w:rsidP="00A963DE">
      <w:pPr>
        <w:numPr>
          <w:ilvl w:val="0"/>
          <w:numId w:val="2"/>
        </w:numPr>
        <w:spacing w:after="160" w:line="259" w:lineRule="auto"/>
        <w:ind w:right="709"/>
        <w:contextualSpacing/>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 Tratándose de actos administrativos que deban notificarse deberá hacerse mención de la oficina en que se encuentra y pueda ser consultado el expediente respectivo, y </w:t>
      </w:r>
    </w:p>
    <w:p w:rsidR="00063882" w:rsidRPr="00F01CA4" w:rsidRDefault="00063882" w:rsidP="00A963DE">
      <w:pPr>
        <w:numPr>
          <w:ilvl w:val="0"/>
          <w:numId w:val="2"/>
        </w:numPr>
        <w:spacing w:after="160" w:line="259" w:lineRule="auto"/>
        <w:ind w:right="709"/>
        <w:contextualSpacing/>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Tratándose de actos administrativos recurribles, deberá mencionarse el recurso que proceda y el término con que se cuenta para interponerlo, así como la autoridad ante la cual puede ser presentado. </w:t>
      </w:r>
    </w:p>
    <w:p w:rsidR="00063882" w:rsidRPr="00F01CA4" w:rsidRDefault="00063882" w:rsidP="00063882">
      <w:pPr>
        <w:ind w:left="1428" w:right="709"/>
        <w:contextualSpacing/>
        <w:jc w:val="both"/>
        <w:rPr>
          <w:rFonts w:ascii="Arial" w:eastAsia="Arial" w:hAnsi="Arial" w:cs="Arial"/>
          <w:iCs/>
          <w:color w:val="2F5496" w:themeColor="accent1" w:themeShade="BF"/>
        </w:rPr>
      </w:pPr>
    </w:p>
    <w:p w:rsidR="00063882" w:rsidRPr="00F01CA4" w:rsidRDefault="00063882" w:rsidP="00063882">
      <w:pPr>
        <w:ind w:left="1428" w:right="709"/>
        <w:contextualSpacing/>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Cuando en el acto administrativo se omita señalar el término y recurso mencionados en el párrafo anterior, el impugnante contará con el doble del plazo que establecen las disposiciones legales para interponer el recurso correspondiente.</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Del precepto legal transcrito, se desprende que para que un acto sea considerado válido debe cumplir con las formalidades de su procedimiento, además de estar adecuadamente fundado y motivado, es decir, citar con precisión el o los preceptos legales aplicables al caso, además de expresar los motivos por los cuales el proceder del Sujeto Obligado encuadra lógica y jurídicamente dentro de la norma, circunstancia que no ocurre respecto al entregar respuesta a lo solicitado</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Sirve de apoyo a lo anterior, la siguiente Jurisprudencia emitida por el Poder Judicial de la Federación, la cual dispone: </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Registro No. 170307 </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Localización: Novena Época </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Instancia: Tribunales Colegiados de Circuito </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Fuente: Semanario Judicial de la Federación y su Gaceta XXVII, Febrero de 2008 </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Página: 1964 </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 xml:space="preserve">Tesis: I.3o.C. J/47 Jurisprudencia </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Materia(s): Común</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b/>
          <w:bCs/>
          <w:iCs/>
          <w:color w:val="2F5496" w:themeColor="accent1" w:themeShade="BF"/>
        </w:rPr>
        <w:t>“FUNDAMENTACIÓN Y MOTIVACIÓN. LA DIFERENCIA ENTRE LA FALTA Y LA INDEBIDA SATISFACCIÓN DE AMBOS REQUISITOS CONSTITUCIONALES TRASCIENDE AL ORDEN EN QUE DEBEN ESTUDIARSE LOS CONCEPTOS DE VIOLACIÓN Y A LOS EFECTOS DEL FALLO PROTECTOR.</w:t>
      </w:r>
      <w:r w:rsidRPr="00F01CA4">
        <w:rPr>
          <w:rFonts w:ascii="Arial" w:eastAsia="Arial" w:hAnsi="Arial" w:cs="Arial"/>
          <w:iCs/>
          <w:color w:val="2F5496" w:themeColor="accent1" w:themeShade="BF"/>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w:t>
      </w:r>
      <w:r w:rsidRPr="00F01CA4">
        <w:rPr>
          <w:rFonts w:ascii="Arial" w:eastAsia="Arial" w:hAnsi="Arial" w:cs="Arial"/>
          <w:iCs/>
          <w:color w:val="2F5496" w:themeColor="accent1" w:themeShade="BF"/>
        </w:rPr>
        <w:lastRenderedPageBreak/>
        <w:t>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pues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 TERCER TRIBUNAL COLEGIADO EN MATERIA CIVIL DEL PRIMER CIRCUITO. Amparo directo 551/2005. Jorge Luis Almaral Mendívil. 20 de octubre de 2005. Unanimidad de votos. Ponente: Neófito López Ramos. Secretario: Raúl Alfaro Telpalo. Amparo directo 66/2007. Juan Ramón Jaime Alcántara. 15 de febrero de 2007. Unanimidad de votos. Ponente: Neófito López Ramos. Secretario: Raúl Alfaro Telpalo. Amparo directo 364/2007. Guadalupe Rodríguez Daniel. 6 de julio de 2007. Unanimidad de votos. Ponente: Neófito López Ramos. Secretaria: Greta Lozada Amezcua. Amparo directo 513/2007. Autofinanciamiento México, S.A. de C.V. 4 de octubre de 2007. Unanimidad de votos. Ponente: Neófito López Ramos. Secretario: Raúl Alfaro Telpalo. Amparo directo 562/2007. Arenas y Gravas Xaltepec, S.A. 11 de octubre de 2007. Unanimidad de votos. Ponente: Neófito López Ramos. Secretario: Raúl Alfaro Telpalo.”</w:t>
      </w:r>
    </w:p>
    <w:p w:rsidR="00063882" w:rsidRPr="00F01CA4" w:rsidRDefault="00063882" w:rsidP="00063882">
      <w:pPr>
        <w:ind w:firstLine="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También sirve de apoyo el siguiente criterio sustentado por el Poder Judicial de la Federación:</w:t>
      </w:r>
    </w:p>
    <w:p w:rsidR="00063882" w:rsidRPr="00F01CA4" w:rsidRDefault="00063882" w:rsidP="00063882">
      <w:pPr>
        <w:ind w:left="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“FUNDAMENTACIÓN Y MOTIVACIÓN. La debida fundamentación y motivación legal, deben entenderse, por lo primero, la cita del precepto legal aplicable al caso, y por lo segundo, las razones, motivos o circunstancias especiales que llevaron a la autoridad a concluir que el caso particular encuadra en el supuesto previsto por la norma legal invocada como fundamento.</w:t>
      </w:r>
    </w:p>
    <w:p w:rsidR="00063882" w:rsidRPr="00F01CA4" w:rsidRDefault="00063882" w:rsidP="00063882">
      <w:pPr>
        <w:ind w:left="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SEGUNDO TRIBUNAL COLEGIADO DEL SEXTO CIRCUITO.</w:t>
      </w:r>
    </w:p>
    <w:p w:rsidR="00063882" w:rsidRPr="00F01CA4" w:rsidRDefault="00063882" w:rsidP="00063882">
      <w:pPr>
        <w:ind w:left="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Amparo directo 194/88. Bufete Industrial Construcciones, S.A. de C.V. 28 de junio de 1988. Unanimidad de votos. Ponente: Gustavo Calvillo Rangel. Secretario: Jorge Alberto González Álvarez.</w:t>
      </w:r>
    </w:p>
    <w:p w:rsidR="00063882" w:rsidRPr="00F01CA4" w:rsidRDefault="00063882" w:rsidP="00063882">
      <w:pPr>
        <w:ind w:left="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Revisión fiscal 103/88. Instituto Mexicano del Seguro Social. 18 de octubre de 1988. Unanimidad de votos. Ponente: Arnoldo Nájera Virgen. Secretario: Alejandro Esponda Rincón.</w:t>
      </w:r>
    </w:p>
    <w:p w:rsidR="00063882" w:rsidRPr="00F01CA4" w:rsidRDefault="00063882" w:rsidP="00063882">
      <w:pPr>
        <w:ind w:left="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Amparo en revisión 333/88. Adilia Romero. 26 de octubre de 1988. Unanimidad de votos. Ponente: Arnoldo Nájera Virgen. Secretario: Enrique Crispín Campos Ramírez.</w:t>
      </w:r>
    </w:p>
    <w:p w:rsidR="00063882" w:rsidRPr="00F01CA4" w:rsidRDefault="00063882" w:rsidP="00063882">
      <w:pPr>
        <w:ind w:left="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lastRenderedPageBreak/>
        <w:t>Amparo en revisión 597/95. Emilio Maurer Bretón. 15 de noviembre de 1995. Unanimidad de votos. Ponente: Clementina Ramírez Moguel Goyzueta. Secretario: Gonzalo Carrera Molina.</w:t>
      </w:r>
    </w:p>
    <w:p w:rsidR="00063882" w:rsidRPr="00F01CA4" w:rsidRDefault="00063882" w:rsidP="00063882">
      <w:pPr>
        <w:ind w:left="708"/>
        <w:jc w:val="both"/>
        <w:rPr>
          <w:rFonts w:ascii="Arial" w:eastAsia="Arial" w:hAnsi="Arial" w:cs="Arial"/>
          <w:iCs/>
          <w:color w:val="2F5496" w:themeColor="accent1" w:themeShade="BF"/>
        </w:rPr>
      </w:pPr>
      <w:r w:rsidRPr="00F01CA4">
        <w:rPr>
          <w:rFonts w:ascii="Arial" w:eastAsia="Arial" w:hAnsi="Arial" w:cs="Arial"/>
          <w:iCs/>
          <w:color w:val="2F5496" w:themeColor="accent1" w:themeShade="BF"/>
        </w:rPr>
        <w:t>Amparo directo 7/96. Pedro Vicente López Miro. 21 de febrero de 1996. Unanimidad de votos. Ponente: María Eugenia Estela Martínez Cardiel. Secretario: Enrique Baigts Muñoz.”</w:t>
      </w:r>
    </w:p>
    <w:p w:rsidR="00063882" w:rsidRPr="00F01CA4" w:rsidRDefault="00063882" w:rsidP="00063882">
      <w:pPr>
        <w:ind w:left="708"/>
        <w:jc w:val="both"/>
        <w:rPr>
          <w:rFonts w:ascii="Arial" w:eastAsia="Arial" w:hAnsi="Arial" w:cs="Arial"/>
          <w:iCs/>
          <w:color w:val="2F5496" w:themeColor="accent1" w:themeShade="BF"/>
        </w:rPr>
      </w:pPr>
    </w:p>
    <w:p w:rsidR="00063882" w:rsidRPr="00F01CA4" w:rsidRDefault="00063882" w:rsidP="00063882">
      <w:pPr>
        <w:autoSpaceDE w:val="0"/>
        <w:autoSpaceDN w:val="0"/>
        <w:adjustRightInd w:val="0"/>
        <w:spacing w:after="160"/>
        <w:ind w:firstLine="708"/>
        <w:jc w:val="both"/>
        <w:rPr>
          <w:rFonts w:ascii="Arial" w:hAnsi="Arial" w:cs="Arial"/>
          <w:iCs/>
          <w:color w:val="2F5496" w:themeColor="accent1" w:themeShade="BF"/>
        </w:rPr>
      </w:pPr>
      <w:r w:rsidRPr="00F01CA4">
        <w:rPr>
          <w:rFonts w:ascii="Arial" w:eastAsia="Arial" w:hAnsi="Arial" w:cs="Arial"/>
          <w:iCs/>
          <w:color w:val="2F5496" w:themeColor="accent1" w:themeShade="BF"/>
        </w:rPr>
        <w:t xml:space="preserve"> Así las cosas, p</w:t>
      </w:r>
      <w:r w:rsidRPr="00F01CA4">
        <w:rPr>
          <w:rFonts w:ascii="Arial" w:hAnsi="Arial" w:cs="Arial"/>
          <w:iCs/>
          <w:color w:val="2F5496" w:themeColor="accent1" w:themeShade="BF"/>
        </w:rPr>
        <w:t xml:space="preserve">or todo lo anteriormente expuesto, esta Comisión concluye que resulta </w:t>
      </w:r>
      <w:r w:rsidRPr="00F01CA4">
        <w:rPr>
          <w:rFonts w:ascii="Arial" w:hAnsi="Arial" w:cs="Arial"/>
          <w:b/>
          <w:iCs/>
          <w:color w:val="2F5496" w:themeColor="accent1" w:themeShade="BF"/>
        </w:rPr>
        <w:t>fundado el agravio</w:t>
      </w:r>
      <w:r w:rsidRPr="00F01CA4">
        <w:rPr>
          <w:rFonts w:ascii="Arial" w:hAnsi="Arial" w:cs="Arial"/>
          <w:iCs/>
          <w:color w:val="2F5496" w:themeColor="accent1" w:themeShade="BF"/>
        </w:rPr>
        <w:t xml:space="preserve"> hecho valer por el recurrente en el recurso de revisión que hoy nos ocupa, por lo que resulta procedente que el Sujeto obligado emita y notifique una nueva resolución en la cual contemple lo establecido en la presente resolución, dando observancia a lo establecido en el considerando cuarto de la presente resolución</w:t>
      </w:r>
      <w:r w:rsidRPr="00F01CA4">
        <w:rPr>
          <w:rFonts w:ascii="Arial" w:eastAsia="Arial" w:hAnsi="Arial" w:cs="Arial"/>
          <w:iCs/>
          <w:color w:val="2F5496" w:themeColor="accent1" w:themeShade="BF"/>
        </w:rPr>
        <w:t xml:space="preserve"> de la ley de Transparencia y Acceso a la Información Pública del Estado de San Luis Potosí, así como los Lineamientos cuarto, quinto, sexto, octavo, noveno, trigésimo, de los Lineamientos Generales en Materia de Clasificación y Desclasificación de la Información, así como para la Elaboración de Versiones Públicas</w:t>
      </w:r>
      <w:r w:rsidRPr="00F01CA4">
        <w:rPr>
          <w:rFonts w:ascii="Arial" w:hAnsi="Arial" w:cs="Arial"/>
          <w:b/>
          <w:bCs/>
          <w:iCs/>
          <w:color w:val="2F5496" w:themeColor="accent1" w:themeShade="BF"/>
        </w:rPr>
        <w:t>.</w:t>
      </w:r>
    </w:p>
    <w:p w:rsidR="00063882" w:rsidRPr="00F01CA4" w:rsidRDefault="00063882" w:rsidP="00063882">
      <w:pPr>
        <w:ind w:firstLine="708"/>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5.1. Sentido de esta resolución.</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En las condiciones anotadas y al haber resultado fundado el agravio que hizo valer el recurrente, con fundamento en el artículo 175, fracción III de la Ley de Transparencia y Acceso a la Información Pública del Estado de San Luis Potosí, resulta procedente </w:t>
      </w:r>
      <w:r w:rsidRPr="00F01CA4">
        <w:rPr>
          <w:rFonts w:ascii="Arial" w:eastAsia="Arial" w:hAnsi="Arial" w:cs="Arial"/>
          <w:b/>
          <w:bCs/>
          <w:iCs/>
          <w:color w:val="2F5496" w:themeColor="accent1" w:themeShade="BF"/>
          <w:lang w:val="x-none" w:eastAsia="es-MX"/>
        </w:rPr>
        <w:t>MODIFICAR</w:t>
      </w:r>
      <w:r w:rsidRPr="00F01CA4">
        <w:rPr>
          <w:rFonts w:ascii="Arial" w:eastAsia="Arial" w:hAnsi="Arial" w:cs="Arial"/>
          <w:iCs/>
          <w:color w:val="2F5496" w:themeColor="accent1" w:themeShade="BF"/>
          <w:lang w:val="x-none" w:eastAsia="es-MX"/>
        </w:rPr>
        <w:t xml:space="preserve"> la respuesta del sujeto obligado y, por lo tanto, lo conmina para que:</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A963DE">
      <w:pPr>
        <w:numPr>
          <w:ilvl w:val="0"/>
          <w:numId w:val="1"/>
        </w:numPr>
        <w:spacing w:after="160" w:line="259" w:lineRule="auto"/>
        <w:contextualSpacing/>
        <w:jc w:val="both"/>
        <w:rPr>
          <w:rFonts w:ascii="Arial" w:eastAsia="Times New Roman" w:hAnsi="Arial" w:cs="Arial"/>
          <w:b/>
          <w:bCs/>
          <w:iCs/>
          <w:color w:val="2F5496" w:themeColor="accent1" w:themeShade="BF"/>
        </w:rPr>
      </w:pPr>
      <w:r w:rsidRPr="00F01CA4">
        <w:rPr>
          <w:rFonts w:ascii="Arial" w:eastAsia="Arial" w:hAnsi="Arial" w:cs="Arial"/>
          <w:iCs/>
          <w:color w:val="2F5496" w:themeColor="accent1" w:themeShade="BF"/>
        </w:rPr>
        <w:t>Otorgue el acceso al recurrente, sobre la información solicitada, a saber: “1.Copia del Acta de la Primera Reunión de la H. JUNTA DE GOBIERNO DEL ORGANISMO DESCENTRALIZADO DE LA ADMINISTRACIÓN PUBLICA ESTATAL DENOMINADO SERVICIOS DE SALUD DE SAN LUIS POTOSÍ celebrada el día 21 de Marzo 2019  y si no fue realizada copia del documento que avale dicha acción.”</w:t>
      </w:r>
      <w:r w:rsidRPr="00F01CA4">
        <w:rPr>
          <w:rFonts w:ascii="Arial" w:eastAsia="Arial" w:hAnsi="Arial" w:cs="Arial"/>
          <w:b/>
          <w:iCs/>
          <w:color w:val="2F5496" w:themeColor="accent1" w:themeShade="BF"/>
        </w:rPr>
        <w:t>.</w:t>
      </w:r>
    </w:p>
    <w:p w:rsidR="00063882" w:rsidRPr="00F01CA4" w:rsidRDefault="00063882" w:rsidP="00A963DE">
      <w:pPr>
        <w:numPr>
          <w:ilvl w:val="0"/>
          <w:numId w:val="1"/>
        </w:numPr>
        <w:spacing w:after="160" w:line="259" w:lineRule="auto"/>
        <w:contextualSpacing/>
        <w:jc w:val="both"/>
        <w:rPr>
          <w:rFonts w:ascii="Arial" w:eastAsia="Times New Roman" w:hAnsi="Arial" w:cs="Arial"/>
          <w:b/>
          <w:bCs/>
          <w:iCs/>
          <w:color w:val="2F5496" w:themeColor="accent1" w:themeShade="BF"/>
        </w:rPr>
      </w:pPr>
      <w:r w:rsidRPr="00F01CA4">
        <w:rPr>
          <w:rFonts w:ascii="Arial" w:eastAsia="Arial" w:hAnsi="Arial" w:cs="Arial"/>
          <w:iCs/>
          <w:color w:val="2F5496" w:themeColor="accent1" w:themeShade="BF"/>
        </w:rPr>
        <w:t>O en su caso emita una declaración formal de inexistencia, en la cual deberá demostrar la búsqueda exhaustiva de la información, fundamentando y motivando adecuadamente tal determinación.</w:t>
      </w: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5.2. Precisiones de esta resolución.</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De conformidad con el último párrafo del artículo 175 de la Ley de Transparencia está Comisión de Transparencia establece los siguientes términos para el cumplimiento de la resolución.</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El sujeto obligado deberá entregar los documentos que contengan la información solicitada en la modalidad peticionada por el particular.</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es-ES" w:eastAsia="es-MX"/>
        </w:rPr>
        <w:t>5.3. Plazo para el cumplimento de esta resolución.</w:t>
      </w: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Con fundamento en el artículo 175 de la Ley de Transparencia y Acceso a la Información Pública del Estado, este órgano colegiado le concede al sujeto obligado el plazo de </w:t>
      </w:r>
      <w:r w:rsidRPr="00F01CA4">
        <w:rPr>
          <w:rFonts w:ascii="Arial" w:eastAsia="Arial" w:hAnsi="Arial" w:cs="Arial"/>
          <w:b/>
          <w:bCs/>
          <w:iCs/>
          <w:color w:val="2F5496" w:themeColor="accent1" w:themeShade="BF"/>
          <w:lang w:val="x-none" w:eastAsia="es-MX"/>
        </w:rPr>
        <w:t xml:space="preserve">diez días </w:t>
      </w:r>
      <w:r w:rsidRPr="00F01CA4">
        <w:rPr>
          <w:rFonts w:ascii="Arial" w:eastAsia="Arial" w:hAnsi="Arial" w:cs="Arial"/>
          <w:iCs/>
          <w:color w:val="2F5496" w:themeColor="accent1" w:themeShade="BF"/>
          <w:lang w:val="x-none" w:eastAsia="es-MX"/>
        </w:rPr>
        <w:t>para la entrega de la información, plazo que es el que está Comisión de Transparencia considera que es suficiente, ya que es el máximo autorizado por el citado precepto.</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b/>
          <w:bCs/>
          <w:iCs/>
          <w:color w:val="2F5496" w:themeColor="accent1" w:themeShade="BF"/>
          <w:lang w:val="es-ES" w:eastAsia="es-MX"/>
        </w:rPr>
      </w:pPr>
      <w:r w:rsidRPr="00F01CA4">
        <w:rPr>
          <w:rFonts w:ascii="Arial" w:eastAsia="Arial" w:hAnsi="Arial" w:cs="Arial"/>
          <w:b/>
          <w:bCs/>
          <w:iCs/>
          <w:color w:val="2F5496" w:themeColor="accent1" w:themeShade="BF"/>
          <w:lang w:val="es-ES" w:eastAsia="es-MX"/>
        </w:rPr>
        <w:lastRenderedPageBreak/>
        <w:t>5.4 Informe sobre el cumplimento a la resolución.</w:t>
      </w: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De conformidad con el artículo 177, segundo párrafo, el sujeto obligado deberá de informar a esta Comisión de Transparencia el </w:t>
      </w:r>
      <w:r w:rsidRPr="00F01CA4">
        <w:rPr>
          <w:rFonts w:ascii="Arial" w:eastAsia="Arial" w:hAnsi="Arial" w:cs="Arial"/>
          <w:b/>
          <w:bCs/>
          <w:iCs/>
          <w:color w:val="2F5496" w:themeColor="accent1" w:themeShade="BF"/>
          <w:lang w:val="x-none" w:eastAsia="es-MX"/>
        </w:rPr>
        <w:t xml:space="preserve">cumplimento a la presente resolución en un plazo que no deberá de exceder de tres días siguientes a los diez días que tiene para la entrega de la información </w:t>
      </w:r>
      <w:r w:rsidRPr="00F01CA4">
        <w:rPr>
          <w:rFonts w:ascii="Arial" w:eastAsia="Arial" w:hAnsi="Arial" w:cs="Arial"/>
          <w:iCs/>
          <w:color w:val="2F5496" w:themeColor="accent1" w:themeShade="BF"/>
          <w:lang w:val="x-none" w:eastAsia="es-MX"/>
        </w:rPr>
        <w:t>en donde justificará con los documentos necesarios el cumplimento a lo aquí ordenado.</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es-ES" w:eastAsia="es-MX"/>
        </w:rPr>
        <w:t>5.5. Medida de apremio en caso de incumplimiento a la resolución.</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9"/>
        <w:jc w:val="center"/>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RESOLUTIVO</w:t>
      </w:r>
    </w:p>
    <w:p w:rsidR="00063882" w:rsidRPr="00F01CA4" w:rsidRDefault="00063882" w:rsidP="00063882">
      <w:pPr>
        <w:spacing w:after="0"/>
        <w:ind w:firstLine="709"/>
        <w:jc w:val="center"/>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b/>
          <w:bCs/>
          <w:iCs/>
          <w:color w:val="2F5496" w:themeColor="accent1" w:themeShade="BF"/>
          <w:lang w:val="x-none" w:eastAsia="es-MX"/>
        </w:rPr>
        <w:t>Por lo expuesto y fundado, SE RESUELVE:</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hAnsi="Arial" w:cs="Arial"/>
          <w:b/>
          <w:bCs/>
          <w:iCs/>
          <w:color w:val="2F5496" w:themeColor="accent1" w:themeShade="BF"/>
          <w:lang w:val="x-none" w:eastAsia="es-MX"/>
        </w:rPr>
        <w:t xml:space="preserve">ÚNICO. </w:t>
      </w:r>
      <w:r w:rsidRPr="00F01CA4">
        <w:rPr>
          <w:rFonts w:ascii="Arial" w:eastAsia="Arial" w:hAnsi="Arial" w:cs="Arial"/>
          <w:iCs/>
          <w:color w:val="2F5496" w:themeColor="accent1" w:themeShade="BF"/>
          <w:lang w:val="x-none" w:eastAsia="es-MX"/>
        </w:rPr>
        <w:t xml:space="preserve">Esta Comisión Estatal de Garantía y Acceso a la Información Pública </w:t>
      </w:r>
      <w:r w:rsidRPr="00F01CA4">
        <w:rPr>
          <w:rFonts w:ascii="Arial" w:eastAsia="Arial" w:hAnsi="Arial" w:cs="Arial"/>
          <w:b/>
          <w:bCs/>
          <w:iCs/>
          <w:color w:val="2F5496" w:themeColor="accent1" w:themeShade="BF"/>
          <w:lang w:val="x-none" w:eastAsia="es-MX"/>
        </w:rPr>
        <w:t>Modifica el acto impugnado</w:t>
      </w:r>
      <w:r w:rsidRPr="00F01CA4">
        <w:rPr>
          <w:rFonts w:ascii="Arial" w:eastAsia="Arial" w:hAnsi="Arial" w:cs="Arial"/>
          <w:iCs/>
          <w:color w:val="2F5496" w:themeColor="accent1" w:themeShade="BF"/>
          <w:lang w:val="x-none" w:eastAsia="es-MX"/>
        </w:rPr>
        <w:t xml:space="preserve"> por los fundamentos y las razones desarrolladas en el considerando cuarto de la presente resolución.</w:t>
      </w:r>
    </w:p>
    <w:p w:rsidR="00063882" w:rsidRPr="00F01CA4" w:rsidRDefault="00063882" w:rsidP="00063882">
      <w:pPr>
        <w:spacing w:after="0"/>
        <w:ind w:firstLine="709"/>
        <w:jc w:val="both"/>
        <w:rPr>
          <w:rFonts w:ascii="Arial" w:eastAsia="Arial" w:hAnsi="Arial" w:cs="Arial"/>
          <w:iCs/>
          <w:color w:val="2F5496" w:themeColor="accent1" w:themeShade="BF"/>
        </w:rPr>
      </w:pPr>
    </w:p>
    <w:p w:rsidR="00063882" w:rsidRPr="00F01CA4" w:rsidRDefault="00063882" w:rsidP="00063882">
      <w:pPr>
        <w:spacing w:after="0"/>
        <w:ind w:firstLine="708"/>
        <w:jc w:val="both"/>
        <w:rPr>
          <w:rFonts w:ascii="Arial" w:eastAsia="Arial" w:hAnsi="Arial" w:cs="Arial"/>
          <w:iCs/>
          <w:color w:val="2F5496" w:themeColor="accent1" w:themeShade="BF"/>
          <w:lang w:val="x-none" w:eastAsia="es-MX"/>
        </w:rPr>
      </w:pPr>
      <w:r w:rsidRPr="00F01CA4">
        <w:rPr>
          <w:rFonts w:ascii="Arial" w:eastAsia="Arial" w:hAnsi="Arial" w:cs="Arial"/>
          <w:iCs/>
          <w:color w:val="2F5496" w:themeColor="accent1" w:themeShade="BF"/>
          <w:lang w:val="x-none" w:eastAsia="es-MX"/>
        </w:rPr>
        <w:t>Notifíquese; por oficio a las autoridades y a la recurrente por el medio que designó</w:t>
      </w:r>
      <w:r w:rsidRPr="00F01CA4">
        <w:rPr>
          <w:rFonts w:ascii="Arial" w:eastAsia="Arial" w:hAnsi="Arial" w:cs="Arial"/>
          <w:b/>
          <w:bCs/>
          <w:iCs/>
          <w:color w:val="2F5496" w:themeColor="accent1" w:themeShade="BF"/>
          <w:lang w:val="x-none" w:eastAsia="es-MX"/>
        </w:rPr>
        <w:t>.</w:t>
      </w:r>
    </w:p>
    <w:p w:rsidR="00063882" w:rsidRPr="00F01CA4" w:rsidRDefault="00063882" w:rsidP="00063882">
      <w:pPr>
        <w:ind w:firstLine="708"/>
        <w:jc w:val="both"/>
        <w:rPr>
          <w:rFonts w:ascii="Arial" w:eastAsia="Arial" w:hAnsi="Arial" w:cs="Arial"/>
          <w:iCs/>
          <w:color w:val="2F5496" w:themeColor="accent1" w:themeShade="BF"/>
        </w:rPr>
      </w:pPr>
    </w:p>
    <w:p w:rsidR="00063882" w:rsidRPr="00063882" w:rsidRDefault="00063882" w:rsidP="00063882">
      <w:pPr>
        <w:shd w:val="clear" w:color="auto" w:fill="FFFFFF"/>
        <w:spacing w:after="0"/>
        <w:ind w:firstLine="709"/>
        <w:jc w:val="both"/>
        <w:rPr>
          <w:rFonts w:ascii="Arial" w:eastAsia="Times New Roman" w:hAnsi="Arial" w:cs="Arial"/>
          <w:i/>
          <w:iCs/>
          <w:color w:val="2F5496" w:themeColor="accent1" w:themeShade="BF"/>
          <w:sz w:val="20"/>
          <w:szCs w:val="20"/>
          <w:lang w:eastAsia="es-MX"/>
        </w:rPr>
      </w:pPr>
      <w:r w:rsidRPr="00F01CA4">
        <w:rPr>
          <w:rFonts w:ascii="Arial" w:eastAsia="Times New Roman" w:hAnsi="Arial" w:cs="Arial"/>
          <w:iCs/>
          <w:color w:val="2F5496" w:themeColor="accent1" w:themeShade="BF"/>
          <w:bdr w:val="none" w:sz="0" w:space="0" w:color="auto" w:frame="1"/>
          <w:lang w:eastAsia="es-MX"/>
        </w:rPr>
        <w:t>Así, por unanimidad de votos lo resolvió la Comisión Estatal de Garantía de Acceso a la Información Pública, integrada por los Comisionados Licenciados Mariajosé González Zarzosa, Dr. José Martín Vázquez Vázquez, </w:t>
      </w:r>
      <w:r w:rsidRPr="00F01CA4">
        <w:rPr>
          <w:rFonts w:ascii="Arial" w:eastAsia="Times New Roman" w:hAnsi="Arial" w:cs="Arial"/>
          <w:iCs/>
          <w:color w:val="2F5496" w:themeColor="accent1" w:themeShade="BF"/>
          <w:bdr w:val="none" w:sz="0" w:space="0" w:color="auto" w:frame="1"/>
          <w:shd w:val="clear" w:color="auto" w:fill="FFFFFF"/>
          <w:lang w:eastAsia="es-MX"/>
        </w:rPr>
        <w:t>conforme al acuerdo de Pleno CEGAIP-1328/2019.S.E, emitido en Sesión Extraordinaria de veintiocho de agosto de dos mil diecinueve, en ausencia de la Licenciada Paulina Sánchez Pérez del Pozo,</w:t>
      </w:r>
      <w:r w:rsidRPr="00F01CA4">
        <w:rPr>
          <w:rFonts w:ascii="Arial" w:eastAsia="Times New Roman" w:hAnsi="Arial" w:cs="Arial"/>
          <w:iCs/>
          <w:color w:val="2F5496" w:themeColor="accent1" w:themeShade="BF"/>
          <w:bdr w:val="none" w:sz="0" w:space="0" w:color="auto" w:frame="1"/>
          <w:lang w:eastAsia="es-MX"/>
        </w:rPr>
        <w:t> Mtro. Alejandro Lafuente Torres, Presidente, siendo ponente el segundo de los nombrados, quienes, en unión de Oscar Villalpando Devo, Director Jurídico que da fe, firman esta resolución.</w:t>
      </w:r>
      <w:r w:rsidRPr="00063882">
        <w:rPr>
          <w:rFonts w:ascii="Arial" w:eastAsia="Times New Roman" w:hAnsi="Arial" w:cs="Arial"/>
          <w:i/>
          <w:iCs/>
          <w:color w:val="2F5496" w:themeColor="accent1" w:themeShade="BF"/>
          <w:sz w:val="20"/>
          <w:szCs w:val="20"/>
          <w:bdr w:val="none" w:sz="0" w:space="0" w:color="auto" w:frame="1"/>
          <w:lang w:eastAsia="es-MX"/>
        </w:rPr>
        <w:t>     </w:t>
      </w:r>
    </w:p>
    <w:p w:rsidR="00FD3FCF" w:rsidRPr="00022174" w:rsidRDefault="00FD3FCF" w:rsidP="00063882">
      <w:pPr>
        <w:pStyle w:val="corte4fondo"/>
        <w:spacing w:line="276" w:lineRule="auto"/>
        <w:ind w:firstLine="0"/>
        <w:rPr>
          <w:rFonts w:cs="Arial"/>
          <w:i/>
          <w:iCs/>
          <w:color w:val="2F5496" w:themeColor="accent1" w:themeShade="BF"/>
          <w:sz w:val="20"/>
          <w:lang w:val="es-MX"/>
        </w:rPr>
      </w:pPr>
    </w:p>
    <w:tbl>
      <w:tblPr>
        <w:tblW w:w="9900" w:type="dxa"/>
        <w:jc w:val="center"/>
        <w:tblLook w:val="01E0" w:firstRow="1" w:lastRow="1" w:firstColumn="1" w:lastColumn="1" w:noHBand="0" w:noVBand="0"/>
      </w:tblPr>
      <w:tblGrid>
        <w:gridCol w:w="4552"/>
        <w:gridCol w:w="154"/>
        <w:gridCol w:w="180"/>
        <w:gridCol w:w="5014"/>
      </w:tblGrid>
      <w:tr w:rsidR="00F01CA4" w:rsidRPr="00F01CA4" w:rsidTr="009858B6">
        <w:trPr>
          <w:trHeight w:val="2654"/>
          <w:jc w:val="center"/>
        </w:trPr>
        <w:tc>
          <w:tcPr>
            <w:tcW w:w="4706" w:type="dxa"/>
            <w:gridSpan w:val="2"/>
          </w:tcPr>
          <w:p w:rsidR="00F01CA4" w:rsidRPr="00F01CA4" w:rsidRDefault="00F01CA4" w:rsidP="00F01CA4">
            <w:pPr>
              <w:spacing w:after="0" w:line="240" w:lineRule="auto"/>
              <w:jc w:val="center"/>
              <w:rPr>
                <w:rFonts w:ascii="Arial" w:eastAsia="Arial Unicode MS" w:hAnsi="Arial" w:cs="Arial"/>
                <w:b/>
                <w:color w:val="4F81BD"/>
                <w:sz w:val="24"/>
                <w:szCs w:val="24"/>
              </w:rPr>
            </w:pPr>
            <w:r w:rsidRPr="00F01CA4">
              <w:rPr>
                <w:rFonts w:ascii="Arial" w:eastAsia="Arial Unicode MS" w:hAnsi="Arial" w:cs="Arial"/>
                <w:b/>
                <w:color w:val="4F81BD"/>
                <w:sz w:val="24"/>
                <w:szCs w:val="24"/>
              </w:rPr>
              <w:t xml:space="preserve">        COMISIONADO</w:t>
            </w:r>
          </w:p>
          <w:p w:rsidR="00F01CA4" w:rsidRPr="00F01CA4" w:rsidRDefault="00F01CA4" w:rsidP="00F01CA4">
            <w:pPr>
              <w:spacing w:after="0" w:line="240" w:lineRule="auto"/>
              <w:rPr>
                <w:rFonts w:ascii="Arial" w:eastAsia="Arial Unicode MS" w:hAnsi="Arial" w:cs="Arial"/>
                <w:b/>
                <w:color w:val="4F81BD"/>
                <w:sz w:val="24"/>
                <w:szCs w:val="24"/>
              </w:rPr>
            </w:pPr>
          </w:p>
          <w:p w:rsidR="00F01CA4" w:rsidRPr="00F01CA4" w:rsidRDefault="00F01CA4" w:rsidP="00F01CA4">
            <w:pPr>
              <w:spacing w:after="0" w:line="240" w:lineRule="auto"/>
              <w:ind w:left="360" w:firstLine="708"/>
              <w:jc w:val="center"/>
              <w:rPr>
                <w:rFonts w:ascii="Arial" w:eastAsia="Arial Unicode MS" w:hAnsi="Arial" w:cs="Arial"/>
                <w:b/>
                <w:color w:val="4F81BD"/>
                <w:sz w:val="24"/>
                <w:szCs w:val="24"/>
              </w:rPr>
            </w:pPr>
          </w:p>
          <w:p w:rsidR="00F01CA4" w:rsidRPr="00F01CA4" w:rsidRDefault="00F01CA4" w:rsidP="00F01CA4">
            <w:pPr>
              <w:spacing w:after="0" w:line="240" w:lineRule="auto"/>
              <w:jc w:val="center"/>
              <w:rPr>
                <w:rFonts w:ascii="Arial" w:eastAsia="Arial Unicode MS" w:hAnsi="Arial" w:cs="Arial"/>
                <w:b/>
                <w:color w:val="4F81BD"/>
                <w:sz w:val="24"/>
                <w:szCs w:val="24"/>
              </w:rPr>
            </w:pPr>
            <w:r w:rsidRPr="00F01CA4">
              <w:rPr>
                <w:rFonts w:ascii="Arial" w:eastAsia="Arial Unicode MS" w:hAnsi="Arial" w:cs="Arial"/>
                <w:b/>
                <w:color w:val="4F81BD"/>
                <w:sz w:val="24"/>
                <w:szCs w:val="24"/>
              </w:rPr>
              <w:t>DE. JOSÉ MARTÍN VÁZQUEZ VAZQUEZ</w:t>
            </w:r>
          </w:p>
        </w:tc>
        <w:tc>
          <w:tcPr>
            <w:tcW w:w="5194" w:type="dxa"/>
            <w:gridSpan w:val="2"/>
          </w:tcPr>
          <w:p w:rsidR="00F01CA4" w:rsidRPr="00F01CA4" w:rsidRDefault="00F01CA4" w:rsidP="00F01CA4">
            <w:pPr>
              <w:spacing w:after="0" w:line="240" w:lineRule="auto"/>
              <w:ind w:left="360" w:firstLine="708"/>
              <w:jc w:val="center"/>
              <w:rPr>
                <w:rFonts w:ascii="Arial" w:eastAsia="Arial Unicode MS" w:hAnsi="Arial" w:cs="Arial"/>
                <w:b/>
                <w:color w:val="4F81BD"/>
                <w:sz w:val="24"/>
                <w:szCs w:val="24"/>
              </w:rPr>
            </w:pPr>
            <w:r w:rsidRPr="00F01CA4">
              <w:rPr>
                <w:rFonts w:ascii="Arial" w:eastAsia="Arial Unicode MS" w:hAnsi="Arial" w:cs="Arial"/>
                <w:b/>
                <w:color w:val="4F81BD"/>
                <w:sz w:val="24"/>
                <w:szCs w:val="24"/>
              </w:rPr>
              <w:t>COMISIONADA PRESIDENTE</w:t>
            </w:r>
          </w:p>
          <w:p w:rsidR="00F01CA4" w:rsidRPr="00F01CA4" w:rsidRDefault="00F01CA4" w:rsidP="00F01CA4">
            <w:pPr>
              <w:spacing w:after="0" w:line="240" w:lineRule="auto"/>
              <w:ind w:left="360" w:firstLine="708"/>
              <w:jc w:val="center"/>
              <w:rPr>
                <w:rFonts w:ascii="Arial" w:eastAsia="Arial Unicode MS" w:hAnsi="Arial" w:cs="Arial"/>
                <w:b/>
                <w:color w:val="4F81BD"/>
                <w:sz w:val="24"/>
                <w:szCs w:val="24"/>
              </w:rPr>
            </w:pPr>
          </w:p>
          <w:p w:rsidR="00F01CA4" w:rsidRPr="00F01CA4" w:rsidRDefault="00F01CA4" w:rsidP="00F01CA4">
            <w:pPr>
              <w:spacing w:after="0" w:line="240" w:lineRule="auto"/>
              <w:ind w:left="360" w:firstLine="708"/>
              <w:jc w:val="center"/>
              <w:rPr>
                <w:rFonts w:ascii="Arial" w:eastAsia="Arial Unicode MS" w:hAnsi="Arial" w:cs="Arial"/>
                <w:b/>
                <w:color w:val="4F81BD"/>
                <w:sz w:val="24"/>
                <w:szCs w:val="24"/>
              </w:rPr>
            </w:pPr>
          </w:p>
          <w:p w:rsidR="00F01CA4" w:rsidRPr="00F01CA4" w:rsidRDefault="00F01CA4" w:rsidP="00F01CA4">
            <w:pPr>
              <w:spacing w:after="0" w:line="240" w:lineRule="auto"/>
              <w:ind w:left="1132"/>
              <w:jc w:val="center"/>
              <w:rPr>
                <w:rFonts w:ascii="Arial" w:eastAsia="Arial Unicode MS" w:hAnsi="Arial" w:cs="Arial"/>
                <w:b/>
                <w:color w:val="4F81BD"/>
                <w:sz w:val="24"/>
                <w:szCs w:val="24"/>
              </w:rPr>
            </w:pPr>
            <w:r w:rsidRPr="00F01CA4">
              <w:rPr>
                <w:rFonts w:ascii="Arial" w:eastAsia="Arial Unicode MS" w:hAnsi="Arial" w:cs="Arial"/>
                <w:b/>
                <w:color w:val="4F81BD"/>
                <w:sz w:val="24"/>
                <w:szCs w:val="24"/>
              </w:rPr>
              <w:t>MTRO. ALEJANDRO LAFUENTE TORRES</w:t>
            </w:r>
          </w:p>
        </w:tc>
      </w:tr>
      <w:tr w:rsidR="00F01CA4" w:rsidRPr="00F01CA4" w:rsidTr="009858B6">
        <w:trPr>
          <w:trHeight w:val="2085"/>
          <w:jc w:val="center"/>
        </w:trPr>
        <w:tc>
          <w:tcPr>
            <w:tcW w:w="4552" w:type="dxa"/>
          </w:tcPr>
          <w:p w:rsidR="00F01CA4" w:rsidRPr="00F01CA4" w:rsidRDefault="00F01CA4" w:rsidP="00F01CA4">
            <w:pPr>
              <w:spacing w:after="0" w:line="240" w:lineRule="auto"/>
              <w:ind w:left="360" w:hanging="360"/>
              <w:jc w:val="center"/>
              <w:rPr>
                <w:rFonts w:ascii="Arial" w:eastAsia="Arial Unicode MS" w:hAnsi="Arial" w:cs="Arial"/>
                <w:b/>
                <w:color w:val="4F81BD"/>
                <w:sz w:val="24"/>
                <w:szCs w:val="24"/>
              </w:rPr>
            </w:pPr>
            <w:r w:rsidRPr="00F01CA4">
              <w:rPr>
                <w:rFonts w:ascii="Arial" w:eastAsia="Arial Unicode MS" w:hAnsi="Arial" w:cs="Arial"/>
                <w:b/>
                <w:color w:val="4F81BD"/>
                <w:sz w:val="24"/>
                <w:szCs w:val="24"/>
              </w:rPr>
              <w:t xml:space="preserve">COMISIONADA </w:t>
            </w:r>
          </w:p>
          <w:p w:rsidR="00F01CA4" w:rsidRPr="00F01CA4" w:rsidRDefault="00F01CA4" w:rsidP="00F01CA4">
            <w:pPr>
              <w:spacing w:after="0" w:line="240" w:lineRule="auto"/>
              <w:ind w:left="360"/>
              <w:rPr>
                <w:rFonts w:ascii="Arial" w:eastAsia="Arial Unicode MS" w:hAnsi="Arial" w:cs="Arial"/>
                <w:b/>
                <w:color w:val="4F81BD"/>
                <w:sz w:val="24"/>
                <w:szCs w:val="24"/>
              </w:rPr>
            </w:pPr>
          </w:p>
          <w:p w:rsidR="00F01CA4" w:rsidRPr="00F01CA4" w:rsidRDefault="00F01CA4" w:rsidP="00F01CA4">
            <w:pPr>
              <w:spacing w:after="0" w:line="240" w:lineRule="auto"/>
              <w:ind w:left="360"/>
              <w:rPr>
                <w:rFonts w:ascii="Arial" w:eastAsia="Arial Unicode MS" w:hAnsi="Arial" w:cs="Arial"/>
                <w:b/>
                <w:color w:val="4F81BD"/>
                <w:sz w:val="24"/>
                <w:szCs w:val="24"/>
              </w:rPr>
            </w:pPr>
          </w:p>
          <w:p w:rsidR="00F01CA4" w:rsidRPr="00F01CA4" w:rsidRDefault="00F01CA4" w:rsidP="00F01CA4">
            <w:pPr>
              <w:spacing w:after="0" w:line="240" w:lineRule="auto"/>
              <w:ind w:left="360"/>
              <w:rPr>
                <w:rFonts w:ascii="Arial" w:eastAsia="Arial Unicode MS" w:hAnsi="Arial" w:cs="Arial"/>
                <w:b/>
                <w:color w:val="4F81BD"/>
                <w:sz w:val="24"/>
                <w:szCs w:val="24"/>
              </w:rPr>
            </w:pPr>
          </w:p>
          <w:p w:rsidR="00F01CA4" w:rsidRPr="00F01CA4" w:rsidRDefault="00F01CA4" w:rsidP="00F01CA4">
            <w:pPr>
              <w:tabs>
                <w:tab w:val="left" w:pos="1358"/>
              </w:tabs>
              <w:spacing w:after="0" w:line="240" w:lineRule="auto"/>
              <w:ind w:firstLine="36"/>
              <w:jc w:val="center"/>
              <w:rPr>
                <w:rFonts w:ascii="Arial" w:eastAsia="Arial Unicode MS" w:hAnsi="Arial" w:cs="Arial"/>
                <w:b/>
                <w:color w:val="4F81BD"/>
                <w:sz w:val="24"/>
                <w:szCs w:val="24"/>
              </w:rPr>
            </w:pPr>
            <w:r w:rsidRPr="00F01CA4">
              <w:rPr>
                <w:rFonts w:ascii="Arial" w:eastAsia="Arial Unicode MS" w:hAnsi="Arial" w:cs="Arial"/>
                <w:b/>
                <w:color w:val="4F81BD"/>
                <w:sz w:val="24"/>
                <w:szCs w:val="24"/>
              </w:rPr>
              <w:t xml:space="preserve">MARIAJOSÉ GONZÁLEZ ZARZOSA  </w:t>
            </w:r>
          </w:p>
        </w:tc>
        <w:tc>
          <w:tcPr>
            <w:tcW w:w="334" w:type="dxa"/>
            <w:gridSpan w:val="2"/>
          </w:tcPr>
          <w:p w:rsidR="00F01CA4" w:rsidRPr="00F01CA4" w:rsidRDefault="00F01CA4" w:rsidP="00F01CA4">
            <w:pPr>
              <w:spacing w:after="0" w:line="240" w:lineRule="auto"/>
              <w:ind w:left="360" w:firstLine="708"/>
              <w:jc w:val="center"/>
              <w:rPr>
                <w:rFonts w:ascii="Arial" w:eastAsia="Arial Unicode MS" w:hAnsi="Arial" w:cs="Arial"/>
                <w:b/>
                <w:color w:val="4F81BD"/>
                <w:sz w:val="24"/>
                <w:szCs w:val="24"/>
              </w:rPr>
            </w:pPr>
          </w:p>
        </w:tc>
        <w:tc>
          <w:tcPr>
            <w:tcW w:w="5014" w:type="dxa"/>
          </w:tcPr>
          <w:p w:rsidR="00F01CA4" w:rsidRPr="00F01CA4" w:rsidRDefault="00F01CA4" w:rsidP="00F01CA4">
            <w:pPr>
              <w:spacing w:after="0" w:line="240" w:lineRule="auto"/>
              <w:ind w:left="360" w:firstLine="708"/>
              <w:rPr>
                <w:rFonts w:ascii="Arial" w:eastAsia="Arial Unicode MS" w:hAnsi="Arial" w:cs="Arial"/>
                <w:b/>
                <w:color w:val="4F81BD"/>
                <w:sz w:val="24"/>
                <w:szCs w:val="24"/>
              </w:rPr>
            </w:pPr>
            <w:r w:rsidRPr="00F01CA4">
              <w:rPr>
                <w:rFonts w:ascii="Arial" w:eastAsia="Arial Unicode MS" w:hAnsi="Arial" w:cs="Arial"/>
                <w:b/>
                <w:color w:val="4F81BD"/>
                <w:sz w:val="24"/>
                <w:szCs w:val="24"/>
              </w:rPr>
              <w:t>SECRETARIA DE PLENO</w:t>
            </w:r>
          </w:p>
          <w:p w:rsidR="00F01CA4" w:rsidRPr="00F01CA4" w:rsidRDefault="00F01CA4" w:rsidP="00F01CA4">
            <w:pPr>
              <w:spacing w:after="0" w:line="240" w:lineRule="auto"/>
              <w:ind w:left="360" w:firstLine="708"/>
              <w:jc w:val="center"/>
              <w:rPr>
                <w:rFonts w:ascii="Arial" w:eastAsia="Arial Unicode MS" w:hAnsi="Arial" w:cs="Arial"/>
                <w:b/>
                <w:color w:val="4F81BD"/>
                <w:sz w:val="24"/>
                <w:szCs w:val="24"/>
              </w:rPr>
            </w:pPr>
          </w:p>
          <w:p w:rsidR="00F01CA4" w:rsidRPr="00F01CA4" w:rsidRDefault="00F01CA4" w:rsidP="00F01CA4">
            <w:pPr>
              <w:spacing w:after="0" w:line="240" w:lineRule="auto"/>
              <w:ind w:left="360" w:firstLine="708"/>
              <w:jc w:val="center"/>
              <w:rPr>
                <w:rFonts w:ascii="Arial" w:eastAsia="Arial Unicode MS" w:hAnsi="Arial" w:cs="Arial"/>
                <w:b/>
                <w:color w:val="4F81BD"/>
                <w:sz w:val="24"/>
                <w:szCs w:val="24"/>
              </w:rPr>
            </w:pPr>
          </w:p>
          <w:p w:rsidR="00F01CA4" w:rsidRPr="00F01CA4" w:rsidRDefault="00F01CA4" w:rsidP="00F01CA4">
            <w:pPr>
              <w:spacing w:after="0" w:line="240" w:lineRule="auto"/>
              <w:ind w:left="360" w:firstLine="708"/>
              <w:jc w:val="center"/>
              <w:rPr>
                <w:rFonts w:ascii="Arial" w:eastAsia="Arial Unicode MS" w:hAnsi="Arial" w:cs="Arial"/>
                <w:b/>
                <w:color w:val="4F81BD"/>
                <w:sz w:val="24"/>
                <w:szCs w:val="24"/>
              </w:rPr>
            </w:pPr>
          </w:p>
          <w:p w:rsidR="00F01CA4" w:rsidRPr="00F01CA4" w:rsidRDefault="00F01CA4" w:rsidP="00F01CA4">
            <w:pPr>
              <w:spacing w:after="0" w:line="240" w:lineRule="auto"/>
              <w:ind w:left="360" w:hanging="360"/>
              <w:jc w:val="center"/>
              <w:rPr>
                <w:rFonts w:ascii="Arial" w:eastAsia="Arial Unicode MS" w:hAnsi="Arial" w:cs="Arial"/>
                <w:b/>
                <w:color w:val="4F81BD"/>
                <w:sz w:val="24"/>
                <w:szCs w:val="24"/>
              </w:rPr>
            </w:pPr>
            <w:r>
              <w:rPr>
                <w:rFonts w:ascii="Arial" w:eastAsia="Arial Unicode MS" w:hAnsi="Arial" w:cs="Arial"/>
                <w:b/>
                <w:color w:val="4F81BD"/>
                <w:sz w:val="24"/>
                <w:szCs w:val="24"/>
              </w:rPr>
              <w:t>OSCAR VILLALPANDO DEVO</w:t>
            </w:r>
            <w:bookmarkStart w:id="0" w:name="_GoBack"/>
            <w:bookmarkEnd w:id="0"/>
          </w:p>
        </w:tc>
      </w:tr>
    </w:tbl>
    <w:p w:rsidR="0077012D" w:rsidRPr="00F01CA4" w:rsidRDefault="0077012D" w:rsidP="00022174">
      <w:pPr>
        <w:pStyle w:val="corte4fondo"/>
        <w:spacing w:line="276" w:lineRule="auto"/>
        <w:ind w:firstLine="0"/>
        <w:rPr>
          <w:rFonts w:cs="Arial"/>
          <w:i/>
          <w:iCs/>
          <w:color w:val="4472C4" w:themeColor="accent1"/>
          <w:sz w:val="24"/>
          <w:szCs w:val="24"/>
          <w:lang w:val="es-MX"/>
        </w:rPr>
      </w:pPr>
    </w:p>
    <w:sectPr w:rsidR="0077012D" w:rsidRPr="00F01CA4" w:rsidSect="00F01CA4">
      <w:headerReference w:type="default" r:id="rId10"/>
      <w:pgSz w:w="12240" w:h="20160" w:code="5"/>
      <w:pgMar w:top="2438" w:right="1701" w:bottom="2552"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4AA9" w:rsidRDefault="000B4AA9" w:rsidP="004173D6">
      <w:pPr>
        <w:spacing w:after="0" w:line="240" w:lineRule="auto"/>
      </w:pPr>
      <w:r>
        <w:separator/>
      </w:r>
    </w:p>
  </w:endnote>
  <w:endnote w:type="continuationSeparator" w:id="0">
    <w:p w:rsidR="000B4AA9" w:rsidRDefault="000B4AA9" w:rsidP="00417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4AA9" w:rsidRDefault="000B4AA9" w:rsidP="004173D6">
      <w:pPr>
        <w:spacing w:after="0" w:line="240" w:lineRule="auto"/>
      </w:pPr>
      <w:r>
        <w:separator/>
      </w:r>
    </w:p>
  </w:footnote>
  <w:footnote w:type="continuationSeparator" w:id="0">
    <w:p w:rsidR="000B4AA9" w:rsidRDefault="000B4AA9" w:rsidP="004173D6">
      <w:pPr>
        <w:spacing w:after="0" w:line="240" w:lineRule="auto"/>
      </w:pPr>
      <w:r>
        <w:continuationSeparator/>
      </w:r>
    </w:p>
  </w:footnote>
  <w:footnote w:id="1">
    <w:p w:rsidR="00063882" w:rsidRPr="00842244" w:rsidRDefault="00063882" w:rsidP="00063882">
      <w:pPr>
        <w:pStyle w:val="Textonotapie"/>
        <w:rPr>
          <w:lang w:val="es-ES"/>
        </w:rPr>
      </w:pPr>
      <w:r>
        <w:rPr>
          <w:rStyle w:val="Refdenotaalpie"/>
        </w:rPr>
        <w:footnoteRef/>
      </w:r>
      <w:r>
        <w:t xml:space="preserve"> </w:t>
      </w:r>
      <w:r w:rsidRPr="00842244">
        <w:t>Extracto o borrador que se hace de un contrato u otra cosa, anotando las cláusulas o partes esenciales, para copiarlo después y extenderlo con todas las formalidades necesarias para su perfección.</w:t>
      </w:r>
      <w:r>
        <w:t xml:space="preserve"> (Diccionario en línea de la Real Academia de la Lengua Española; </w:t>
      </w:r>
      <w:r w:rsidRPr="00842244">
        <w:t>https://dle.rae.es/minuta</w:t>
      </w:r>
    </w:p>
  </w:footnote>
  <w:footnote w:id="2">
    <w:p w:rsidR="00063882" w:rsidRPr="00FE681D" w:rsidRDefault="00063882" w:rsidP="00063882">
      <w:pPr>
        <w:pStyle w:val="Default"/>
        <w:rPr>
          <w:lang w:val="es-ES"/>
        </w:rPr>
      </w:pPr>
      <w:r>
        <w:rPr>
          <w:rStyle w:val="Refdenotaalpie"/>
        </w:rPr>
        <w:footnoteRef/>
      </w:r>
      <w:r>
        <w:t xml:space="preserve"> </w:t>
      </w:r>
      <w:r w:rsidRPr="00FE681D">
        <w:rPr>
          <w:b/>
          <w:bCs/>
          <w:sz w:val="20"/>
          <w:szCs w:val="20"/>
        </w:rPr>
        <w:t xml:space="preserve">ARTÍCULO 164. </w:t>
      </w:r>
      <w:r w:rsidRPr="00FE681D">
        <w:rPr>
          <w:sz w:val="20"/>
          <w:szCs w:val="20"/>
        </w:rPr>
        <w:t xml:space="preserve">Son elementos del acto administrativo: </w:t>
      </w:r>
      <w:r>
        <w:t xml:space="preserve">I. </w:t>
      </w:r>
      <w:r w:rsidRPr="00FE681D">
        <w:t>Ser expedido por autoridades competentes, a través de servidor público u órgano colegiado facultados para tal efecto, y en términos de las disposiciones jurídicas aplicables;</w:t>
      </w:r>
      <w:r>
        <w:t xml:space="preserve">[…] </w:t>
      </w:r>
      <w:r>
        <w:rPr>
          <w:b/>
          <w:bCs/>
          <w:sz w:val="20"/>
          <w:szCs w:val="20"/>
        </w:rPr>
        <w:t xml:space="preserve">IV. </w:t>
      </w:r>
      <w:r>
        <w:rPr>
          <w:sz w:val="20"/>
          <w:szCs w:val="20"/>
        </w:rPr>
        <w:t>Constar por escrito, indicando la autoridad de que emana;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4156632"/>
      <w:docPartObj>
        <w:docPartGallery w:val="Page Numbers (Top of Page)"/>
        <w:docPartUnique/>
      </w:docPartObj>
    </w:sdtPr>
    <w:sdtEndPr/>
    <w:sdtContent>
      <w:p w:rsidR="0065491F" w:rsidRDefault="004173D6">
        <w:pPr>
          <w:pStyle w:val="Encabezado"/>
          <w:jc w:val="center"/>
        </w:pPr>
        <w:r>
          <w:fldChar w:fldCharType="begin"/>
        </w:r>
        <w:r>
          <w:instrText>PAGE   \* MERGEFORMAT</w:instrText>
        </w:r>
        <w:r>
          <w:fldChar w:fldCharType="separate"/>
        </w:r>
        <w:r w:rsidR="00F01CA4" w:rsidRPr="00F01CA4">
          <w:rPr>
            <w:noProof/>
            <w:lang w:val="es-ES"/>
          </w:rPr>
          <w:t>13</w:t>
        </w:r>
        <w:r>
          <w:fldChar w:fldCharType="end"/>
        </w:r>
      </w:p>
    </w:sdtContent>
  </w:sdt>
  <w:p w:rsidR="0065491F" w:rsidRDefault="000B4AA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B3044"/>
    <w:multiLevelType w:val="hybridMultilevel"/>
    <w:tmpl w:val="D76E4696"/>
    <w:lvl w:ilvl="0" w:tplc="4D483902">
      <w:start w:val="1"/>
      <w:numFmt w:val="bullet"/>
      <w:lvlText w:val=""/>
      <w:lvlJc w:val="left"/>
      <w:pPr>
        <w:ind w:left="720" w:hanging="360"/>
      </w:pPr>
      <w:rPr>
        <w:rFonts w:ascii="Symbol" w:hAnsi="Symbol" w:hint="default"/>
      </w:rPr>
    </w:lvl>
    <w:lvl w:ilvl="1" w:tplc="6836648E">
      <w:start w:val="1"/>
      <w:numFmt w:val="bullet"/>
      <w:lvlText w:val="o"/>
      <w:lvlJc w:val="left"/>
      <w:pPr>
        <w:ind w:left="1440" w:hanging="360"/>
      </w:pPr>
      <w:rPr>
        <w:rFonts w:ascii="Courier New" w:hAnsi="Courier New" w:hint="default"/>
      </w:rPr>
    </w:lvl>
    <w:lvl w:ilvl="2" w:tplc="F8125576">
      <w:start w:val="1"/>
      <w:numFmt w:val="bullet"/>
      <w:lvlText w:val=""/>
      <w:lvlJc w:val="left"/>
      <w:pPr>
        <w:ind w:left="2160" w:hanging="360"/>
      </w:pPr>
      <w:rPr>
        <w:rFonts w:ascii="Wingdings" w:hAnsi="Wingdings" w:hint="default"/>
      </w:rPr>
    </w:lvl>
    <w:lvl w:ilvl="3" w:tplc="E3DE3974">
      <w:start w:val="1"/>
      <w:numFmt w:val="bullet"/>
      <w:lvlText w:val=""/>
      <w:lvlJc w:val="left"/>
      <w:pPr>
        <w:ind w:left="2880" w:hanging="360"/>
      </w:pPr>
      <w:rPr>
        <w:rFonts w:ascii="Symbol" w:hAnsi="Symbol" w:hint="default"/>
      </w:rPr>
    </w:lvl>
    <w:lvl w:ilvl="4" w:tplc="7C7AD66E">
      <w:start w:val="1"/>
      <w:numFmt w:val="bullet"/>
      <w:lvlText w:val="o"/>
      <w:lvlJc w:val="left"/>
      <w:pPr>
        <w:ind w:left="3600" w:hanging="360"/>
      </w:pPr>
      <w:rPr>
        <w:rFonts w:ascii="Courier New" w:hAnsi="Courier New" w:hint="default"/>
      </w:rPr>
    </w:lvl>
    <w:lvl w:ilvl="5" w:tplc="BF7A6720">
      <w:start w:val="1"/>
      <w:numFmt w:val="bullet"/>
      <w:lvlText w:val=""/>
      <w:lvlJc w:val="left"/>
      <w:pPr>
        <w:ind w:left="4320" w:hanging="360"/>
      </w:pPr>
      <w:rPr>
        <w:rFonts w:ascii="Wingdings" w:hAnsi="Wingdings" w:hint="default"/>
      </w:rPr>
    </w:lvl>
    <w:lvl w:ilvl="6" w:tplc="C21A1C72">
      <w:start w:val="1"/>
      <w:numFmt w:val="bullet"/>
      <w:lvlText w:val=""/>
      <w:lvlJc w:val="left"/>
      <w:pPr>
        <w:ind w:left="5040" w:hanging="360"/>
      </w:pPr>
      <w:rPr>
        <w:rFonts w:ascii="Symbol" w:hAnsi="Symbol" w:hint="default"/>
      </w:rPr>
    </w:lvl>
    <w:lvl w:ilvl="7" w:tplc="8CB8E80A">
      <w:start w:val="1"/>
      <w:numFmt w:val="bullet"/>
      <w:lvlText w:val="o"/>
      <w:lvlJc w:val="left"/>
      <w:pPr>
        <w:ind w:left="5760" w:hanging="360"/>
      </w:pPr>
      <w:rPr>
        <w:rFonts w:ascii="Courier New" w:hAnsi="Courier New" w:hint="default"/>
      </w:rPr>
    </w:lvl>
    <w:lvl w:ilvl="8" w:tplc="8DBE239E">
      <w:start w:val="1"/>
      <w:numFmt w:val="bullet"/>
      <w:lvlText w:val=""/>
      <w:lvlJc w:val="left"/>
      <w:pPr>
        <w:ind w:left="6480" w:hanging="360"/>
      </w:pPr>
      <w:rPr>
        <w:rFonts w:ascii="Wingdings" w:hAnsi="Wingdings" w:hint="default"/>
      </w:rPr>
    </w:lvl>
  </w:abstractNum>
  <w:abstractNum w:abstractNumId="1" w15:restartNumberingAfterBreak="0">
    <w:nsid w:val="27B21DF1"/>
    <w:multiLevelType w:val="hybridMultilevel"/>
    <w:tmpl w:val="E99A3E80"/>
    <w:lvl w:ilvl="0" w:tplc="8BCED0F6">
      <w:start w:val="1"/>
      <w:numFmt w:val="upperRoman"/>
      <w:lvlText w:val="%1."/>
      <w:lvlJc w:val="left"/>
      <w:pPr>
        <w:ind w:left="1429" w:hanging="72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4D713629"/>
    <w:multiLevelType w:val="hybridMultilevel"/>
    <w:tmpl w:val="E86E75FE"/>
    <w:lvl w:ilvl="0" w:tplc="94C83028">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3D6"/>
    <w:rsid w:val="00011A3C"/>
    <w:rsid w:val="00022174"/>
    <w:rsid w:val="00036024"/>
    <w:rsid w:val="00063882"/>
    <w:rsid w:val="00087308"/>
    <w:rsid w:val="00091E5B"/>
    <w:rsid w:val="000A2C9C"/>
    <w:rsid w:val="000A3E9F"/>
    <w:rsid w:val="000B4AA9"/>
    <w:rsid w:val="000C39EF"/>
    <w:rsid w:val="000D1705"/>
    <w:rsid w:val="000E6925"/>
    <w:rsid w:val="000F7DE5"/>
    <w:rsid w:val="00101BDC"/>
    <w:rsid w:val="001452F7"/>
    <w:rsid w:val="00181EDE"/>
    <w:rsid w:val="001F3CDD"/>
    <w:rsid w:val="00206E61"/>
    <w:rsid w:val="00236026"/>
    <w:rsid w:val="00264717"/>
    <w:rsid w:val="00281556"/>
    <w:rsid w:val="00291F35"/>
    <w:rsid w:val="002D3749"/>
    <w:rsid w:val="00305AB3"/>
    <w:rsid w:val="00324BD2"/>
    <w:rsid w:val="00331875"/>
    <w:rsid w:val="0035232C"/>
    <w:rsid w:val="003663AB"/>
    <w:rsid w:val="00375DE8"/>
    <w:rsid w:val="0037741E"/>
    <w:rsid w:val="003A2D89"/>
    <w:rsid w:val="003B0E28"/>
    <w:rsid w:val="003D4C2E"/>
    <w:rsid w:val="003D526F"/>
    <w:rsid w:val="003E335D"/>
    <w:rsid w:val="003E5C47"/>
    <w:rsid w:val="00400CD0"/>
    <w:rsid w:val="00401E20"/>
    <w:rsid w:val="004110CA"/>
    <w:rsid w:val="004173D6"/>
    <w:rsid w:val="004255A0"/>
    <w:rsid w:val="00463A9E"/>
    <w:rsid w:val="004642AE"/>
    <w:rsid w:val="0047242C"/>
    <w:rsid w:val="00487AA8"/>
    <w:rsid w:val="00495EAB"/>
    <w:rsid w:val="004A3064"/>
    <w:rsid w:val="004C5CD4"/>
    <w:rsid w:val="005312A0"/>
    <w:rsid w:val="00551CE0"/>
    <w:rsid w:val="005703CA"/>
    <w:rsid w:val="005964A6"/>
    <w:rsid w:val="005A734E"/>
    <w:rsid w:val="005B42DE"/>
    <w:rsid w:val="005B7E32"/>
    <w:rsid w:val="005E296F"/>
    <w:rsid w:val="006145C1"/>
    <w:rsid w:val="00632E69"/>
    <w:rsid w:val="00650853"/>
    <w:rsid w:val="00651443"/>
    <w:rsid w:val="00690376"/>
    <w:rsid w:val="006A2F24"/>
    <w:rsid w:val="00715A57"/>
    <w:rsid w:val="00715A6B"/>
    <w:rsid w:val="007507CD"/>
    <w:rsid w:val="00755565"/>
    <w:rsid w:val="0077012D"/>
    <w:rsid w:val="007A7D0E"/>
    <w:rsid w:val="007C6E5A"/>
    <w:rsid w:val="007E6FBB"/>
    <w:rsid w:val="00803443"/>
    <w:rsid w:val="008450B8"/>
    <w:rsid w:val="00863DD5"/>
    <w:rsid w:val="00865DEC"/>
    <w:rsid w:val="008A6EEC"/>
    <w:rsid w:val="008C232A"/>
    <w:rsid w:val="008D4308"/>
    <w:rsid w:val="008F790B"/>
    <w:rsid w:val="009078F3"/>
    <w:rsid w:val="009079BC"/>
    <w:rsid w:val="00915664"/>
    <w:rsid w:val="00940B2A"/>
    <w:rsid w:val="009468F9"/>
    <w:rsid w:val="00961788"/>
    <w:rsid w:val="00962B06"/>
    <w:rsid w:val="00990A7E"/>
    <w:rsid w:val="00992003"/>
    <w:rsid w:val="009B318F"/>
    <w:rsid w:val="009B54FB"/>
    <w:rsid w:val="009E0E15"/>
    <w:rsid w:val="009E7144"/>
    <w:rsid w:val="00A13D67"/>
    <w:rsid w:val="00A13F58"/>
    <w:rsid w:val="00A33E93"/>
    <w:rsid w:val="00A72A34"/>
    <w:rsid w:val="00A963DE"/>
    <w:rsid w:val="00AA5585"/>
    <w:rsid w:val="00AD11B4"/>
    <w:rsid w:val="00AF3156"/>
    <w:rsid w:val="00B03BB9"/>
    <w:rsid w:val="00B52FC4"/>
    <w:rsid w:val="00B5587E"/>
    <w:rsid w:val="00B64517"/>
    <w:rsid w:val="00B67E7F"/>
    <w:rsid w:val="00B87E3F"/>
    <w:rsid w:val="00B943A9"/>
    <w:rsid w:val="00BC6140"/>
    <w:rsid w:val="00BC6DC5"/>
    <w:rsid w:val="00BD5E69"/>
    <w:rsid w:val="00BE052B"/>
    <w:rsid w:val="00BE2C54"/>
    <w:rsid w:val="00BE31B5"/>
    <w:rsid w:val="00C036CA"/>
    <w:rsid w:val="00C04EB2"/>
    <w:rsid w:val="00C061AC"/>
    <w:rsid w:val="00C10A22"/>
    <w:rsid w:val="00C112FD"/>
    <w:rsid w:val="00C54224"/>
    <w:rsid w:val="00C64EC2"/>
    <w:rsid w:val="00C677E9"/>
    <w:rsid w:val="00C81D61"/>
    <w:rsid w:val="00CE00FF"/>
    <w:rsid w:val="00CF28B5"/>
    <w:rsid w:val="00CF72C4"/>
    <w:rsid w:val="00D114EC"/>
    <w:rsid w:val="00D3777E"/>
    <w:rsid w:val="00D45F59"/>
    <w:rsid w:val="00D6444F"/>
    <w:rsid w:val="00D705A7"/>
    <w:rsid w:val="00D70C11"/>
    <w:rsid w:val="00DC34A1"/>
    <w:rsid w:val="00DD2D89"/>
    <w:rsid w:val="00DE1254"/>
    <w:rsid w:val="00E22C57"/>
    <w:rsid w:val="00E26112"/>
    <w:rsid w:val="00E37D85"/>
    <w:rsid w:val="00E51AFA"/>
    <w:rsid w:val="00EA307A"/>
    <w:rsid w:val="00EB103F"/>
    <w:rsid w:val="00EF5814"/>
    <w:rsid w:val="00F01CA4"/>
    <w:rsid w:val="00F17953"/>
    <w:rsid w:val="00F4022F"/>
    <w:rsid w:val="00F466D2"/>
    <w:rsid w:val="00F95AC8"/>
    <w:rsid w:val="00F978C7"/>
    <w:rsid w:val="00FA3054"/>
    <w:rsid w:val="00FD169F"/>
    <w:rsid w:val="00FD3F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D3E06"/>
  <w15:docId w15:val="{02281437-FEB2-47B5-9962-BD6829F2F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73D6"/>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173D6"/>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173D6"/>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173D6"/>
    <w:rPr>
      <w:rFonts w:ascii="Calibri" w:eastAsia="Calibri" w:hAnsi="Calibri" w:cs="Times New Roman"/>
      <w:sz w:val="20"/>
      <w:szCs w:val="20"/>
    </w:rPr>
  </w:style>
  <w:style w:type="paragraph" w:styleId="Encabezado">
    <w:name w:val="header"/>
    <w:basedOn w:val="Normal"/>
    <w:link w:val="EncabezadoCar"/>
    <w:unhideWhenUsed/>
    <w:rsid w:val="004173D6"/>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rsid w:val="004173D6"/>
  </w:style>
  <w:style w:type="paragraph" w:styleId="Textodeglobo">
    <w:name w:val="Balloon Text"/>
    <w:basedOn w:val="Normal"/>
    <w:link w:val="TextodegloboCar"/>
    <w:uiPriority w:val="99"/>
    <w:semiHidden/>
    <w:unhideWhenUsed/>
    <w:rsid w:val="004C5CD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C5CD4"/>
    <w:rPr>
      <w:rFonts w:ascii="Segoe UI" w:eastAsia="Calibri" w:hAnsi="Segoe UI" w:cs="Segoe UI"/>
      <w:sz w:val="18"/>
      <w:szCs w:val="18"/>
    </w:rPr>
  </w:style>
  <w:style w:type="paragraph" w:customStyle="1" w:styleId="corte4fondo">
    <w:name w:val="corte4 fondo"/>
    <w:basedOn w:val="Normal"/>
    <w:link w:val="corte4fondoCar1"/>
    <w:qFormat/>
    <w:rsid w:val="00E22C57"/>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E22C57"/>
    <w:rPr>
      <w:rFonts w:ascii="Arial" w:eastAsia="Times New Roman" w:hAnsi="Arial" w:cs="Times New Roman"/>
      <w:sz w:val="30"/>
      <w:szCs w:val="20"/>
      <w:lang w:val="x-none" w:eastAsia="es-MX"/>
    </w:rPr>
  </w:style>
  <w:style w:type="paragraph" w:customStyle="1" w:styleId="Default">
    <w:name w:val="Default"/>
    <w:qFormat/>
    <w:rsid w:val="00E22C57"/>
    <w:pPr>
      <w:autoSpaceDE w:val="0"/>
      <w:autoSpaceDN w:val="0"/>
      <w:adjustRightInd w:val="0"/>
      <w:spacing w:after="0" w:line="240" w:lineRule="auto"/>
    </w:pPr>
    <w:rPr>
      <w:rFonts w:ascii="Arial" w:eastAsia="Calibri" w:hAnsi="Arial" w:cs="Arial"/>
      <w:color w:val="000000"/>
      <w:sz w:val="24"/>
      <w:szCs w:val="24"/>
      <w:lang w:eastAsia="es-MX"/>
    </w:rPr>
  </w:style>
  <w:style w:type="paragraph" w:styleId="NormalWeb">
    <w:name w:val="Normal (Web)"/>
    <w:basedOn w:val="Normal"/>
    <w:uiPriority w:val="99"/>
    <w:rsid w:val="00E22C57"/>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xmsonormal">
    <w:name w:val="x_msonormal"/>
    <w:basedOn w:val="Normal"/>
    <w:rsid w:val="00E22C57"/>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corte2ponente">
    <w:name w:val="corte2 ponente"/>
    <w:basedOn w:val="Normal"/>
    <w:link w:val="corte2ponenteCar"/>
    <w:uiPriority w:val="99"/>
    <w:rsid w:val="00650853"/>
    <w:pPr>
      <w:spacing w:after="0" w:line="240" w:lineRule="auto"/>
    </w:pPr>
    <w:rPr>
      <w:rFonts w:ascii="Arial" w:eastAsia="Times New Roman" w:hAnsi="Arial"/>
      <w:b/>
      <w:caps/>
      <w:sz w:val="30"/>
      <w:szCs w:val="20"/>
      <w:lang w:val="x-none" w:eastAsia="es-MX"/>
    </w:rPr>
  </w:style>
  <w:style w:type="character" w:customStyle="1" w:styleId="corte2ponenteCar">
    <w:name w:val="corte2 ponente Car"/>
    <w:link w:val="corte2ponente"/>
    <w:uiPriority w:val="99"/>
    <w:rsid w:val="00650853"/>
    <w:rPr>
      <w:rFonts w:ascii="Arial" w:eastAsia="Times New Roman" w:hAnsi="Arial" w:cs="Times New Roman"/>
      <w:b/>
      <w:caps/>
      <w:sz w:val="30"/>
      <w:szCs w:val="20"/>
      <w:lang w:val="x-none" w:eastAsia="es-MX"/>
    </w:rPr>
  </w:style>
  <w:style w:type="paragraph" w:styleId="Piedepgina">
    <w:name w:val="footer"/>
    <w:basedOn w:val="Normal"/>
    <w:link w:val="PiedepginaCar"/>
    <w:uiPriority w:val="99"/>
    <w:unhideWhenUsed/>
    <w:rsid w:val="00AA55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A5585"/>
    <w:rPr>
      <w:rFonts w:ascii="Calibri" w:eastAsia="Calibri" w:hAnsi="Calibri" w:cs="Times New Roman"/>
    </w:rPr>
  </w:style>
  <w:style w:type="paragraph" w:styleId="Textoindependiente">
    <w:name w:val="Body Text"/>
    <w:basedOn w:val="Normal"/>
    <w:link w:val="TextoindependienteCar"/>
    <w:uiPriority w:val="99"/>
    <w:semiHidden/>
    <w:unhideWhenUsed/>
    <w:rsid w:val="00961788"/>
    <w:pPr>
      <w:spacing w:after="120"/>
    </w:pPr>
  </w:style>
  <w:style w:type="character" w:customStyle="1" w:styleId="TextoindependienteCar">
    <w:name w:val="Texto independiente Car"/>
    <w:basedOn w:val="Fuentedeprrafopredeter"/>
    <w:link w:val="Textoindependiente"/>
    <w:uiPriority w:val="99"/>
    <w:semiHidden/>
    <w:rsid w:val="00961788"/>
    <w:rPr>
      <w:rFonts w:ascii="Calibri" w:eastAsia="Calibri" w:hAnsi="Calibri" w:cs="Times New Roman"/>
    </w:rPr>
  </w:style>
  <w:style w:type="paragraph" w:styleId="Textoindependienteprimerasangra">
    <w:name w:val="Body Text First Indent"/>
    <w:basedOn w:val="Textoindependiente"/>
    <w:link w:val="TextoindependienteprimerasangraCar"/>
    <w:unhideWhenUsed/>
    <w:rsid w:val="00961788"/>
    <w:pPr>
      <w:spacing w:line="240" w:lineRule="auto"/>
      <w:ind w:firstLine="210"/>
    </w:pPr>
    <w:rPr>
      <w:rFonts w:ascii="Times New Roman" w:eastAsia="Times New Roman" w:hAnsi="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rsid w:val="00961788"/>
    <w:rPr>
      <w:rFonts w:ascii="Times New Roman" w:eastAsia="Times New Roman" w:hAnsi="Times New Roman" w:cs="Times New Roman"/>
      <w:sz w:val="24"/>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7E6FBB"/>
    <w:pPr>
      <w:ind w:left="720"/>
      <w:contextualSpacing/>
    </w:pPr>
  </w:style>
  <w:style w:type="paragraph" w:styleId="Sinespaciado">
    <w:name w:val="No Spacing"/>
    <w:uiPriority w:val="1"/>
    <w:qFormat/>
    <w:rsid w:val="00865DEC"/>
    <w:pPr>
      <w:spacing w:after="0" w:line="240" w:lineRule="auto"/>
    </w:pPr>
  </w:style>
  <w:style w:type="paragraph" w:customStyle="1" w:styleId="corte1datos">
    <w:name w:val="corte1 datos"/>
    <w:basedOn w:val="Normal"/>
    <w:link w:val="corte1datosCar"/>
    <w:qFormat/>
    <w:rsid w:val="00BD5E69"/>
    <w:pPr>
      <w:spacing w:after="0" w:line="240" w:lineRule="auto"/>
      <w:ind w:left="2552"/>
    </w:pPr>
    <w:rPr>
      <w:rFonts w:ascii="Arial" w:eastAsia="Times New Roman" w:hAnsi="Arial"/>
      <w:b/>
      <w:caps/>
      <w:sz w:val="30"/>
      <w:szCs w:val="20"/>
      <w:lang w:val="x-none" w:eastAsia="es-MX"/>
    </w:rPr>
  </w:style>
  <w:style w:type="character" w:customStyle="1" w:styleId="corte1datosCar">
    <w:name w:val="corte1 datos Car"/>
    <w:link w:val="corte1datos"/>
    <w:rsid w:val="00BD5E69"/>
    <w:rPr>
      <w:rFonts w:ascii="Arial" w:eastAsia="Times New Roman" w:hAnsi="Arial" w:cs="Times New Roman"/>
      <w:b/>
      <w:caps/>
      <w:sz w:val="30"/>
      <w:szCs w:val="20"/>
      <w:lang w:val="x-none" w:eastAsia="es-MX"/>
    </w:rPr>
  </w:style>
  <w:style w:type="paragraph" w:styleId="Ttulo">
    <w:name w:val="Title"/>
    <w:basedOn w:val="Normal"/>
    <w:next w:val="Normal"/>
    <w:link w:val="TtuloCar"/>
    <w:uiPriority w:val="10"/>
    <w:qFormat/>
    <w:rsid w:val="00BD5E69"/>
    <w:pPr>
      <w:spacing w:before="240" w:after="60"/>
      <w:jc w:val="center"/>
      <w:outlineLvl w:val="0"/>
    </w:pPr>
    <w:rPr>
      <w:rFonts w:ascii="Cambria" w:eastAsia="Times New Roman" w:hAnsi="Cambria"/>
      <w:b/>
      <w:bCs/>
      <w:kern w:val="28"/>
      <w:sz w:val="32"/>
      <w:szCs w:val="32"/>
      <w:lang w:val="x-none" w:eastAsia="x-none"/>
    </w:rPr>
  </w:style>
  <w:style w:type="character" w:customStyle="1" w:styleId="TtuloCar">
    <w:name w:val="Título Car"/>
    <w:basedOn w:val="Fuentedeprrafopredeter"/>
    <w:link w:val="Ttulo"/>
    <w:uiPriority w:val="10"/>
    <w:rsid w:val="00BD5E69"/>
    <w:rPr>
      <w:rFonts w:ascii="Cambria" w:eastAsia="Times New Roman" w:hAnsi="Cambria" w:cs="Times New Roman"/>
      <w:b/>
      <w:bCs/>
      <w:kern w:val="28"/>
      <w:sz w:val="32"/>
      <w:szCs w:val="32"/>
      <w:lang w:val="x-none" w:eastAsia="x-none"/>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BD5E69"/>
    <w:rPr>
      <w:rFonts w:ascii="Calibri" w:eastAsia="Calibri" w:hAnsi="Calibri" w:cs="Times New Roman"/>
    </w:rPr>
  </w:style>
  <w:style w:type="character" w:styleId="Hipervnculo">
    <w:name w:val="Hyperlink"/>
    <w:basedOn w:val="Fuentedeprrafopredeter"/>
    <w:uiPriority w:val="99"/>
    <w:unhideWhenUsed/>
    <w:rsid w:val="00BD5E69"/>
    <w:rPr>
      <w:color w:val="0000FF"/>
      <w:u w:val="single"/>
    </w:rPr>
  </w:style>
  <w:style w:type="table" w:styleId="Tablaconcuadrcula">
    <w:name w:val="Table Grid"/>
    <w:basedOn w:val="Tablanormal"/>
    <w:uiPriority w:val="39"/>
    <w:rsid w:val="00690376"/>
    <w:pPr>
      <w:spacing w:after="0" w:line="240" w:lineRule="auto"/>
    </w:pPr>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159014">
      <w:bodyDiv w:val="1"/>
      <w:marLeft w:val="0"/>
      <w:marRight w:val="0"/>
      <w:marTop w:val="0"/>
      <w:marBottom w:val="0"/>
      <w:divBdr>
        <w:top w:val="none" w:sz="0" w:space="0" w:color="auto"/>
        <w:left w:val="none" w:sz="0" w:space="0" w:color="auto"/>
        <w:bottom w:val="none" w:sz="0" w:space="0" w:color="auto"/>
        <w:right w:val="none" w:sz="0" w:space="0" w:color="auto"/>
      </w:divBdr>
    </w:div>
    <w:div w:id="560362590">
      <w:bodyDiv w:val="1"/>
      <w:marLeft w:val="0"/>
      <w:marRight w:val="0"/>
      <w:marTop w:val="0"/>
      <w:marBottom w:val="0"/>
      <w:divBdr>
        <w:top w:val="none" w:sz="0" w:space="0" w:color="auto"/>
        <w:left w:val="none" w:sz="0" w:space="0" w:color="auto"/>
        <w:bottom w:val="none" w:sz="0" w:space="0" w:color="auto"/>
        <w:right w:val="none" w:sz="0" w:space="0" w:color="auto"/>
      </w:divBdr>
    </w:div>
    <w:div w:id="1169177126">
      <w:bodyDiv w:val="1"/>
      <w:marLeft w:val="0"/>
      <w:marRight w:val="0"/>
      <w:marTop w:val="0"/>
      <w:marBottom w:val="0"/>
      <w:divBdr>
        <w:top w:val="none" w:sz="0" w:space="0" w:color="auto"/>
        <w:left w:val="none" w:sz="0" w:space="0" w:color="auto"/>
        <w:bottom w:val="none" w:sz="0" w:space="0" w:color="auto"/>
        <w:right w:val="none" w:sz="0" w:space="0" w:color="auto"/>
      </w:divBdr>
    </w:div>
    <w:div w:id="1444377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9EBB7C-7F7B-4C5B-94FD-AD35AE190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13</Pages>
  <Words>5081</Words>
  <Characters>27950</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cegaip</dc:creator>
  <cp:lastModifiedBy>cegaip</cp:lastModifiedBy>
  <cp:revision>5</cp:revision>
  <cp:lastPrinted>2022-01-05T18:35:00Z</cp:lastPrinted>
  <dcterms:created xsi:type="dcterms:W3CDTF">2022-01-05T18:38:00Z</dcterms:created>
  <dcterms:modified xsi:type="dcterms:W3CDTF">2023-06-08T18:38:00Z</dcterms:modified>
</cp:coreProperties>
</file>