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929" w:rsidRDefault="00902929" w:rsidP="00902929">
      <w:pPr>
        <w:autoSpaceDE w:val="0"/>
        <w:autoSpaceDN w:val="0"/>
        <w:adjustRightInd w:val="0"/>
        <w:spacing w:after="0" w:line="240" w:lineRule="auto"/>
        <w:jc w:val="both"/>
        <w:rPr>
          <w:rFonts w:ascii="Montserrat" w:hAnsi="Montserrat" w:cs="Arial"/>
          <w:sz w:val="28"/>
          <w:szCs w:val="28"/>
        </w:rPr>
      </w:pPr>
    </w:p>
    <w:p w:rsidR="00902929" w:rsidRDefault="00902929" w:rsidP="00902929">
      <w:pPr>
        <w:autoSpaceDE w:val="0"/>
        <w:autoSpaceDN w:val="0"/>
        <w:adjustRightInd w:val="0"/>
        <w:spacing w:after="0" w:line="240" w:lineRule="auto"/>
        <w:jc w:val="both"/>
        <w:rPr>
          <w:rFonts w:ascii="Montserrat" w:hAnsi="Montserrat" w:cs="Arial"/>
          <w:sz w:val="28"/>
          <w:szCs w:val="28"/>
        </w:rPr>
      </w:pPr>
    </w:p>
    <w:p w:rsidR="00902929" w:rsidRPr="00902929" w:rsidRDefault="00902929" w:rsidP="00902929">
      <w:pPr>
        <w:autoSpaceDE w:val="0"/>
        <w:autoSpaceDN w:val="0"/>
        <w:adjustRightInd w:val="0"/>
        <w:spacing w:after="0" w:line="240" w:lineRule="auto"/>
        <w:jc w:val="both"/>
        <w:rPr>
          <w:rFonts w:ascii="Montserrat" w:hAnsi="Montserrat" w:cs="Arial"/>
          <w:sz w:val="28"/>
          <w:szCs w:val="28"/>
        </w:rPr>
      </w:pPr>
      <w:r w:rsidRPr="00902929">
        <w:rPr>
          <w:rFonts w:ascii="Montserrat" w:hAnsi="Montserrat" w:cs="Arial"/>
          <w:sz w:val="28"/>
          <w:szCs w:val="28"/>
        </w:rPr>
        <w:t xml:space="preserve">Los archivos que contienen la versión publica de las declaraciones patrimonial, de intereses y fiscal presentadas </w:t>
      </w:r>
      <w:r w:rsidRPr="00902929">
        <w:rPr>
          <w:rFonts w:ascii="Montserrat" w:hAnsi="Montserrat" w:cs="Arial"/>
          <w:sz w:val="28"/>
          <w:szCs w:val="28"/>
        </w:rPr>
        <w:t>en cumplimiento de lo dispuesto en los artículos 124, cuarto pá</w:t>
      </w:r>
      <w:r w:rsidRPr="00902929">
        <w:rPr>
          <w:rFonts w:ascii="Montserrat" w:hAnsi="Montserrat" w:cs="Arial"/>
          <w:sz w:val="28"/>
          <w:szCs w:val="28"/>
        </w:rPr>
        <w:t xml:space="preserve">rrafo de la </w:t>
      </w:r>
      <w:r w:rsidRPr="00902929">
        <w:rPr>
          <w:rFonts w:ascii="Montserrat" w:hAnsi="Montserrat" w:cs="Arial"/>
          <w:sz w:val="28"/>
          <w:szCs w:val="28"/>
        </w:rPr>
        <w:t>Constitución Política del Estado de San Luis Potosí: 3° fracció</w:t>
      </w:r>
      <w:r w:rsidRPr="00902929">
        <w:rPr>
          <w:rFonts w:ascii="Montserrat" w:hAnsi="Montserrat" w:cs="Arial"/>
          <w:sz w:val="28"/>
          <w:szCs w:val="28"/>
        </w:rPr>
        <w:t>n XI, 25, 29,</w:t>
      </w:r>
      <w:r w:rsidRPr="00902929">
        <w:rPr>
          <w:rFonts w:ascii="Montserrat" w:hAnsi="Montserrat" w:cs="Arial"/>
          <w:sz w:val="28"/>
          <w:szCs w:val="28"/>
        </w:rPr>
        <w:t>32, 33, 34, 36, 39, 48 fracci</w:t>
      </w:r>
      <w:bookmarkStart w:id="0" w:name="_GoBack"/>
      <w:bookmarkEnd w:id="0"/>
      <w:r w:rsidRPr="00902929">
        <w:rPr>
          <w:rFonts w:ascii="Montserrat" w:hAnsi="Montserrat" w:cs="Arial"/>
          <w:sz w:val="28"/>
          <w:szCs w:val="28"/>
        </w:rPr>
        <w:t>ó</w:t>
      </w:r>
      <w:r w:rsidRPr="00902929">
        <w:rPr>
          <w:rFonts w:ascii="Montserrat" w:hAnsi="Montserrat" w:cs="Arial"/>
          <w:sz w:val="28"/>
          <w:szCs w:val="28"/>
        </w:rPr>
        <w:t>n IV,</w:t>
      </w:r>
      <w:r>
        <w:rPr>
          <w:rFonts w:ascii="Montserrat" w:hAnsi="Montserrat" w:cs="Arial"/>
          <w:sz w:val="28"/>
          <w:szCs w:val="28"/>
        </w:rPr>
        <w:t xml:space="preserve"> </w:t>
      </w:r>
      <w:r w:rsidRPr="00902929">
        <w:rPr>
          <w:rFonts w:ascii="Montserrat" w:hAnsi="Montserrat" w:cs="Arial"/>
          <w:sz w:val="28"/>
          <w:szCs w:val="28"/>
        </w:rPr>
        <w:t>relativos de la Ley de Responsabilidades Administrativas para el Estado y Municipios de San Luis Potos</w:t>
      </w:r>
      <w:r w:rsidRPr="00902929">
        <w:rPr>
          <w:rFonts w:ascii="Montserrat" w:hAnsi="Montserrat" w:cs="Arial"/>
          <w:sz w:val="28"/>
          <w:szCs w:val="28"/>
        </w:rPr>
        <w:t xml:space="preserve"> y la obligación </w:t>
      </w:r>
      <w:r w:rsidRPr="00902929">
        <w:rPr>
          <w:rFonts w:ascii="Montserrat" w:hAnsi="Montserrat" w:cs="Arial"/>
          <w:sz w:val="28"/>
          <w:szCs w:val="28"/>
        </w:rPr>
        <w:t>prevista en el artículo 84fracción XVII de la Ley de Transparencia y Acceso a la Información Públic</w:t>
      </w:r>
      <w:r>
        <w:rPr>
          <w:rFonts w:ascii="Montserrat" w:hAnsi="Montserrat" w:cs="Arial"/>
          <w:sz w:val="28"/>
          <w:szCs w:val="28"/>
        </w:rPr>
        <w:t>a del Estado de San Luis Potosí, forma parte del expediente abierto de la CONTRALORIA GENERAL DEL ESTADO DE SAN LUIS POTOSÍ.</w:t>
      </w:r>
    </w:p>
    <w:sectPr w:rsidR="00902929" w:rsidRPr="009029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929"/>
    <w:rsid w:val="00902929"/>
    <w:rsid w:val="00B8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BDC18"/>
  <w15:chartTrackingRefBased/>
  <w15:docId w15:val="{5D84D2CE-71D6-4F7F-BCFB-8D67B5D79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2023-06-09T13:41:00Z</dcterms:created>
  <dcterms:modified xsi:type="dcterms:W3CDTF">2023-06-09T13:51:00Z</dcterms:modified>
</cp:coreProperties>
</file>