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C40" w:rsidRDefault="00444B73">
      <w:bookmarkStart w:id="0" w:name="_GoBack"/>
      <w:r>
        <w:t>E</w:t>
      </w:r>
      <w:r w:rsidRPr="00444B73">
        <w:t xml:space="preserve">n el </w:t>
      </w:r>
      <w:r>
        <w:t>M</w:t>
      </w:r>
      <w:r w:rsidRPr="00444B73">
        <w:t>unicipio de Huehuetlán no se genera información que se reporte deberá corresponder con la enviada a  los organismos garantes, para su análisis y elaboración de listados de  personas físicas y morales requeridos por los artículos 81 y 82 de la Ley General de Transparencia</w:t>
      </w:r>
      <w:bookmarkEnd w:id="0"/>
    </w:p>
    <w:sectPr w:rsidR="004C5C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B73"/>
    <w:rsid w:val="001C5B1D"/>
    <w:rsid w:val="00444B73"/>
    <w:rsid w:val="004C5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42</Words>
  <Characters>237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romyhuehue</cp:lastModifiedBy>
  <cp:revision>3</cp:revision>
  <dcterms:created xsi:type="dcterms:W3CDTF">2021-12-10T16:51:00Z</dcterms:created>
  <dcterms:modified xsi:type="dcterms:W3CDTF">2022-04-20T16:34:00Z</dcterms:modified>
</cp:coreProperties>
</file>