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432" w:rsidRDefault="008F3432"/>
    <w:p w:rsidR="008F3432" w:rsidRDefault="008F3432" w:rsidP="008F3432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VARIABLES (CRITERIOS DE LOS FORMATOS) </w:t>
      </w:r>
      <w:bookmarkStart w:id="0" w:name="_GoBack"/>
      <w:bookmarkEnd w:id="0"/>
    </w:p>
    <w:p w:rsidR="008F3432" w:rsidRDefault="008F3432" w:rsidP="008F3432">
      <w:pPr>
        <w:jc w:val="center"/>
        <w:rPr>
          <w:sz w:val="40"/>
          <w:szCs w:val="40"/>
        </w:rPr>
      </w:pPr>
      <w:r>
        <w:rPr>
          <w:noProof/>
          <w:lang w:eastAsia="es-MX"/>
        </w:rPr>
        <w:drawing>
          <wp:inline distT="0" distB="0" distL="0" distR="0" wp14:anchorId="1F7C0501" wp14:editId="3F2F7425">
            <wp:extent cx="5612130" cy="2309495"/>
            <wp:effectExtent l="0" t="0" r="7620" b="0"/>
            <wp:docPr id="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309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3432" w:rsidRDefault="008F3432" w:rsidP="008F3432">
      <w:pPr>
        <w:jc w:val="center"/>
        <w:rPr>
          <w:sz w:val="40"/>
          <w:szCs w:val="40"/>
        </w:rPr>
      </w:pPr>
    </w:p>
    <w:p w:rsidR="008F3432" w:rsidRDefault="008F3432" w:rsidP="008F3432">
      <w:pPr>
        <w:jc w:val="center"/>
        <w:rPr>
          <w:sz w:val="40"/>
          <w:szCs w:val="40"/>
        </w:rPr>
      </w:pPr>
    </w:p>
    <w:p w:rsidR="008F3432" w:rsidRPr="008F3432" w:rsidRDefault="008F3432" w:rsidP="008F3432">
      <w:pPr>
        <w:spacing w:after="0"/>
        <w:jc w:val="center"/>
        <w:rPr>
          <w:rFonts w:cstheme="minorHAnsi"/>
          <w:b/>
          <w:sz w:val="24"/>
          <w:szCs w:val="24"/>
        </w:rPr>
      </w:pPr>
      <w:r w:rsidRPr="008F3432">
        <w:rPr>
          <w:rFonts w:cstheme="minorHAnsi"/>
          <w:b/>
          <w:sz w:val="24"/>
          <w:szCs w:val="24"/>
        </w:rPr>
        <w:t>Metodología Estadística CEGAIP</w:t>
      </w:r>
      <w:r w:rsidRPr="008F3432">
        <w:rPr>
          <w:rFonts w:cstheme="minorHAnsi"/>
          <w:b/>
          <w:sz w:val="24"/>
          <w:szCs w:val="24"/>
        </w:rPr>
        <w:br/>
        <w:t>Plataforma Estatal de Transparencia del Estado de San Luis Potosí.</w:t>
      </w:r>
    </w:p>
    <w:p w:rsidR="008F3432" w:rsidRPr="008F3432" w:rsidRDefault="008F3432" w:rsidP="008F3432">
      <w:pPr>
        <w:pStyle w:val="Prrafodelista"/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 w:rsidRPr="008F3432">
        <w:rPr>
          <w:rFonts w:cstheme="minorHAnsi"/>
          <w:sz w:val="24"/>
          <w:szCs w:val="24"/>
        </w:rPr>
        <w:t>porcentaje simple</w:t>
      </w:r>
    </w:p>
    <w:p w:rsidR="008F3432" w:rsidRPr="008F3432" w:rsidRDefault="008F3432" w:rsidP="008F3432">
      <w:pPr>
        <w:pStyle w:val="Prrafodelista"/>
        <w:numPr>
          <w:ilvl w:val="0"/>
          <w:numId w:val="1"/>
        </w:numPr>
        <w:spacing w:after="0"/>
        <w:rPr>
          <w:rFonts w:cstheme="minorHAnsi"/>
          <w:sz w:val="24"/>
          <w:szCs w:val="24"/>
        </w:rPr>
      </w:pPr>
      <w:r w:rsidRPr="008F3432">
        <w:rPr>
          <w:rFonts w:cstheme="minorHAnsi"/>
          <w:sz w:val="24"/>
          <w:szCs w:val="24"/>
        </w:rPr>
        <w:t>conteo matemático / número de obligaciones , representado de manera porcentual</w:t>
      </w:r>
    </w:p>
    <w:p w:rsidR="008F3432" w:rsidRPr="008F3432" w:rsidRDefault="008F3432" w:rsidP="008F3432">
      <w:pPr>
        <w:spacing w:after="0"/>
        <w:jc w:val="center"/>
        <w:rPr>
          <w:rFonts w:cstheme="minorHAnsi"/>
          <w:sz w:val="24"/>
          <w:szCs w:val="24"/>
        </w:rPr>
      </w:pPr>
    </w:p>
    <w:sectPr w:rsidR="008F3432" w:rsidRPr="008F34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221C3B"/>
    <w:multiLevelType w:val="hybridMultilevel"/>
    <w:tmpl w:val="F2F07E84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432"/>
    <w:rsid w:val="008F3432"/>
    <w:rsid w:val="00E62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F343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F34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F3432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8F34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F343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F34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F3432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8F34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063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2021-11-13T18:17:00Z</dcterms:created>
  <dcterms:modified xsi:type="dcterms:W3CDTF">2021-11-13T18:20:00Z</dcterms:modified>
</cp:coreProperties>
</file>