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0B04879F"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A6A52">
        <w:rPr>
          <w:rFonts w:ascii="AvantGarde Bk BT" w:hAnsi="AvantGarde Bk BT" w:cs="Arial"/>
          <w:b/>
          <w:color w:val="000000" w:themeColor="text1"/>
          <w:sz w:val="24"/>
          <w:szCs w:val="24"/>
        </w:rPr>
        <w:t>464</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2022</w:t>
      </w:r>
      <w:r w:rsidR="00A2443F" w:rsidRPr="007C5605">
        <w:rPr>
          <w:rFonts w:ascii="AvantGarde Bk BT" w:hAnsi="AvantGarde Bk BT" w:cs="Arial"/>
          <w:b/>
          <w:color w:val="000000" w:themeColor="text1"/>
          <w:sz w:val="24"/>
          <w:szCs w:val="24"/>
        </w:rPr>
        <w:t>-1</w:t>
      </w:r>
      <w:r w:rsidR="001B16FB">
        <w:rPr>
          <w:rFonts w:ascii="AvantGarde Bk BT" w:hAnsi="AvantGarde Bk BT" w:cs="Arial"/>
          <w:b/>
          <w:color w:val="000000" w:themeColor="text1"/>
          <w:sz w:val="24"/>
          <w:szCs w:val="24"/>
        </w:rPr>
        <w:t xml:space="preserve"> </w:t>
      </w:r>
      <w:r w:rsidR="002B2C9C">
        <w:rPr>
          <w:rFonts w:ascii="AvantGarde Bk BT" w:hAnsi="AvantGarde Bk BT" w:cs="Arial"/>
          <w:b/>
          <w:color w:val="000000" w:themeColor="text1"/>
          <w:sz w:val="24"/>
          <w:szCs w:val="24"/>
        </w:rPr>
        <w:t>SIGEMI</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5B69657E" w:rsidR="008A7FF4" w:rsidRDefault="00BA6A52"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SAN CIRO DE ACOSTA</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299C3A3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BA6A52">
        <w:rPr>
          <w:rFonts w:ascii="AvantGarde Bk BT" w:hAnsi="AvantGarde Bk BT" w:cs="Arial"/>
          <w:color w:val="000000" w:themeColor="text1"/>
          <w:sz w:val="24"/>
          <w:szCs w:val="24"/>
        </w:rPr>
        <w:t>06 seis</w:t>
      </w:r>
      <w:r w:rsidR="002B2C9C">
        <w:rPr>
          <w:rFonts w:ascii="AvantGarde Bk BT" w:hAnsi="AvantGarde Bk BT" w:cs="Arial"/>
          <w:color w:val="000000" w:themeColor="text1"/>
          <w:sz w:val="24"/>
          <w:szCs w:val="24"/>
        </w:rPr>
        <w:t xml:space="preserve"> de mayo de 2022 dos mil veintidós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40F2FDCE"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BA6A52">
        <w:rPr>
          <w:rFonts w:ascii="AvantGarde Bk BT" w:hAnsi="AvantGarde Bk BT" w:cs="Arial"/>
          <w:color w:val="000000" w:themeColor="text1"/>
          <w:sz w:val="24"/>
          <w:szCs w:val="24"/>
        </w:rPr>
        <w:t>18 dieciocho de enero de 2022 dos mil veintidós</w:t>
      </w:r>
      <w:r w:rsidR="002B2C9C">
        <w:rPr>
          <w:rFonts w:ascii="AvantGarde Bk BT" w:hAnsi="AvantGarde Bk BT" w:cs="Arial"/>
          <w:color w:val="000000" w:themeColor="text1"/>
          <w:sz w:val="24"/>
          <w:szCs w:val="24"/>
        </w:rPr>
        <w:t xml:space="preserve"> </w:t>
      </w:r>
      <w:r w:rsidR="00BA6A52">
        <w:rPr>
          <w:rFonts w:ascii="AvantGarde Bk BT" w:hAnsi="AvantGarde Bk BT" w:cs="Arial"/>
          <w:color w:val="000000" w:themeColor="text1"/>
          <w:sz w:val="24"/>
          <w:szCs w:val="24"/>
        </w:rPr>
        <w:t>el</w:t>
      </w:r>
      <w:r w:rsidR="00126008">
        <w:rPr>
          <w:rFonts w:ascii="AvantGarde Bk BT" w:hAnsi="AvantGarde Bk BT" w:cs="Arial"/>
          <w:color w:val="000000" w:themeColor="text1"/>
          <w:sz w:val="24"/>
          <w:szCs w:val="24"/>
        </w:rPr>
        <w:t xml:space="preserve"> </w:t>
      </w:r>
      <w:r w:rsidR="00BA6A52">
        <w:rPr>
          <w:rFonts w:ascii="AvantGarde Bk BT" w:hAnsi="AvantGarde Bk BT" w:cs="Arial"/>
          <w:b/>
          <w:color w:val="000000" w:themeColor="text1"/>
          <w:sz w:val="24"/>
          <w:szCs w:val="24"/>
        </w:rPr>
        <w:t>MUNICIPIO DE SAN CIRO DE ACOSTA</w:t>
      </w:r>
      <w:r w:rsidR="00E630DA">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BA6A52">
        <w:rPr>
          <w:rFonts w:ascii="AvantGarde Bk BT" w:hAnsi="AvantGarde Bk BT" w:cs="Arial"/>
          <w:color w:val="000000" w:themeColor="text1"/>
          <w:sz w:val="24"/>
          <w:szCs w:val="24"/>
        </w:rPr>
        <w:t>2404743</w:t>
      </w:r>
      <w:r w:rsidR="002B2C9C">
        <w:rPr>
          <w:rFonts w:ascii="AvantGarde Bk BT" w:hAnsi="AvantGarde Bk BT" w:cs="Arial"/>
          <w:color w:val="000000" w:themeColor="text1"/>
          <w:sz w:val="24"/>
          <w:szCs w:val="24"/>
        </w:rPr>
        <w:t>22</w:t>
      </w:r>
      <w:r w:rsidR="00BA6A52">
        <w:rPr>
          <w:rFonts w:ascii="AvantGarde Bk BT" w:hAnsi="AvantGarde Bk BT" w:cs="Arial"/>
          <w:color w:val="000000" w:themeColor="text1"/>
          <w:sz w:val="24"/>
          <w:szCs w:val="24"/>
        </w:rPr>
        <w:t>000005.</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BA6A52">
        <w:rPr>
          <w:rFonts w:ascii="AvantGarde Bk BT" w:hAnsi="AvantGarde Bk BT" w:cs="Arial"/>
          <w:color w:val="000000" w:themeColor="text1"/>
          <w:sz w:val="24"/>
          <w:szCs w:val="24"/>
        </w:rPr>
        <w:t>06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3AE4EAE5" w14:textId="225A8AF4" w:rsidR="00BA6A52" w:rsidRPr="00BA6A52"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BA6A52">
        <w:rPr>
          <w:rFonts w:ascii="AvantGarde Bk BT" w:hAnsi="AvantGarde Bk BT" w:cs="Arial"/>
          <w:b/>
          <w:color w:val="000000" w:themeColor="text1"/>
          <w:sz w:val="24"/>
          <w:szCs w:val="24"/>
        </w:rPr>
        <w:t xml:space="preserve">Respuesta a la solicitud de información. </w:t>
      </w:r>
      <w:r w:rsidR="00BA6A52">
        <w:rPr>
          <w:rFonts w:ascii="AvantGarde Bk BT" w:hAnsi="AvantGarde Bk BT" w:cs="Arial"/>
          <w:color w:val="000000" w:themeColor="text1"/>
          <w:sz w:val="24"/>
          <w:szCs w:val="24"/>
        </w:rPr>
        <w:t>El 01 uno de febrero de 2022 dos mil veintidós, el sujeto obligado documentó su respuesta a través de la Plataforma Nacional de Transparencia. (Visible a foja 03 de autos).</w:t>
      </w:r>
    </w:p>
    <w:p w14:paraId="2F440862" w14:textId="55214E25" w:rsidR="00B400A9" w:rsidRDefault="00BA6A52"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B2C9C" w:rsidRPr="007C5605">
        <w:rPr>
          <w:rFonts w:ascii="AvantGarde Bk BT" w:hAnsi="AvantGarde Bk BT" w:cs="Arial"/>
          <w:b/>
          <w:color w:val="000000" w:themeColor="text1"/>
          <w:sz w:val="24"/>
          <w:szCs w:val="24"/>
        </w:rPr>
        <w:t>Interposición del recurso.</w:t>
      </w:r>
      <w:r w:rsidR="002B2C9C"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03 tres de febrero</w:t>
      </w:r>
      <w:r w:rsidR="002B2C9C">
        <w:rPr>
          <w:rFonts w:ascii="AvantGarde Bk BT" w:hAnsi="AvantGarde Bk BT" w:cs="Arial"/>
          <w:color w:val="000000" w:themeColor="text1"/>
          <w:sz w:val="24"/>
          <w:szCs w:val="24"/>
        </w:rPr>
        <w:t xml:space="preserve"> de 2022 dos mil veintidós</w:t>
      </w:r>
      <w:r w:rsidR="002B2C9C" w:rsidRPr="007C5605">
        <w:rPr>
          <w:rFonts w:ascii="AvantGarde Bk BT" w:hAnsi="AvantGarde Bk BT" w:cs="Arial"/>
          <w:color w:val="000000" w:themeColor="text1"/>
          <w:sz w:val="24"/>
          <w:szCs w:val="24"/>
        </w:rPr>
        <w:t xml:space="preserve"> </w:t>
      </w:r>
      <w:r w:rsidR="002B2C9C">
        <w:rPr>
          <w:rFonts w:ascii="AvantGarde Bk BT" w:hAnsi="AvantGarde Bk BT" w:cs="Arial"/>
          <w:color w:val="000000" w:themeColor="text1"/>
          <w:sz w:val="24"/>
          <w:szCs w:val="24"/>
        </w:rPr>
        <w:t>el</w:t>
      </w:r>
      <w:r w:rsidR="002B2C9C" w:rsidRPr="007C5605">
        <w:rPr>
          <w:rFonts w:ascii="AvantGarde Bk BT" w:hAnsi="AvantGarde Bk BT" w:cs="Arial"/>
          <w:color w:val="000000" w:themeColor="text1"/>
          <w:sz w:val="24"/>
          <w:szCs w:val="24"/>
        </w:rPr>
        <w:t xml:space="preserve"> solicitante de la información interpuso el recurso de revisión en contra de la </w:t>
      </w:r>
      <w:r w:rsidR="002B2C9C">
        <w:rPr>
          <w:rFonts w:ascii="AvantGarde Bk BT" w:hAnsi="AvantGarde Bk BT" w:cs="Arial"/>
          <w:color w:val="000000" w:themeColor="text1"/>
          <w:sz w:val="24"/>
          <w:szCs w:val="24"/>
        </w:rPr>
        <w:t xml:space="preserve">falta de </w:t>
      </w:r>
      <w:r w:rsidR="002B2C9C" w:rsidRPr="007C5605">
        <w:rPr>
          <w:rFonts w:ascii="AvantGarde Bk BT" w:hAnsi="AvantGarde Bk BT" w:cs="Arial"/>
          <w:color w:val="000000" w:themeColor="text1"/>
          <w:sz w:val="24"/>
          <w:szCs w:val="24"/>
        </w:rPr>
        <w:t xml:space="preserve">respuesta </w:t>
      </w:r>
      <w:r w:rsidR="002B2C9C">
        <w:rPr>
          <w:rFonts w:ascii="AvantGarde Bk BT" w:hAnsi="AvantGarde Bk BT" w:cs="Arial"/>
          <w:color w:val="000000" w:themeColor="text1"/>
          <w:sz w:val="24"/>
          <w:szCs w:val="24"/>
        </w:rPr>
        <w:t>a la solicitud. (Foja 01 de autos.)</w:t>
      </w:r>
    </w:p>
    <w:p w14:paraId="6D089B31" w14:textId="0073A782" w:rsidR="00CC35B6" w:rsidRPr="0092495A" w:rsidRDefault="00BA6A52"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B2C9C"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B2C9C"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08 ocho de febrero</w:t>
      </w:r>
      <w:r w:rsidR="002B2C9C">
        <w:rPr>
          <w:rFonts w:ascii="AvantGarde Bk BT" w:hAnsi="AvantGarde Bk BT" w:cs="Arial"/>
          <w:color w:val="000000" w:themeColor="text1"/>
          <w:sz w:val="24"/>
          <w:szCs w:val="24"/>
        </w:rPr>
        <w:t xml:space="preserve"> de 2022 dos mil veintidós</w:t>
      </w:r>
      <w:r w:rsidR="002B2C9C"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B2C9C" w:rsidRPr="007C5605">
        <w:rPr>
          <w:rFonts w:ascii="AvantGarde Bk BT" w:hAnsi="AvantGarde Bk BT" w:cs="Arial"/>
          <w:color w:val="000000" w:themeColor="text1"/>
          <w:sz w:val="24"/>
          <w:szCs w:val="24"/>
        </w:rPr>
        <w:t>que</w:t>
      </w:r>
      <w:proofErr w:type="gramEnd"/>
      <w:r w:rsidR="002B2C9C" w:rsidRPr="007C5605">
        <w:rPr>
          <w:rFonts w:ascii="AvantGarde Bk BT" w:hAnsi="AvantGarde Bk BT" w:cs="Arial"/>
          <w:color w:val="000000" w:themeColor="text1"/>
          <w:sz w:val="24"/>
          <w:szCs w:val="24"/>
        </w:rPr>
        <w:t xml:space="preserve"> por razón de turno, tocó conocer a la ponencia del </w:t>
      </w:r>
      <w:r w:rsidR="002B2C9C">
        <w:rPr>
          <w:rFonts w:ascii="AvantGarde Bk BT" w:hAnsi="AvantGarde Bk BT" w:cs="Arial"/>
          <w:color w:val="000000" w:themeColor="text1"/>
          <w:sz w:val="24"/>
          <w:szCs w:val="24"/>
        </w:rPr>
        <w:lastRenderedPageBreak/>
        <w:t>Licenciado David Enrique Menchaca Zúñiga</w:t>
      </w:r>
      <w:r w:rsidR="002B2C9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3A994B5" w14:textId="532AC08D" w:rsidR="002B2C9C" w:rsidRPr="007C5605" w:rsidRDefault="00BA6A52" w:rsidP="002B2C9C">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B2C9C" w:rsidRPr="007C5605">
        <w:rPr>
          <w:rFonts w:ascii="AvantGarde Bk BT" w:hAnsi="AvantGarde Bk BT" w:cs="Arial"/>
          <w:b/>
          <w:color w:val="000000" w:themeColor="text1"/>
          <w:sz w:val="24"/>
          <w:szCs w:val="24"/>
        </w:rPr>
        <w:t xml:space="preserve">Auto de </w:t>
      </w:r>
      <w:r w:rsidR="002B2C9C">
        <w:rPr>
          <w:rFonts w:ascii="AvantGarde Bk BT" w:hAnsi="AvantGarde Bk BT" w:cs="Arial"/>
          <w:b/>
          <w:color w:val="000000" w:themeColor="text1"/>
          <w:sz w:val="24"/>
          <w:szCs w:val="24"/>
        </w:rPr>
        <w:t>admisión</w:t>
      </w:r>
      <w:r w:rsidR="002B2C9C" w:rsidRPr="007C5605">
        <w:rPr>
          <w:rFonts w:ascii="AvantGarde Bk BT" w:hAnsi="AvantGarde Bk BT" w:cs="Arial"/>
          <w:b/>
          <w:color w:val="000000" w:themeColor="text1"/>
          <w:sz w:val="24"/>
          <w:szCs w:val="24"/>
        </w:rPr>
        <w:t>.</w:t>
      </w:r>
      <w:r w:rsidR="002B2C9C" w:rsidRPr="007C5605">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16 dieciséis de febrero</w:t>
      </w:r>
      <w:r w:rsidR="002B2C9C">
        <w:rPr>
          <w:rFonts w:ascii="AvantGarde Bk BT" w:hAnsi="AvantGarde Bk BT" w:cs="Arial"/>
          <w:color w:val="000000" w:themeColor="text1"/>
          <w:sz w:val="24"/>
          <w:szCs w:val="24"/>
        </w:rPr>
        <w:t xml:space="preserve"> de 2022 dos mil veintidós</w:t>
      </w:r>
      <w:r w:rsidR="002B2C9C" w:rsidRPr="007C5605">
        <w:rPr>
          <w:rFonts w:ascii="AvantGarde Bk BT" w:hAnsi="AvantGarde Bk BT" w:cs="Arial"/>
          <w:color w:val="000000" w:themeColor="text1"/>
          <w:sz w:val="24"/>
          <w:szCs w:val="24"/>
        </w:rPr>
        <w:t xml:space="preserve"> el Comisionado Ponente:</w:t>
      </w:r>
    </w:p>
    <w:p w14:paraId="7BBABFB0" w14:textId="2108121A" w:rsidR="002B2C9C" w:rsidRPr="007C5605" w:rsidRDefault="002B2C9C" w:rsidP="002B2C9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w:t>
      </w:r>
      <w:r w:rsidR="00BA6A52">
        <w:rPr>
          <w:rFonts w:ascii="AvantGarde Bk BT" w:hAnsi="AvantGarde Bk BT" w:cs="Arial"/>
          <w:color w:val="000000" w:themeColor="text1"/>
          <w:sz w:val="24"/>
          <w:szCs w:val="24"/>
        </w:rPr>
        <w:t xml:space="preserve">sis establecida en la fracción </w:t>
      </w:r>
      <w:r>
        <w:rPr>
          <w:rFonts w:ascii="AvantGarde Bk BT" w:hAnsi="AvantGarde Bk BT" w:cs="Arial"/>
          <w:color w:val="000000" w:themeColor="text1"/>
          <w:sz w:val="24"/>
          <w:szCs w:val="24"/>
        </w:rPr>
        <w:t>I del artículo 167 de la Ley de la materia.</w:t>
      </w:r>
    </w:p>
    <w:p w14:paraId="4658BE45" w14:textId="12D5D5BA" w:rsidR="002B2C9C" w:rsidRPr="00BF7B76" w:rsidRDefault="002B2C9C" w:rsidP="002B2C9C">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A6A52">
        <w:rPr>
          <w:rFonts w:ascii="AvantGarde Bk BT" w:hAnsi="AvantGarde Bk BT" w:cs="Arial"/>
          <w:b/>
          <w:color w:val="000000" w:themeColor="text1"/>
          <w:sz w:val="24"/>
          <w:szCs w:val="24"/>
        </w:rPr>
        <w:t>464</w:t>
      </w:r>
      <w:r>
        <w:rPr>
          <w:rFonts w:ascii="AvantGarde Bk BT" w:hAnsi="AvantGarde Bk BT" w:cs="Arial"/>
          <w:b/>
          <w:color w:val="000000" w:themeColor="text1"/>
          <w:sz w:val="24"/>
          <w:szCs w:val="24"/>
        </w:rPr>
        <w:t>/</w:t>
      </w:r>
      <w:r w:rsidR="00194AFB">
        <w:rPr>
          <w:rFonts w:ascii="AvantGarde Bk BT" w:hAnsi="AvantGarde Bk BT" w:cs="Arial"/>
          <w:b/>
          <w:color w:val="000000" w:themeColor="text1"/>
          <w:sz w:val="24"/>
          <w:szCs w:val="24"/>
        </w:rPr>
        <w:t>2022</w:t>
      </w:r>
      <w:r>
        <w:rPr>
          <w:rFonts w:ascii="AvantGarde Bk BT" w:hAnsi="AvantGarde Bk BT" w:cs="Arial"/>
          <w:b/>
          <w:color w:val="000000" w:themeColor="text1"/>
          <w:sz w:val="24"/>
          <w:szCs w:val="24"/>
        </w:rPr>
        <w:t>-1</w:t>
      </w:r>
      <w:r w:rsidR="00BA6A52">
        <w:rPr>
          <w:rFonts w:ascii="AvantGarde Bk BT" w:hAnsi="AvantGarde Bk BT" w:cs="Arial"/>
          <w:b/>
          <w:color w:val="000000" w:themeColor="text1"/>
          <w:sz w:val="24"/>
          <w:szCs w:val="24"/>
        </w:rPr>
        <w:t xml:space="preserve"> SIGEMI</w:t>
      </w:r>
      <w:r w:rsidRPr="00BF7B76">
        <w:rPr>
          <w:rFonts w:ascii="AvantGarde Bk BT" w:hAnsi="AvantGarde Bk BT" w:cs="Arial"/>
          <w:b/>
          <w:color w:val="000000" w:themeColor="text1"/>
          <w:sz w:val="24"/>
          <w:szCs w:val="24"/>
        </w:rPr>
        <w:t>.</w:t>
      </w:r>
    </w:p>
    <w:p w14:paraId="5588364E" w14:textId="4DD9BF12" w:rsidR="002B2C9C" w:rsidRPr="007C5605" w:rsidRDefault="002B2C9C" w:rsidP="002B2C9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BA6A52">
        <w:rPr>
          <w:rFonts w:ascii="AvantGarde Bk BT" w:hAnsi="AvantGarde Bk BT" w:cs="Arial"/>
          <w:b/>
          <w:color w:val="000000" w:themeColor="text1"/>
          <w:sz w:val="24"/>
          <w:szCs w:val="24"/>
        </w:rPr>
        <w:t>MUNICIPIO DE SAN CIRO DE ACOSTA</w:t>
      </w:r>
      <w:r>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659834FC" w14:textId="77777777" w:rsidR="002B2C9C" w:rsidRDefault="002B2C9C" w:rsidP="002B2C9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B35A1E8"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3910C82"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E99BF28"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0B47129D"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40A1C38A"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18D748F2"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16162E27" w14:textId="77777777" w:rsidR="002B2C9C"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6BF55785" w14:textId="77777777" w:rsidR="002B2C9C" w:rsidRPr="00F45243" w:rsidRDefault="002B2C9C" w:rsidP="002B2C9C">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3E2B82DA" w14:textId="5F2541EF" w:rsidR="002B2C9C" w:rsidRDefault="002B2C9C" w:rsidP="002B2C9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35F506E" w14:textId="7E6ABAD5" w:rsidR="00BA6A52" w:rsidRDefault="00BA6A52" w:rsidP="00BA6A52">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recurso de revisión con fundamento en lo dispuesto por el artículo 170 de la Ley de Transparencia Local, esto debido a la distancia que existe entre el domicilio del sujeto obligado y la sede de esta Comisión de Transparencia.</w:t>
      </w:r>
    </w:p>
    <w:p w14:paraId="0FF9D6FA" w14:textId="7450EF38" w:rsidR="00CC35B6" w:rsidRPr="007C5605" w:rsidRDefault="002B2C9C" w:rsidP="00194AFB">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AC9595" w14:textId="3416E563" w:rsidR="00194AFB" w:rsidRDefault="00BA6A52" w:rsidP="00194AFB">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194AFB" w:rsidRPr="007C5605">
        <w:rPr>
          <w:rFonts w:ascii="AvantGarde Bk BT" w:hAnsi="AvantGarde Bk BT" w:cs="Arial"/>
          <w:b/>
          <w:color w:val="000000" w:themeColor="text1"/>
          <w:sz w:val="24"/>
          <w:szCs w:val="24"/>
        </w:rPr>
        <w:t>Rendición del informe de</w:t>
      </w:r>
      <w:r w:rsidR="00194AFB">
        <w:rPr>
          <w:rFonts w:ascii="AvantGarde Bk BT" w:hAnsi="AvantGarde Bk BT" w:cs="Arial"/>
          <w:b/>
          <w:color w:val="000000" w:themeColor="text1"/>
          <w:sz w:val="24"/>
          <w:szCs w:val="24"/>
        </w:rPr>
        <w:t>l sujeto obligado</w:t>
      </w:r>
      <w:r w:rsidR="00194AFB" w:rsidRPr="007C5605">
        <w:rPr>
          <w:rFonts w:ascii="AvantGarde Bk BT" w:hAnsi="AvantGarde Bk BT" w:cs="Arial"/>
          <w:b/>
          <w:color w:val="000000" w:themeColor="text1"/>
          <w:sz w:val="24"/>
          <w:szCs w:val="24"/>
        </w:rPr>
        <w:t>.</w:t>
      </w:r>
      <w:r w:rsidR="00194AFB" w:rsidRPr="007C5605">
        <w:rPr>
          <w:rFonts w:ascii="AvantGarde Bk BT" w:hAnsi="AvantGarde Bk BT" w:cs="Arial"/>
          <w:color w:val="000000" w:themeColor="text1"/>
          <w:sz w:val="24"/>
          <w:szCs w:val="24"/>
        </w:rPr>
        <w:t xml:space="preserve"> </w:t>
      </w:r>
      <w:r w:rsidR="00194AFB">
        <w:rPr>
          <w:rFonts w:ascii="AvantGarde Bk BT" w:hAnsi="AvantGarde Bk BT" w:cs="Arial"/>
          <w:color w:val="000000" w:themeColor="text1"/>
          <w:sz w:val="24"/>
          <w:szCs w:val="24"/>
        </w:rPr>
        <w:t xml:space="preserve">Mediante el auto del </w:t>
      </w:r>
      <w:r w:rsidR="007013CA">
        <w:rPr>
          <w:rFonts w:ascii="AvantGarde Bk BT" w:hAnsi="AvantGarde Bk BT" w:cs="Arial"/>
          <w:color w:val="000000" w:themeColor="text1"/>
          <w:sz w:val="24"/>
          <w:szCs w:val="24"/>
        </w:rPr>
        <w:t>19 diecinueve de abril</w:t>
      </w:r>
      <w:r w:rsidR="00736091">
        <w:rPr>
          <w:rFonts w:ascii="AvantGarde Bk BT" w:hAnsi="AvantGarde Bk BT" w:cs="Arial"/>
          <w:color w:val="000000" w:themeColor="text1"/>
          <w:sz w:val="24"/>
          <w:szCs w:val="24"/>
        </w:rPr>
        <w:t xml:space="preserve"> de 2022 dos mil veintidós</w:t>
      </w:r>
      <w:r w:rsidR="00194AFB">
        <w:rPr>
          <w:rFonts w:ascii="AvantGarde Bk BT" w:hAnsi="AvantGarde Bk BT" w:cs="Arial"/>
          <w:color w:val="000000" w:themeColor="text1"/>
          <w:sz w:val="24"/>
          <w:szCs w:val="24"/>
        </w:rPr>
        <w:t>, el ponente:</w:t>
      </w:r>
    </w:p>
    <w:p w14:paraId="57F34F44" w14:textId="6C7552F4" w:rsidR="00194AFB" w:rsidRPr="00722F8B" w:rsidRDefault="00194AFB" w:rsidP="00861828">
      <w:pPr>
        <w:pStyle w:val="corte4fondo"/>
        <w:numPr>
          <w:ilvl w:val="0"/>
          <w:numId w:val="2"/>
        </w:numPr>
        <w:tabs>
          <w:tab w:val="left" w:pos="567"/>
        </w:tabs>
        <w:ind w:left="680" w:firstLine="0"/>
        <w:rPr>
          <w:rFonts w:ascii="AvantGarde Bk BT" w:hAnsi="AvantGarde Bk BT" w:cs="Arial"/>
          <w:sz w:val="24"/>
          <w:szCs w:val="24"/>
        </w:rPr>
      </w:pPr>
      <w:r w:rsidRPr="00722F8B">
        <w:rPr>
          <w:rFonts w:ascii="AvantGarde Bk BT" w:hAnsi="AvantGarde Bk BT" w:cs="Arial"/>
          <w:sz w:val="24"/>
          <w:szCs w:val="24"/>
        </w:rPr>
        <w:t xml:space="preserve">Tuvo por recibido un oficio </w:t>
      </w:r>
      <w:r w:rsidR="007013CA">
        <w:rPr>
          <w:rFonts w:ascii="AvantGarde Bk BT" w:hAnsi="AvantGarde Bk BT" w:cs="Arial"/>
          <w:sz w:val="24"/>
          <w:szCs w:val="24"/>
        </w:rPr>
        <w:t>sin</w:t>
      </w:r>
      <w:r w:rsidRPr="00722F8B">
        <w:rPr>
          <w:rFonts w:ascii="AvantGarde Bk BT" w:hAnsi="AvantGarde Bk BT" w:cs="Arial"/>
          <w:sz w:val="24"/>
          <w:szCs w:val="24"/>
        </w:rPr>
        <w:t xml:space="preserve"> número, signado por </w:t>
      </w:r>
      <w:r w:rsidR="007013CA">
        <w:rPr>
          <w:rFonts w:ascii="AvantGarde Bk BT" w:hAnsi="AvantGarde Bk BT" w:cs="Arial"/>
          <w:sz w:val="24"/>
          <w:szCs w:val="24"/>
        </w:rPr>
        <w:t>Omar Arteaga Flores</w:t>
      </w:r>
      <w:r w:rsidRPr="00722F8B">
        <w:rPr>
          <w:rFonts w:ascii="AvantGarde Bk BT" w:hAnsi="AvantGarde Bk BT" w:cs="Arial"/>
          <w:sz w:val="24"/>
          <w:szCs w:val="24"/>
        </w:rPr>
        <w:t xml:space="preserve">, </w:t>
      </w:r>
      <w:r w:rsidR="007013CA">
        <w:rPr>
          <w:rFonts w:ascii="AvantGarde Bk BT" w:hAnsi="AvantGarde Bk BT" w:cs="Arial"/>
          <w:sz w:val="24"/>
          <w:szCs w:val="24"/>
        </w:rPr>
        <w:t>Jefe</w:t>
      </w:r>
      <w:r w:rsidRPr="00722F8B">
        <w:rPr>
          <w:rFonts w:ascii="AvantGarde Bk BT" w:hAnsi="AvantGarde Bk BT" w:cs="Arial"/>
          <w:sz w:val="24"/>
          <w:szCs w:val="24"/>
        </w:rPr>
        <w:t xml:space="preserve"> de la Unidad de Transparencia del sujeto obligado, </w:t>
      </w:r>
      <w:r w:rsidR="00736091">
        <w:rPr>
          <w:rFonts w:ascii="AvantGarde Bk BT" w:hAnsi="AvantGarde Bk BT" w:cs="Arial"/>
          <w:sz w:val="24"/>
          <w:szCs w:val="24"/>
        </w:rPr>
        <w:t>con 01 anexo</w:t>
      </w:r>
      <w:r w:rsidRPr="00722F8B">
        <w:rPr>
          <w:rFonts w:ascii="AvantGarde Bk BT" w:hAnsi="AvantGarde Bk BT" w:cs="Arial"/>
          <w:sz w:val="24"/>
          <w:szCs w:val="24"/>
        </w:rPr>
        <w:t xml:space="preserve">; recibido en la Oficialía de Partes de esta Comisión el </w:t>
      </w:r>
      <w:r w:rsidR="007013CA">
        <w:rPr>
          <w:rFonts w:ascii="AvantGarde Bk BT" w:hAnsi="AvantGarde Bk BT" w:cs="Arial"/>
          <w:sz w:val="24"/>
          <w:szCs w:val="24"/>
        </w:rPr>
        <w:t>08 ocho de abril</w:t>
      </w:r>
      <w:r w:rsidR="00736091">
        <w:rPr>
          <w:rFonts w:ascii="AvantGarde Bk BT" w:hAnsi="AvantGarde Bk BT" w:cs="Arial"/>
          <w:sz w:val="24"/>
          <w:szCs w:val="24"/>
        </w:rPr>
        <w:t xml:space="preserve"> de 2022 dos mil veintidós</w:t>
      </w:r>
      <w:r w:rsidRPr="00722F8B">
        <w:rPr>
          <w:rFonts w:ascii="AvantGarde Bk BT" w:hAnsi="AvantGarde Bk BT" w:cs="Arial"/>
          <w:sz w:val="24"/>
          <w:szCs w:val="24"/>
        </w:rPr>
        <w:t>.</w:t>
      </w:r>
    </w:p>
    <w:p w14:paraId="2C34D140" w14:textId="77777777" w:rsidR="00194AFB" w:rsidRPr="002B7561" w:rsidRDefault="00194AFB" w:rsidP="00861828">
      <w:pPr>
        <w:pStyle w:val="corte4fondo"/>
        <w:numPr>
          <w:ilvl w:val="0"/>
          <w:numId w:val="2"/>
        </w:numPr>
        <w:tabs>
          <w:tab w:val="left" w:pos="567"/>
        </w:tabs>
        <w:ind w:left="680" w:firstLine="0"/>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014C4D29" w14:textId="77777777" w:rsidR="00194AFB" w:rsidRPr="002B7561" w:rsidRDefault="00194AFB" w:rsidP="00861828">
      <w:pPr>
        <w:pStyle w:val="corte4fondo"/>
        <w:numPr>
          <w:ilvl w:val="0"/>
          <w:numId w:val="1"/>
        </w:numPr>
        <w:tabs>
          <w:tab w:val="left" w:pos="567"/>
        </w:tabs>
        <w:ind w:left="680" w:firstLine="0"/>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6738C741" w14:textId="77777777" w:rsidR="00194AFB" w:rsidRDefault="00194AFB" w:rsidP="00861828">
      <w:pPr>
        <w:pStyle w:val="corte4fondo"/>
        <w:numPr>
          <w:ilvl w:val="0"/>
          <w:numId w:val="1"/>
        </w:numPr>
        <w:tabs>
          <w:tab w:val="left" w:pos="567"/>
        </w:tabs>
        <w:ind w:left="680" w:firstLine="0"/>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7CC99AA2" w14:textId="265D3D5F" w:rsidR="0031685A" w:rsidRPr="007013CA" w:rsidRDefault="00194AFB" w:rsidP="00861828">
      <w:pPr>
        <w:pStyle w:val="corte4fondo"/>
        <w:numPr>
          <w:ilvl w:val="0"/>
          <w:numId w:val="1"/>
        </w:numPr>
        <w:tabs>
          <w:tab w:val="left" w:pos="567"/>
        </w:tabs>
        <w:spacing w:after="240"/>
        <w:ind w:left="680" w:firstLine="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w:t>
      </w:r>
      <w:r w:rsidRPr="00756C5F">
        <w:rPr>
          <w:rFonts w:ascii="AvantGarde Bk BT" w:hAnsi="AvantGarde Bk BT" w:cs="Arial"/>
          <w:color w:val="000000" w:themeColor="text1"/>
          <w:sz w:val="24"/>
          <w:szCs w:val="24"/>
        </w:rPr>
        <w:lastRenderedPageBreak/>
        <w:t>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77777777" w:rsidR="00AE015D" w:rsidRPr="0061190E" w:rsidRDefault="007B1265" w:rsidP="00AE015D">
      <w:pPr>
        <w:pStyle w:val="corte4fondo"/>
        <w:tabs>
          <w:tab w:val="left" w:pos="567"/>
        </w:tabs>
        <w:rPr>
          <w:rFonts w:ascii="AvantGarde Bk BT" w:hAnsi="AvantGarde Bk BT" w:cs="Arial"/>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w:t>
      </w:r>
      <w:r w:rsidR="00AE015D" w:rsidRPr="001C6D5A">
        <w:rPr>
          <w:rFonts w:ascii="AvantGarde Bk BT" w:hAnsi="AvantGarde Bk BT" w:cs="Arial"/>
          <w:sz w:val="24"/>
          <w:szCs w:val="24"/>
        </w:rPr>
        <w:t>La interposición del escrito inicial del recurso de revisión fue oportuna al presentarse dentro del plazo que se refiere el artículo 164 y 166 de la Ley de Transparencia y Acceso a la Información Pública del Estado, encuadrando la Afirmativa Ficta, como se expone a continuación:</w:t>
      </w:r>
    </w:p>
    <w:p w14:paraId="3AE27CFC" w14:textId="21F49AA1" w:rsidR="000048AE"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7013CA">
        <w:rPr>
          <w:rFonts w:ascii="AvantGarde Bk BT" w:hAnsi="AvantGarde Bk BT" w:cs="Arial"/>
          <w:color w:val="000000" w:themeColor="text1"/>
          <w:sz w:val="24"/>
          <w:szCs w:val="24"/>
        </w:rPr>
        <w:t xml:space="preserve">18 dieciocho de enero de 2022 dos mil </w:t>
      </w:r>
      <w:r w:rsidR="006E50A1">
        <w:rPr>
          <w:rFonts w:ascii="AvantGarde Bk BT" w:hAnsi="AvantGarde Bk BT" w:cs="Arial"/>
          <w:color w:val="000000" w:themeColor="text1"/>
          <w:sz w:val="24"/>
          <w:szCs w:val="24"/>
        </w:rPr>
        <w:t>veintidós</w:t>
      </w:r>
      <w:r w:rsidR="0048065E">
        <w:rPr>
          <w:rFonts w:ascii="AvantGarde Bk BT" w:hAnsi="AvantGarde Bk BT" w:cs="Arial"/>
          <w:color w:val="000000" w:themeColor="text1"/>
          <w:sz w:val="24"/>
          <w:szCs w:val="24"/>
        </w:rPr>
        <w:t xml:space="preserve">, </w:t>
      </w:r>
      <w:r w:rsidR="002D5E48">
        <w:rPr>
          <w:rFonts w:ascii="AvantGarde Bk BT" w:hAnsi="AvantGarde Bk BT" w:cs="Arial"/>
          <w:color w:val="000000" w:themeColor="text1"/>
          <w:sz w:val="24"/>
          <w:szCs w:val="24"/>
        </w:rPr>
        <w:t xml:space="preserve">el peticionario presentó su solicitud de información; por lo que el plazo para dar respuesta transcurrió del </w:t>
      </w:r>
      <w:r w:rsidR="006E50A1">
        <w:rPr>
          <w:rFonts w:ascii="AvantGarde Bk BT" w:hAnsi="AvantGarde Bk BT" w:cs="Arial"/>
          <w:color w:val="000000" w:themeColor="text1"/>
          <w:sz w:val="24"/>
          <w:szCs w:val="24"/>
        </w:rPr>
        <w:t>19 diecinueve de enero al 01 uno de febrero</w:t>
      </w:r>
      <w:r w:rsidR="000D7B0C">
        <w:rPr>
          <w:rFonts w:ascii="AvantGarde Bk BT" w:hAnsi="AvantGarde Bk BT" w:cs="Arial"/>
          <w:color w:val="000000" w:themeColor="text1"/>
          <w:sz w:val="24"/>
          <w:szCs w:val="24"/>
        </w:rPr>
        <w:t xml:space="preserve"> de 2022 dos mil veintidós</w:t>
      </w:r>
      <w:r w:rsidR="00AE015D">
        <w:rPr>
          <w:rFonts w:ascii="AvantGarde Bk BT" w:hAnsi="AvantGarde Bk BT" w:cs="Arial"/>
          <w:color w:val="000000" w:themeColor="text1"/>
          <w:sz w:val="24"/>
          <w:szCs w:val="24"/>
        </w:rPr>
        <w:t xml:space="preserve">, sin contar los días </w:t>
      </w:r>
      <w:r w:rsidR="006E50A1">
        <w:rPr>
          <w:rFonts w:ascii="AvantGarde Bk BT" w:hAnsi="AvantGarde Bk BT" w:cs="Arial"/>
          <w:color w:val="000000" w:themeColor="text1"/>
          <w:sz w:val="24"/>
          <w:szCs w:val="24"/>
        </w:rPr>
        <w:t>22 veintidós, 23 veintitrés, 29 veintinueve y 30 treinta</w:t>
      </w:r>
      <w:r w:rsidR="000D7B0C">
        <w:rPr>
          <w:rFonts w:ascii="AvantGarde Bk BT" w:hAnsi="AvantGarde Bk BT" w:cs="Arial"/>
          <w:color w:val="000000" w:themeColor="text1"/>
          <w:sz w:val="24"/>
          <w:szCs w:val="24"/>
        </w:rPr>
        <w:t xml:space="preserve"> de enero de 2022 dos mil veintidós</w:t>
      </w:r>
      <w:r w:rsidR="005C3F95">
        <w:rPr>
          <w:rFonts w:ascii="AvantGarde Bk BT" w:hAnsi="AvantGarde Bk BT" w:cs="Arial"/>
          <w:color w:val="000000" w:themeColor="text1"/>
          <w:sz w:val="24"/>
          <w:szCs w:val="24"/>
        </w:rPr>
        <w:t>.</w:t>
      </w:r>
    </w:p>
    <w:p w14:paraId="3FDCC79D" w14:textId="088F52FE" w:rsidR="006E50A1" w:rsidRDefault="006E50A1" w:rsidP="006E50A1">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sujeto obligado documentó su respuesta el 01 uno de febrero de 2022 dos mil veintidós.</w:t>
      </w:r>
    </w:p>
    <w:p w14:paraId="31473C44" w14:textId="733C80BB"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6E50A1">
        <w:rPr>
          <w:rFonts w:ascii="AvantGarde Bk BT" w:hAnsi="AvantGarde Bk BT" w:cs="Arial"/>
          <w:color w:val="000000" w:themeColor="text1"/>
          <w:sz w:val="24"/>
          <w:szCs w:val="24"/>
        </w:rPr>
        <w:t>02 dos al 23 veintitrés de febrero</w:t>
      </w:r>
      <w:r w:rsidR="000D7B0C">
        <w:rPr>
          <w:rFonts w:ascii="AvantGarde Bk BT" w:hAnsi="AvantGarde Bk BT" w:cs="Arial"/>
          <w:color w:val="000000" w:themeColor="text1"/>
          <w:sz w:val="24"/>
          <w:szCs w:val="24"/>
        </w:rPr>
        <w:t xml:space="preserve"> de 2022 dos mil veintidós</w:t>
      </w:r>
      <w:r w:rsidRPr="00726D64">
        <w:rPr>
          <w:rFonts w:ascii="AvantGarde Bk BT" w:hAnsi="AvantGarde Bk BT" w:cs="Arial"/>
          <w:color w:val="000000" w:themeColor="text1"/>
          <w:sz w:val="24"/>
          <w:szCs w:val="24"/>
        </w:rPr>
        <w:t>.</w:t>
      </w:r>
    </w:p>
    <w:p w14:paraId="14DFC649" w14:textId="436A98A0"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6E50A1">
        <w:rPr>
          <w:rFonts w:ascii="AvantGarde Bk BT" w:hAnsi="AvantGarde Bk BT" w:cs="Arial"/>
          <w:color w:val="000000" w:themeColor="text1"/>
          <w:sz w:val="24"/>
          <w:szCs w:val="24"/>
        </w:rPr>
        <w:t>05 cinco, 06 seis, 12 doce, 13 trece, 19 diecinueve y 20 veinte de febrero</w:t>
      </w:r>
      <w:r w:rsidR="000D7B0C">
        <w:rPr>
          <w:rFonts w:ascii="AvantGarde Bk BT" w:hAnsi="AvantGarde Bk BT" w:cs="Arial"/>
          <w:color w:val="000000" w:themeColor="text1"/>
          <w:sz w:val="24"/>
          <w:szCs w:val="24"/>
        </w:rPr>
        <w:t xml:space="preserve"> de 2022 dos mil veintidós</w:t>
      </w:r>
      <w:r w:rsidR="00640A87">
        <w:rPr>
          <w:rFonts w:ascii="AvantGarde Bk BT" w:hAnsi="AvantGarde Bk BT" w:cs="Arial"/>
          <w:color w:val="000000" w:themeColor="text1"/>
          <w:sz w:val="24"/>
          <w:szCs w:val="24"/>
        </w:rPr>
        <w:t>,</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49FDDCBD" w14:textId="1AE30A20"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6E50A1">
        <w:rPr>
          <w:rFonts w:ascii="AvantGarde Bk BT" w:hAnsi="AvantGarde Bk BT" w:cs="Arial"/>
          <w:color w:val="000000" w:themeColor="text1"/>
          <w:sz w:val="24"/>
          <w:szCs w:val="24"/>
        </w:rPr>
        <w:t>03 tres de febrero</w:t>
      </w:r>
      <w:r w:rsidR="000D7B0C">
        <w:rPr>
          <w:rFonts w:ascii="AvantGarde Bk BT" w:hAnsi="AvantGarde Bk BT" w:cs="Arial"/>
          <w:color w:val="000000" w:themeColor="text1"/>
          <w:sz w:val="24"/>
          <w:szCs w:val="24"/>
        </w:rPr>
        <w:t xml:space="preserve"> de 2022 dos mil veintidós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282E07BC"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16CA5937" w14:textId="77777777" w:rsidR="002968AA" w:rsidRPr="00D60F34" w:rsidRDefault="002968AA" w:rsidP="002968AA">
      <w:pPr>
        <w:pStyle w:val="corte4fondo"/>
        <w:tabs>
          <w:tab w:val="left" w:pos="567"/>
        </w:tabs>
        <w:rPr>
          <w:rFonts w:ascii="AvantGarde Bk BT" w:hAnsi="AvantGarde Bk BT" w:cs="Arial"/>
          <w:color w:val="000000" w:themeColor="text1"/>
          <w:sz w:val="24"/>
          <w:szCs w:val="24"/>
        </w:rPr>
      </w:pPr>
      <w:r w:rsidRPr="00E84328">
        <w:rPr>
          <w:rFonts w:ascii="AvantGarde Bk BT" w:hAnsi="AvantGarde Bk BT" w:cs="Arial"/>
          <w:b/>
          <w:color w:val="000000" w:themeColor="text1"/>
          <w:sz w:val="24"/>
          <w:szCs w:val="24"/>
        </w:rPr>
        <w:t xml:space="preserve">SEXTO. Sobreseimiento. </w:t>
      </w:r>
      <w:r w:rsidRPr="00E84328">
        <w:rPr>
          <w:rFonts w:ascii="AvantGarde Bk BT" w:hAnsi="AvantGarde Bk BT" w:cs="Arial"/>
          <w:color w:val="000000" w:themeColor="text1"/>
          <w:sz w:val="24"/>
          <w:szCs w:val="24"/>
        </w:rPr>
        <w:t>Dicha figura del sobreseimiento es la resolución por parte de esta Comisión Estatal de Garantía de Acceso a la Información Pública de carácter definitivo ya que pone fin al procedimiento sin resolver las cuestiones de fondo, al actualizarse alguno de los supuestos que establece el artículo 180 de la Ley de Transparencia y Acceso a la Información Pública del Estado, el cual dispone:</w:t>
      </w:r>
    </w:p>
    <w:p w14:paraId="6BCD537E" w14:textId="77777777" w:rsidR="002968AA" w:rsidRPr="001E5D20" w:rsidRDefault="002968AA" w:rsidP="00861828">
      <w:pPr>
        <w:pStyle w:val="corte4fondo"/>
        <w:tabs>
          <w:tab w:val="left" w:pos="567"/>
        </w:tabs>
        <w:ind w:left="680" w:right="680" w:firstLine="0"/>
        <w:rPr>
          <w:rFonts w:ascii="AvantGarde Bk BT" w:hAnsi="AvantGarde Bk BT" w:cs="Arial"/>
          <w:i/>
          <w:color w:val="000000" w:themeColor="text1"/>
          <w:sz w:val="20"/>
          <w:szCs w:val="22"/>
        </w:rPr>
      </w:pPr>
      <w:r w:rsidRPr="007655BD">
        <w:rPr>
          <w:rFonts w:ascii="AvantGarde Bk BT" w:hAnsi="AvantGarde Bk BT" w:cs="Arial"/>
          <w:color w:val="000000" w:themeColor="text1"/>
          <w:sz w:val="24"/>
          <w:szCs w:val="24"/>
        </w:rPr>
        <w:t>“</w:t>
      </w:r>
      <w:r w:rsidRPr="001E5D20">
        <w:rPr>
          <w:rFonts w:ascii="AvantGarde Bk BT" w:hAnsi="AvantGarde Bk BT" w:cs="Arial"/>
          <w:b/>
          <w:i/>
          <w:color w:val="000000" w:themeColor="text1"/>
          <w:sz w:val="20"/>
          <w:szCs w:val="22"/>
        </w:rPr>
        <w:t xml:space="preserve">ARTÍCULO 180. </w:t>
      </w:r>
      <w:r w:rsidRPr="001E5D20">
        <w:rPr>
          <w:rFonts w:ascii="AvantGarde Bk BT" w:hAnsi="AvantGarde Bk BT" w:cs="Arial"/>
          <w:i/>
          <w:color w:val="000000" w:themeColor="text1"/>
          <w:sz w:val="20"/>
          <w:szCs w:val="22"/>
        </w:rPr>
        <w:t>El recurso será sobreseído, en todo o en parte, cuando, una vez admitido, se actualicen alguno de los siguientes supuestos:</w:t>
      </w:r>
    </w:p>
    <w:p w14:paraId="3F08F1AC" w14:textId="77777777" w:rsidR="002968AA" w:rsidRPr="001E5D20" w:rsidRDefault="002968AA" w:rsidP="00861828">
      <w:pPr>
        <w:pStyle w:val="corte4fondo"/>
        <w:tabs>
          <w:tab w:val="left" w:pos="567"/>
        </w:tabs>
        <w:ind w:left="680" w:right="680" w:firstLine="0"/>
        <w:rPr>
          <w:rFonts w:ascii="AvantGarde Bk BT" w:hAnsi="AvantGarde Bk BT" w:cs="Arial"/>
          <w:i/>
          <w:color w:val="000000" w:themeColor="text1"/>
          <w:sz w:val="20"/>
          <w:szCs w:val="22"/>
        </w:rPr>
      </w:pPr>
      <w:r w:rsidRPr="001E5D20">
        <w:rPr>
          <w:rFonts w:ascii="AvantGarde Bk BT" w:hAnsi="AvantGarde Bk BT" w:cs="Arial"/>
          <w:i/>
          <w:color w:val="000000" w:themeColor="text1"/>
          <w:sz w:val="20"/>
          <w:szCs w:val="22"/>
        </w:rPr>
        <w:t>I. El recurrente se desista;</w:t>
      </w:r>
    </w:p>
    <w:p w14:paraId="552C38B6" w14:textId="77777777" w:rsidR="002968AA" w:rsidRPr="001E5D20" w:rsidRDefault="002968AA" w:rsidP="00861828">
      <w:pPr>
        <w:pStyle w:val="corte4fondo"/>
        <w:tabs>
          <w:tab w:val="left" w:pos="567"/>
        </w:tabs>
        <w:ind w:left="680" w:right="680" w:firstLine="0"/>
        <w:rPr>
          <w:rFonts w:ascii="AvantGarde Bk BT" w:hAnsi="AvantGarde Bk BT" w:cs="Arial"/>
          <w:i/>
          <w:color w:val="000000" w:themeColor="text1"/>
          <w:sz w:val="20"/>
          <w:szCs w:val="22"/>
        </w:rPr>
      </w:pPr>
      <w:r w:rsidRPr="001E5D20">
        <w:rPr>
          <w:rFonts w:ascii="AvantGarde Bk BT" w:hAnsi="AvantGarde Bk BT" w:cs="Arial"/>
          <w:i/>
          <w:color w:val="000000" w:themeColor="text1"/>
          <w:sz w:val="20"/>
          <w:szCs w:val="22"/>
        </w:rPr>
        <w:t>II. El recurrente fallezca;</w:t>
      </w:r>
    </w:p>
    <w:p w14:paraId="1C88872B" w14:textId="77777777" w:rsidR="002968AA" w:rsidRPr="001E5D20" w:rsidRDefault="002968AA" w:rsidP="00861828">
      <w:pPr>
        <w:pStyle w:val="corte4fondo"/>
        <w:tabs>
          <w:tab w:val="left" w:pos="567"/>
        </w:tabs>
        <w:ind w:left="680" w:right="680" w:firstLine="0"/>
        <w:rPr>
          <w:rFonts w:ascii="AvantGarde Bk BT" w:hAnsi="AvantGarde Bk BT" w:cs="Arial"/>
          <w:i/>
          <w:color w:val="000000" w:themeColor="text1"/>
          <w:sz w:val="20"/>
          <w:szCs w:val="22"/>
        </w:rPr>
      </w:pPr>
      <w:r w:rsidRPr="001E5D20">
        <w:rPr>
          <w:rFonts w:ascii="AvantGarde Bk BT" w:hAnsi="AvantGarde Bk BT" w:cs="Arial"/>
          <w:i/>
          <w:color w:val="000000" w:themeColor="text1"/>
          <w:sz w:val="20"/>
          <w:szCs w:val="22"/>
        </w:rPr>
        <w:t>III. El sujeto obligado responsable del acto lo modifique o revoque de tal manera que el recurso de revisión quede sin materia, o</w:t>
      </w:r>
    </w:p>
    <w:p w14:paraId="3CB6496C" w14:textId="77777777" w:rsidR="002968AA" w:rsidRPr="00D60F34" w:rsidRDefault="002968AA" w:rsidP="00861828">
      <w:pPr>
        <w:pStyle w:val="corte4fondo"/>
        <w:tabs>
          <w:tab w:val="left" w:pos="567"/>
        </w:tabs>
        <w:spacing w:after="240"/>
        <w:ind w:left="680" w:right="680" w:firstLine="0"/>
        <w:rPr>
          <w:rFonts w:ascii="AvantGarde Bk BT" w:hAnsi="AvantGarde Bk BT" w:cs="Arial"/>
          <w:b/>
          <w:color w:val="000000" w:themeColor="text1"/>
          <w:sz w:val="24"/>
          <w:szCs w:val="24"/>
        </w:rPr>
      </w:pPr>
      <w:r w:rsidRPr="001E5D20">
        <w:rPr>
          <w:rFonts w:ascii="AvantGarde Bk BT" w:hAnsi="AvantGarde Bk BT" w:cs="Arial"/>
          <w:i/>
          <w:color w:val="000000" w:themeColor="text1"/>
          <w:sz w:val="20"/>
          <w:szCs w:val="22"/>
        </w:rPr>
        <w:t>IV. Admitido el recurso de revisión, aparezca alguna causal de improcedencia en los términos del presente Capítulo</w:t>
      </w:r>
      <w:r w:rsidRPr="007655BD">
        <w:rPr>
          <w:rFonts w:ascii="AvantGarde Bk BT" w:hAnsi="AvantGarde Bk BT" w:cs="Arial"/>
          <w:i/>
          <w:color w:val="000000" w:themeColor="text1"/>
          <w:sz w:val="22"/>
          <w:szCs w:val="22"/>
        </w:rPr>
        <w:t>.</w:t>
      </w:r>
      <w:r w:rsidRPr="007655BD">
        <w:rPr>
          <w:rFonts w:ascii="AvantGarde Bk BT" w:hAnsi="AvantGarde Bk BT" w:cs="Arial"/>
          <w:color w:val="000000" w:themeColor="text1"/>
          <w:sz w:val="24"/>
          <w:szCs w:val="24"/>
        </w:rPr>
        <w:t>”</w:t>
      </w:r>
    </w:p>
    <w:p w14:paraId="382B950B" w14:textId="77777777" w:rsidR="002968AA" w:rsidRDefault="002968AA" w:rsidP="002968AA">
      <w:pPr>
        <w:pStyle w:val="corte4fondo"/>
        <w:tabs>
          <w:tab w:val="left" w:pos="567"/>
        </w:tabs>
        <w:spacing w:after="240"/>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Del análisis realizado por esta Comisión, se advierte que se actualiza la ca</w:t>
      </w:r>
      <w:r>
        <w:rPr>
          <w:rFonts w:ascii="AvantGarde Bk BT" w:hAnsi="AvantGarde Bk BT" w:cs="Arial"/>
          <w:color w:val="000000" w:themeColor="text1"/>
          <w:sz w:val="24"/>
          <w:szCs w:val="24"/>
        </w:rPr>
        <w:t>usal prevista en la fracción III</w:t>
      </w:r>
      <w:r w:rsidRPr="00A424B0">
        <w:rPr>
          <w:rFonts w:ascii="AvantGarde Bk BT" w:hAnsi="AvantGarde Bk BT" w:cs="Arial"/>
          <w:color w:val="000000" w:themeColor="text1"/>
          <w:sz w:val="24"/>
          <w:szCs w:val="24"/>
        </w:rPr>
        <w:t xml:space="preserve">, esto es, </w:t>
      </w:r>
      <w:r>
        <w:rPr>
          <w:rFonts w:ascii="AvantGarde Bk BT" w:hAnsi="AvantGarde Bk BT" w:cs="Arial"/>
          <w:color w:val="000000" w:themeColor="text1"/>
          <w:sz w:val="24"/>
          <w:szCs w:val="24"/>
        </w:rPr>
        <w:t>que el sujeto obligado responsable del acto impugnado modifique este, de manera tal que el recurso de revisión se quede sin materia</w:t>
      </w:r>
      <w:r w:rsidRPr="00A424B0">
        <w:rPr>
          <w:rFonts w:ascii="AvantGarde Bk BT" w:hAnsi="AvantGarde Bk BT" w:cs="Arial"/>
          <w:color w:val="000000" w:themeColor="text1"/>
          <w:sz w:val="24"/>
          <w:szCs w:val="24"/>
        </w:rPr>
        <w:t>.</w:t>
      </w:r>
    </w:p>
    <w:p w14:paraId="7B01948B" w14:textId="77777777" w:rsidR="002968AA" w:rsidRPr="00EC1B4B" w:rsidRDefault="002968AA" w:rsidP="002968A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resulta conveniente señalar que e</w:t>
      </w:r>
      <w:r w:rsidRPr="00A424B0">
        <w:rPr>
          <w:rFonts w:ascii="AvantGarde Bk BT" w:hAnsi="AvantGarde Bk BT" w:cs="Arial"/>
          <w:color w:val="000000" w:themeColor="text1"/>
          <w:sz w:val="24"/>
          <w:szCs w:val="24"/>
        </w:rPr>
        <w:t xml:space="preserve">l motivo de inconformidad planteado por </w:t>
      </w:r>
      <w:r>
        <w:rPr>
          <w:rFonts w:ascii="AvantGarde Bk BT" w:hAnsi="AvantGarde Bk BT" w:cs="Arial"/>
          <w:color w:val="000000" w:themeColor="text1"/>
          <w:sz w:val="24"/>
          <w:szCs w:val="24"/>
        </w:rPr>
        <w:t>el</w:t>
      </w:r>
      <w:r w:rsidRPr="00A424B0">
        <w:rPr>
          <w:rFonts w:ascii="AvantGarde Bk BT" w:hAnsi="AvantGarde Bk BT" w:cs="Arial"/>
          <w:color w:val="000000" w:themeColor="text1"/>
          <w:sz w:val="24"/>
          <w:szCs w:val="24"/>
        </w:rPr>
        <w:t xml:space="preserve"> hoy recurrente </w:t>
      </w:r>
      <w:r>
        <w:rPr>
          <w:rFonts w:ascii="AvantGarde Bk BT" w:hAnsi="AvantGarde Bk BT" w:cs="Arial"/>
          <w:color w:val="000000" w:themeColor="text1"/>
          <w:sz w:val="24"/>
          <w:szCs w:val="24"/>
        </w:rPr>
        <w:t>consiste en que la información entregada se encuentra en un formato inaccesible para el peticionario.</w:t>
      </w:r>
    </w:p>
    <w:p w14:paraId="06AC98A1" w14:textId="77777777" w:rsidR="002968AA" w:rsidRPr="00A424B0" w:rsidRDefault="002968AA" w:rsidP="002968AA">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 </w:t>
      </w:r>
      <w:r w:rsidRPr="00A424B0">
        <w:rPr>
          <w:rFonts w:ascii="AvantGarde Bk BT" w:hAnsi="AvantGarde Bk BT" w:cs="Arial"/>
          <w:b/>
          <w:color w:val="000000" w:themeColor="text1"/>
          <w:sz w:val="24"/>
          <w:szCs w:val="24"/>
        </w:rPr>
        <w:t>Elementos de la figura del sobreseimiento.</w:t>
      </w:r>
    </w:p>
    <w:p w14:paraId="2667FCFB" w14:textId="77777777" w:rsidR="002968AA" w:rsidRPr="002109F6" w:rsidRDefault="002968AA" w:rsidP="002968AA">
      <w:pPr>
        <w:pStyle w:val="corte4fondo"/>
        <w:tabs>
          <w:tab w:val="left" w:pos="567"/>
        </w:tabs>
        <w:spacing w:after="240"/>
        <w:rPr>
          <w:rFonts w:ascii="AvantGarde Bk BT" w:hAnsi="AvantGarde Bk BT" w:cs="Arial"/>
          <w:color w:val="000000" w:themeColor="text1"/>
          <w:sz w:val="24"/>
          <w:szCs w:val="24"/>
        </w:rPr>
      </w:pPr>
      <w:r w:rsidRPr="00E84328">
        <w:rPr>
          <w:rFonts w:ascii="AvantGarde Bk BT" w:hAnsi="AvantGarde Bk BT" w:cs="Arial"/>
          <w:color w:val="000000" w:themeColor="text1"/>
          <w:sz w:val="24"/>
          <w:szCs w:val="24"/>
        </w:rPr>
        <w:lastRenderedPageBreak/>
        <w:t>Es importante precisar que para efecto de que se actualice la causa</w:t>
      </w:r>
      <w:r>
        <w:rPr>
          <w:rFonts w:ascii="AvantGarde Bk BT" w:hAnsi="AvantGarde Bk BT" w:cs="Arial"/>
          <w:color w:val="000000" w:themeColor="text1"/>
          <w:sz w:val="24"/>
          <w:szCs w:val="24"/>
        </w:rPr>
        <w:t>l establecida en la fracción III</w:t>
      </w:r>
      <w:r w:rsidRPr="00E84328">
        <w:rPr>
          <w:rFonts w:ascii="AvantGarde Bk BT" w:hAnsi="AvantGarde Bk BT" w:cs="Arial"/>
          <w:color w:val="000000" w:themeColor="text1"/>
          <w:sz w:val="24"/>
          <w:szCs w:val="24"/>
        </w:rPr>
        <w:t xml:space="preserve"> del artículo citado, se deben configurar dos elementos, los cuales son:</w:t>
      </w:r>
      <w:r w:rsidRPr="00A424B0">
        <w:rPr>
          <w:rFonts w:ascii="AvantGarde Bk BT" w:hAnsi="AvantGarde Bk BT" w:cs="Arial"/>
          <w:color w:val="000000" w:themeColor="text1"/>
          <w:sz w:val="24"/>
          <w:szCs w:val="24"/>
        </w:rPr>
        <w:t xml:space="preserve"> </w:t>
      </w:r>
    </w:p>
    <w:p w14:paraId="7E60EE44" w14:textId="77777777" w:rsidR="002968AA" w:rsidRPr="005B7C0E" w:rsidRDefault="002968AA" w:rsidP="002968AA">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Primer elemento: </w:t>
      </w:r>
      <w:r w:rsidRPr="005B7C0E">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67A192AC" w14:textId="77777777" w:rsidR="002968AA" w:rsidRPr="005B7C0E" w:rsidRDefault="002968AA" w:rsidP="002968AA">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Segundo elemento: </w:t>
      </w:r>
      <w:r w:rsidRPr="005B7C0E">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3C84C6F2" w14:textId="77777777" w:rsidR="002968AA" w:rsidRPr="00A424B0" w:rsidRDefault="002968AA" w:rsidP="002968AA">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6.1.1 </w:t>
      </w:r>
      <w:r w:rsidRPr="00A424B0">
        <w:rPr>
          <w:rFonts w:ascii="AvantGarde Bk BT" w:hAnsi="AvantGarde Bk BT" w:cs="Arial"/>
          <w:b/>
          <w:color w:val="000000" w:themeColor="text1"/>
          <w:sz w:val="24"/>
          <w:szCs w:val="24"/>
        </w:rPr>
        <w:t>Estudio del primer elemento.</w:t>
      </w:r>
    </w:p>
    <w:p w14:paraId="4CD1126C" w14:textId="77777777" w:rsidR="002968AA" w:rsidRPr="000A271A" w:rsidRDefault="002968AA" w:rsidP="002968A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en primer término, tenemos que </w:t>
      </w:r>
      <w:r w:rsidRPr="00922DBB">
        <w:rPr>
          <w:rFonts w:ascii="AvantGarde Bk BT" w:hAnsi="AvantGarde Bk BT" w:cs="Arial"/>
          <w:color w:val="000000" w:themeColor="text1"/>
          <w:sz w:val="24"/>
          <w:szCs w:val="24"/>
        </w:rPr>
        <w:t xml:space="preserve">el hoy recurrente presentó su solicitud de información </w:t>
      </w:r>
      <w:r>
        <w:rPr>
          <w:rFonts w:ascii="AvantGarde Bk BT" w:hAnsi="AvantGarde Bk BT" w:cs="Arial"/>
          <w:color w:val="000000" w:themeColor="text1"/>
          <w:sz w:val="24"/>
          <w:szCs w:val="24"/>
        </w:rPr>
        <w:t>a través de la Plataforma Nacional de Transparencia, misma que consistió en</w:t>
      </w:r>
      <w:r w:rsidRPr="00922DBB">
        <w:rPr>
          <w:rFonts w:ascii="AvantGarde Bk BT" w:hAnsi="AvantGarde Bk BT" w:cs="Arial"/>
          <w:color w:val="000000" w:themeColor="text1"/>
          <w:sz w:val="24"/>
          <w:szCs w:val="24"/>
        </w:rPr>
        <w:t>:</w:t>
      </w:r>
    </w:p>
    <w:p w14:paraId="73D397C0" w14:textId="1569B841" w:rsidR="006E50A1" w:rsidRPr="006E50A1" w:rsidRDefault="002968AA" w:rsidP="006E50A1">
      <w:pPr>
        <w:pStyle w:val="corte4fondo"/>
        <w:tabs>
          <w:tab w:val="left" w:pos="567"/>
        </w:tabs>
        <w:ind w:left="680" w:right="680" w:firstLine="0"/>
        <w:rPr>
          <w:rFonts w:ascii="AvantGarde Bk BT" w:hAnsi="AvantGarde Bk BT" w:cs="Arial"/>
          <w:i/>
          <w:color w:val="000000" w:themeColor="text1"/>
          <w:sz w:val="20"/>
          <w:szCs w:val="24"/>
        </w:rPr>
      </w:pPr>
      <w:r w:rsidRPr="000A271A">
        <w:rPr>
          <w:rFonts w:ascii="AvantGarde Bk BT" w:hAnsi="AvantGarde Bk BT" w:cs="Arial"/>
          <w:i/>
          <w:color w:val="000000" w:themeColor="text1"/>
          <w:sz w:val="24"/>
          <w:szCs w:val="24"/>
        </w:rPr>
        <w:t>“</w:t>
      </w:r>
      <w:r w:rsidR="006E50A1" w:rsidRPr="006E50A1">
        <w:rPr>
          <w:rFonts w:ascii="AvantGarde Bk BT" w:hAnsi="AvantGarde Bk BT" w:cs="Arial"/>
          <w:i/>
          <w:color w:val="000000" w:themeColor="text1"/>
          <w:sz w:val="20"/>
          <w:szCs w:val="24"/>
        </w:rPr>
        <w:t xml:space="preserve">solicito me conteste </w:t>
      </w:r>
      <w:proofErr w:type="spellStart"/>
      <w:r w:rsidR="006E50A1" w:rsidRPr="006E50A1">
        <w:rPr>
          <w:rFonts w:ascii="AvantGarde Bk BT" w:hAnsi="AvantGarde Bk BT" w:cs="Arial"/>
          <w:i/>
          <w:color w:val="000000" w:themeColor="text1"/>
          <w:sz w:val="20"/>
          <w:szCs w:val="24"/>
        </w:rPr>
        <w:t>via</w:t>
      </w:r>
      <w:proofErr w:type="spellEnd"/>
      <w:r w:rsidR="006E50A1" w:rsidRPr="006E50A1">
        <w:rPr>
          <w:rFonts w:ascii="AvantGarde Bk BT" w:hAnsi="AvantGarde Bk BT" w:cs="Arial"/>
          <w:i/>
          <w:color w:val="000000" w:themeColor="text1"/>
          <w:sz w:val="20"/>
          <w:szCs w:val="24"/>
        </w:rPr>
        <w:t xml:space="preserve"> </w:t>
      </w:r>
      <w:proofErr w:type="spellStart"/>
      <w:r w:rsidR="006E50A1" w:rsidRPr="006E50A1">
        <w:rPr>
          <w:rFonts w:ascii="AvantGarde Bk BT" w:hAnsi="AvantGarde Bk BT" w:cs="Arial"/>
          <w:i/>
          <w:color w:val="000000" w:themeColor="text1"/>
          <w:sz w:val="20"/>
          <w:szCs w:val="24"/>
        </w:rPr>
        <w:t>electr</w:t>
      </w:r>
      <w:r w:rsidR="006E50A1" w:rsidRPr="006E50A1">
        <w:rPr>
          <w:rFonts w:ascii="AvantGarde Bk BT" w:hAnsi="AvantGarde Bk BT" w:cs="Arial"/>
          <w:i/>
          <w:color w:val="000000" w:themeColor="text1"/>
          <w:sz w:val="20"/>
          <w:szCs w:val="24"/>
        </w:rPr>
        <w:t>onica</w:t>
      </w:r>
      <w:proofErr w:type="spellEnd"/>
      <w:r w:rsidR="006E50A1" w:rsidRPr="006E50A1">
        <w:rPr>
          <w:rFonts w:ascii="AvantGarde Bk BT" w:hAnsi="AvantGarde Bk BT" w:cs="Arial"/>
          <w:i/>
          <w:color w:val="000000" w:themeColor="text1"/>
          <w:sz w:val="20"/>
          <w:szCs w:val="24"/>
        </w:rPr>
        <w:t xml:space="preserve"> la siguiente </w:t>
      </w:r>
      <w:proofErr w:type="spellStart"/>
      <w:r w:rsidR="006E50A1" w:rsidRPr="006E50A1">
        <w:rPr>
          <w:rFonts w:ascii="AvantGarde Bk BT" w:hAnsi="AvantGarde Bk BT" w:cs="Arial"/>
          <w:i/>
          <w:color w:val="000000" w:themeColor="text1"/>
          <w:sz w:val="20"/>
          <w:szCs w:val="24"/>
        </w:rPr>
        <w:t>informacion</w:t>
      </w:r>
      <w:proofErr w:type="spellEnd"/>
      <w:r w:rsidR="006E50A1" w:rsidRPr="006E50A1">
        <w:rPr>
          <w:rFonts w:ascii="AvantGarde Bk BT" w:hAnsi="AvantGarde Bk BT" w:cs="Arial"/>
          <w:i/>
          <w:color w:val="000000" w:themeColor="text1"/>
          <w:sz w:val="20"/>
          <w:szCs w:val="24"/>
        </w:rPr>
        <w:t>.</w:t>
      </w:r>
    </w:p>
    <w:p w14:paraId="17719B1C" w14:textId="77777777" w:rsidR="006E50A1" w:rsidRPr="006E50A1" w:rsidRDefault="006E50A1" w:rsidP="006E50A1">
      <w:pPr>
        <w:pStyle w:val="corte4fondo"/>
        <w:tabs>
          <w:tab w:val="left" w:pos="567"/>
        </w:tabs>
        <w:ind w:left="680" w:right="680" w:firstLine="0"/>
        <w:rPr>
          <w:rFonts w:ascii="AvantGarde Bk BT" w:hAnsi="AvantGarde Bk BT" w:cs="Arial"/>
          <w:i/>
          <w:color w:val="000000" w:themeColor="text1"/>
          <w:sz w:val="20"/>
          <w:szCs w:val="24"/>
        </w:rPr>
      </w:pPr>
      <w:r w:rsidRPr="006E50A1">
        <w:rPr>
          <w:rFonts w:ascii="AvantGarde Bk BT" w:hAnsi="AvantGarde Bk BT" w:cs="Arial"/>
          <w:i/>
          <w:color w:val="000000" w:themeColor="text1"/>
          <w:sz w:val="20"/>
          <w:szCs w:val="24"/>
        </w:rPr>
        <w:t xml:space="preserve">1.-nombre completo de las CUATRO personas </w:t>
      </w:r>
      <w:proofErr w:type="spellStart"/>
      <w:r w:rsidRPr="006E50A1">
        <w:rPr>
          <w:rFonts w:ascii="AvantGarde Bk BT" w:hAnsi="AvantGarde Bk BT" w:cs="Arial"/>
          <w:i/>
          <w:color w:val="000000" w:themeColor="text1"/>
          <w:sz w:val="20"/>
          <w:szCs w:val="24"/>
        </w:rPr>
        <w:t>fisicas</w:t>
      </w:r>
      <w:proofErr w:type="spellEnd"/>
      <w:r w:rsidRPr="006E50A1">
        <w:rPr>
          <w:rFonts w:ascii="AvantGarde Bk BT" w:hAnsi="AvantGarde Bk BT" w:cs="Arial"/>
          <w:i/>
          <w:color w:val="000000" w:themeColor="text1"/>
          <w:sz w:val="20"/>
          <w:szCs w:val="24"/>
        </w:rPr>
        <w:t xml:space="preserve"> que demandaron al Municipio de San Ciro de Acosta S.L.P. en la pasada administración </w:t>
      </w:r>
      <w:proofErr w:type="gramStart"/>
      <w:r w:rsidRPr="006E50A1">
        <w:rPr>
          <w:rFonts w:ascii="AvantGarde Bk BT" w:hAnsi="AvantGarde Bk BT" w:cs="Arial"/>
          <w:i/>
          <w:color w:val="000000" w:themeColor="text1"/>
          <w:sz w:val="20"/>
          <w:szCs w:val="24"/>
        </w:rPr>
        <w:t>constitucional ,</w:t>
      </w:r>
      <w:proofErr w:type="gramEnd"/>
      <w:r w:rsidRPr="006E50A1">
        <w:rPr>
          <w:rFonts w:ascii="AvantGarde Bk BT" w:hAnsi="AvantGarde Bk BT" w:cs="Arial"/>
          <w:i/>
          <w:color w:val="000000" w:themeColor="text1"/>
          <w:sz w:val="20"/>
          <w:szCs w:val="24"/>
        </w:rPr>
        <w:t xml:space="preserve"> </w:t>
      </w:r>
      <w:proofErr w:type="spellStart"/>
      <w:r w:rsidRPr="006E50A1">
        <w:rPr>
          <w:rFonts w:ascii="AvantGarde Bk BT" w:hAnsi="AvantGarde Bk BT" w:cs="Arial"/>
          <w:i/>
          <w:color w:val="000000" w:themeColor="text1"/>
          <w:sz w:val="20"/>
          <w:szCs w:val="24"/>
        </w:rPr>
        <w:t>alos</w:t>
      </w:r>
      <w:proofErr w:type="spellEnd"/>
      <w:r w:rsidRPr="006E50A1">
        <w:rPr>
          <w:rFonts w:ascii="AvantGarde Bk BT" w:hAnsi="AvantGarde Bk BT" w:cs="Arial"/>
          <w:i/>
          <w:color w:val="000000" w:themeColor="text1"/>
          <w:sz w:val="20"/>
          <w:szCs w:val="24"/>
        </w:rPr>
        <w:t xml:space="preserve"> que les fue pagadero la cantidad de 476,870.00.</w:t>
      </w:r>
    </w:p>
    <w:p w14:paraId="0BBC9147" w14:textId="7C584C79" w:rsidR="002968AA" w:rsidRPr="002109F6" w:rsidRDefault="006E50A1" w:rsidP="006E50A1">
      <w:pPr>
        <w:pStyle w:val="corte4fondo"/>
        <w:tabs>
          <w:tab w:val="left" w:pos="567"/>
        </w:tabs>
        <w:spacing w:after="240"/>
        <w:ind w:left="680" w:right="680" w:firstLine="0"/>
        <w:rPr>
          <w:rFonts w:ascii="AvantGarde Bk BT" w:hAnsi="AvantGarde Bk BT" w:cs="Arial"/>
          <w:i/>
          <w:color w:val="000000" w:themeColor="text1"/>
          <w:sz w:val="24"/>
          <w:szCs w:val="24"/>
        </w:rPr>
      </w:pPr>
      <w:r w:rsidRPr="006E50A1">
        <w:rPr>
          <w:rFonts w:ascii="AvantGarde Bk BT" w:hAnsi="AvantGarde Bk BT" w:cs="Arial"/>
          <w:i/>
          <w:color w:val="000000" w:themeColor="text1"/>
          <w:sz w:val="20"/>
          <w:szCs w:val="24"/>
        </w:rPr>
        <w:t xml:space="preserve">2.- nombre completo de las personas </w:t>
      </w:r>
      <w:proofErr w:type="spellStart"/>
      <w:r w:rsidRPr="006E50A1">
        <w:rPr>
          <w:rFonts w:ascii="AvantGarde Bk BT" w:hAnsi="AvantGarde Bk BT" w:cs="Arial"/>
          <w:i/>
          <w:color w:val="000000" w:themeColor="text1"/>
          <w:sz w:val="20"/>
          <w:szCs w:val="24"/>
        </w:rPr>
        <w:t>fisicas</w:t>
      </w:r>
      <w:proofErr w:type="spellEnd"/>
      <w:r w:rsidRPr="006E50A1">
        <w:rPr>
          <w:rFonts w:ascii="AvantGarde Bk BT" w:hAnsi="AvantGarde Bk BT" w:cs="Arial"/>
          <w:i/>
          <w:color w:val="000000" w:themeColor="text1"/>
          <w:sz w:val="20"/>
          <w:szCs w:val="24"/>
        </w:rPr>
        <w:t xml:space="preserve"> que </w:t>
      </w:r>
      <w:proofErr w:type="spellStart"/>
      <w:r w:rsidRPr="006E50A1">
        <w:rPr>
          <w:rFonts w:ascii="AvantGarde Bk BT" w:hAnsi="AvantGarde Bk BT" w:cs="Arial"/>
          <w:i/>
          <w:color w:val="000000" w:themeColor="text1"/>
          <w:sz w:val="20"/>
          <w:szCs w:val="24"/>
        </w:rPr>
        <w:t>actulamente</w:t>
      </w:r>
      <w:proofErr w:type="spellEnd"/>
      <w:r w:rsidRPr="006E50A1">
        <w:rPr>
          <w:rFonts w:ascii="AvantGarde Bk BT" w:hAnsi="AvantGarde Bk BT" w:cs="Arial"/>
          <w:i/>
          <w:color w:val="000000" w:themeColor="text1"/>
          <w:sz w:val="20"/>
          <w:szCs w:val="24"/>
        </w:rPr>
        <w:t xml:space="preserve"> se encuentran en litigio con ese H. Ayuntamiento de San Ciro de Acosta </w:t>
      </w:r>
      <w:proofErr w:type="spellStart"/>
      <w:proofErr w:type="gramStart"/>
      <w:r w:rsidRPr="006E50A1">
        <w:rPr>
          <w:rFonts w:ascii="AvantGarde Bk BT" w:hAnsi="AvantGarde Bk BT" w:cs="Arial"/>
          <w:i/>
          <w:color w:val="000000" w:themeColor="text1"/>
          <w:sz w:val="20"/>
          <w:szCs w:val="24"/>
        </w:rPr>
        <w:t>s.l.p</w:t>
      </w:r>
      <w:proofErr w:type="spellEnd"/>
      <w:r w:rsidRPr="006E50A1">
        <w:rPr>
          <w:rFonts w:ascii="AvantGarde Bk BT" w:hAnsi="AvantGarde Bk BT" w:cs="Arial"/>
          <w:i/>
          <w:color w:val="000000" w:themeColor="text1"/>
          <w:sz w:val="20"/>
          <w:szCs w:val="24"/>
        </w:rPr>
        <w:t>.</w:t>
      </w:r>
      <w:r w:rsidR="002968AA" w:rsidRPr="006E50A1">
        <w:rPr>
          <w:rFonts w:ascii="AvantGarde Bk BT" w:hAnsi="AvantGarde Bk BT" w:cs="Arial"/>
          <w:i/>
          <w:color w:val="000000" w:themeColor="text1"/>
          <w:sz w:val="22"/>
          <w:szCs w:val="24"/>
        </w:rPr>
        <w:t>.</w:t>
      </w:r>
      <w:proofErr w:type="gramEnd"/>
      <w:r w:rsidR="002968AA" w:rsidRPr="000A271A">
        <w:rPr>
          <w:rFonts w:ascii="AvantGarde Bk BT" w:hAnsi="AvantGarde Bk BT" w:cs="Arial"/>
          <w:i/>
          <w:color w:val="000000" w:themeColor="text1"/>
          <w:sz w:val="24"/>
          <w:szCs w:val="24"/>
        </w:rPr>
        <w:t>”</w:t>
      </w:r>
      <w:r w:rsidR="002968AA" w:rsidRPr="000A271A">
        <w:rPr>
          <w:rFonts w:ascii="AvantGarde Bk BT" w:hAnsi="AvantGarde Bk BT" w:cs="Arial"/>
          <w:color w:val="000000" w:themeColor="text1"/>
          <w:sz w:val="24"/>
          <w:szCs w:val="24"/>
        </w:rPr>
        <w:t xml:space="preserve"> </w:t>
      </w:r>
      <w:r w:rsidR="002968AA">
        <w:rPr>
          <w:rFonts w:ascii="AvantGarde Bk BT" w:hAnsi="AvantGarde Bk BT" w:cs="Arial"/>
          <w:color w:val="000000" w:themeColor="text1"/>
          <w:sz w:val="24"/>
          <w:szCs w:val="24"/>
        </w:rPr>
        <w:t>(sic)</w:t>
      </w:r>
    </w:p>
    <w:p w14:paraId="3221227F" w14:textId="0E62D16B" w:rsidR="006E50A1" w:rsidRDefault="006E50A1" w:rsidP="002968A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anterior, el sujeto obligado respondió lo siguiente:</w:t>
      </w:r>
    </w:p>
    <w:p w14:paraId="0008B9C3" w14:textId="4AC69D03" w:rsidR="00861828" w:rsidRDefault="00861828" w:rsidP="002968AA">
      <w:pPr>
        <w:pStyle w:val="corte4fondo"/>
        <w:tabs>
          <w:tab w:val="left" w:pos="567"/>
        </w:tabs>
        <w:rPr>
          <w:rFonts w:ascii="AvantGarde Bk BT" w:hAnsi="AvantGarde Bk BT" w:cs="Arial"/>
          <w:color w:val="000000" w:themeColor="text1"/>
          <w:sz w:val="24"/>
          <w:szCs w:val="24"/>
        </w:rPr>
      </w:pPr>
    </w:p>
    <w:p w14:paraId="408248AB" w14:textId="2B78213F" w:rsidR="00861828" w:rsidRDefault="00861828" w:rsidP="002968AA">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700224" behindDoc="0" locked="0" layoutInCell="1" allowOverlap="1" wp14:anchorId="464E1944" wp14:editId="6FC34B99">
            <wp:simplePos x="0" y="0"/>
            <wp:positionH relativeFrom="page">
              <wp:align>center</wp:align>
            </wp:positionH>
            <wp:positionV relativeFrom="paragraph">
              <wp:posOffset>118745</wp:posOffset>
            </wp:positionV>
            <wp:extent cx="3438525" cy="2590165"/>
            <wp:effectExtent l="508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27903" t="19241" r="23872" b="16194"/>
                    <a:stretch/>
                  </pic:blipFill>
                  <pic:spPr bwMode="auto">
                    <a:xfrm rot="16200000">
                      <a:off x="0" y="0"/>
                      <a:ext cx="3438525" cy="25901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56CB71C" w14:textId="65F1131F" w:rsidR="00861828" w:rsidRDefault="00861828" w:rsidP="002968AA">
      <w:pPr>
        <w:pStyle w:val="corte4fondo"/>
        <w:tabs>
          <w:tab w:val="left" w:pos="567"/>
        </w:tabs>
        <w:rPr>
          <w:rFonts w:ascii="AvantGarde Bk BT" w:hAnsi="AvantGarde Bk BT" w:cs="Arial"/>
          <w:color w:val="000000" w:themeColor="text1"/>
          <w:sz w:val="24"/>
          <w:szCs w:val="24"/>
        </w:rPr>
      </w:pPr>
    </w:p>
    <w:p w14:paraId="2411C460" w14:textId="7B314148" w:rsidR="00861828" w:rsidRDefault="00861828" w:rsidP="002968AA">
      <w:pPr>
        <w:pStyle w:val="corte4fondo"/>
        <w:tabs>
          <w:tab w:val="left" w:pos="567"/>
        </w:tabs>
        <w:rPr>
          <w:rFonts w:ascii="AvantGarde Bk BT" w:hAnsi="AvantGarde Bk BT" w:cs="Arial"/>
          <w:color w:val="000000" w:themeColor="text1"/>
          <w:sz w:val="24"/>
          <w:szCs w:val="24"/>
        </w:rPr>
      </w:pPr>
    </w:p>
    <w:p w14:paraId="2BA25B85" w14:textId="7AA8C179" w:rsidR="00861828" w:rsidRDefault="00861828" w:rsidP="002968AA">
      <w:pPr>
        <w:pStyle w:val="corte4fondo"/>
        <w:tabs>
          <w:tab w:val="left" w:pos="567"/>
        </w:tabs>
        <w:rPr>
          <w:rFonts w:ascii="AvantGarde Bk BT" w:hAnsi="AvantGarde Bk BT" w:cs="Arial"/>
          <w:color w:val="000000" w:themeColor="text1"/>
          <w:sz w:val="24"/>
          <w:szCs w:val="24"/>
        </w:rPr>
      </w:pPr>
    </w:p>
    <w:p w14:paraId="37134A79" w14:textId="718D835A" w:rsidR="00861828" w:rsidRDefault="00861828" w:rsidP="002968AA">
      <w:pPr>
        <w:pStyle w:val="corte4fondo"/>
        <w:tabs>
          <w:tab w:val="left" w:pos="567"/>
        </w:tabs>
        <w:rPr>
          <w:rFonts w:ascii="AvantGarde Bk BT" w:hAnsi="AvantGarde Bk BT" w:cs="Arial"/>
          <w:color w:val="000000" w:themeColor="text1"/>
          <w:sz w:val="24"/>
          <w:szCs w:val="24"/>
        </w:rPr>
      </w:pPr>
    </w:p>
    <w:p w14:paraId="5CF500CA" w14:textId="3553A3CB" w:rsidR="00861828" w:rsidRDefault="00861828" w:rsidP="002968AA">
      <w:pPr>
        <w:pStyle w:val="corte4fondo"/>
        <w:tabs>
          <w:tab w:val="left" w:pos="567"/>
        </w:tabs>
        <w:rPr>
          <w:rFonts w:ascii="AvantGarde Bk BT" w:hAnsi="AvantGarde Bk BT" w:cs="Arial"/>
          <w:color w:val="000000" w:themeColor="text1"/>
          <w:sz w:val="24"/>
          <w:szCs w:val="24"/>
        </w:rPr>
      </w:pPr>
    </w:p>
    <w:p w14:paraId="64BF7251" w14:textId="475AA5B0" w:rsidR="00861828" w:rsidRDefault="00861828" w:rsidP="002968AA">
      <w:pPr>
        <w:pStyle w:val="corte4fondo"/>
        <w:tabs>
          <w:tab w:val="left" w:pos="567"/>
        </w:tabs>
        <w:rPr>
          <w:rFonts w:ascii="AvantGarde Bk BT" w:hAnsi="AvantGarde Bk BT" w:cs="Arial"/>
          <w:color w:val="000000" w:themeColor="text1"/>
          <w:sz w:val="24"/>
          <w:szCs w:val="24"/>
        </w:rPr>
      </w:pPr>
    </w:p>
    <w:p w14:paraId="7B933DBB" w14:textId="02A322C5" w:rsidR="00861828" w:rsidRDefault="00861828" w:rsidP="002968AA">
      <w:pPr>
        <w:pStyle w:val="corte4fondo"/>
        <w:tabs>
          <w:tab w:val="left" w:pos="567"/>
        </w:tabs>
        <w:rPr>
          <w:rFonts w:ascii="AvantGarde Bk BT" w:hAnsi="AvantGarde Bk BT" w:cs="Arial"/>
          <w:color w:val="000000" w:themeColor="text1"/>
          <w:sz w:val="24"/>
          <w:szCs w:val="24"/>
        </w:rPr>
      </w:pPr>
    </w:p>
    <w:p w14:paraId="4779A420" w14:textId="77777777" w:rsidR="00861828" w:rsidRDefault="00861828" w:rsidP="002968AA">
      <w:pPr>
        <w:pStyle w:val="corte4fondo"/>
        <w:tabs>
          <w:tab w:val="left" w:pos="567"/>
        </w:tabs>
        <w:rPr>
          <w:rFonts w:ascii="AvantGarde Bk BT" w:hAnsi="AvantGarde Bk BT" w:cs="Arial"/>
          <w:color w:val="000000" w:themeColor="text1"/>
          <w:sz w:val="24"/>
          <w:szCs w:val="24"/>
        </w:rPr>
      </w:pPr>
    </w:p>
    <w:p w14:paraId="780788C4" w14:textId="671F010C" w:rsidR="006E50A1" w:rsidRDefault="006E50A1" w:rsidP="002968AA">
      <w:pPr>
        <w:pStyle w:val="corte4fondo"/>
        <w:tabs>
          <w:tab w:val="left" w:pos="567"/>
        </w:tabs>
        <w:rPr>
          <w:rFonts w:ascii="AvantGarde Bk BT" w:hAnsi="AvantGarde Bk BT" w:cs="Arial"/>
          <w:color w:val="000000" w:themeColor="text1"/>
          <w:sz w:val="24"/>
          <w:szCs w:val="24"/>
        </w:rPr>
      </w:pPr>
    </w:p>
    <w:p w14:paraId="1AB3534F" w14:textId="72CAD00D" w:rsidR="002968AA" w:rsidRPr="009B78EC" w:rsidRDefault="00416942" w:rsidP="002968A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Ahora, </w:t>
      </w:r>
      <w:r w:rsidR="002968AA">
        <w:rPr>
          <w:rFonts w:ascii="AvantGarde Bk BT" w:hAnsi="AvantGarde Bk BT" w:cs="Arial"/>
          <w:color w:val="000000" w:themeColor="text1"/>
          <w:sz w:val="24"/>
          <w:szCs w:val="24"/>
        </w:rPr>
        <w:t xml:space="preserve">el particular se inconformó </w:t>
      </w:r>
      <w:r w:rsidR="00861828">
        <w:rPr>
          <w:rFonts w:ascii="AvantGarde Bk BT" w:hAnsi="AvantGarde Bk BT" w:cs="Arial"/>
          <w:color w:val="000000" w:themeColor="text1"/>
          <w:sz w:val="24"/>
          <w:szCs w:val="24"/>
        </w:rPr>
        <w:t>en</w:t>
      </w:r>
      <w:r w:rsidR="002968AA">
        <w:rPr>
          <w:rFonts w:ascii="AvantGarde Bk BT" w:hAnsi="AvantGarde Bk BT" w:cs="Arial"/>
          <w:color w:val="000000" w:themeColor="text1"/>
          <w:sz w:val="24"/>
          <w:szCs w:val="24"/>
        </w:rPr>
        <w:t xml:space="preserve"> revisión y señaló como agravio lo siguiente:</w:t>
      </w:r>
    </w:p>
    <w:p w14:paraId="6C8FC6FA" w14:textId="1895BE3D" w:rsidR="002968AA" w:rsidRPr="00240C87" w:rsidRDefault="002968AA" w:rsidP="00416942">
      <w:pPr>
        <w:spacing w:after="240" w:line="360" w:lineRule="auto"/>
        <w:ind w:left="680" w:right="680"/>
        <w:jc w:val="both"/>
        <w:rPr>
          <w:rFonts w:ascii="AvantGarde Bk BT" w:hAnsi="AvantGarde Bk BT" w:cs="Arial"/>
          <w:i/>
          <w:color w:val="000000" w:themeColor="text1"/>
          <w:szCs w:val="24"/>
        </w:rPr>
      </w:pPr>
      <w:r>
        <w:rPr>
          <w:rFonts w:ascii="AvantGarde Bk BT" w:hAnsi="AvantGarde Bk BT" w:cs="Arial"/>
          <w:color w:val="000000" w:themeColor="text1"/>
          <w:sz w:val="24"/>
          <w:szCs w:val="24"/>
        </w:rPr>
        <w:t>“</w:t>
      </w:r>
      <w:r w:rsidR="00861828">
        <w:rPr>
          <w:rFonts w:ascii="AvantGarde Bk BT" w:hAnsi="AvantGarde Bk BT" w:cs="Arial"/>
          <w:i/>
          <w:color w:val="000000" w:themeColor="text1"/>
          <w:sz w:val="20"/>
          <w:szCs w:val="24"/>
        </w:rPr>
        <w:t>no existe fundamento legal de lo ahí manifestado como autoridad</w:t>
      </w:r>
      <w:r w:rsidRPr="00240C87">
        <w:rPr>
          <w:rFonts w:ascii="AvantGarde Bk BT" w:hAnsi="AvantGarde Bk BT" w:cs="Arial"/>
          <w:i/>
          <w:color w:val="000000" w:themeColor="text1"/>
          <w:szCs w:val="24"/>
        </w:rPr>
        <w:t>.”</w:t>
      </w:r>
      <w:r w:rsidRPr="00D82CBD">
        <w:rPr>
          <w:rFonts w:ascii="AvantGarde Bk BT" w:hAnsi="AvantGarde Bk BT" w:cs="Arial"/>
          <w:color w:val="000000" w:themeColor="text1"/>
          <w:szCs w:val="24"/>
        </w:rPr>
        <w:t xml:space="preserve"> </w:t>
      </w:r>
    </w:p>
    <w:p w14:paraId="62D15762" w14:textId="2AA27886" w:rsidR="002968AA" w:rsidRDefault="002968AA" w:rsidP="00094EB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el sujeto obligado al momento de rendir el informe ordenado en el auto de admisión del presente recurso de revisión, hizo del conocimiento de este cuerpo colegiado que</w:t>
      </w:r>
      <w:r w:rsidR="00807736">
        <w:rPr>
          <w:rFonts w:ascii="AvantGarde Bk BT" w:hAnsi="AvantGarde Bk BT" w:cs="Arial"/>
          <w:color w:val="000000" w:themeColor="text1"/>
          <w:sz w:val="24"/>
          <w:szCs w:val="24"/>
        </w:rPr>
        <w:t xml:space="preserve"> la </w:t>
      </w:r>
      <w:r w:rsidR="00094EBC">
        <w:rPr>
          <w:rFonts w:ascii="AvantGarde Bk BT" w:hAnsi="AvantGarde Bk BT" w:cs="Arial"/>
          <w:color w:val="000000" w:themeColor="text1"/>
          <w:sz w:val="24"/>
          <w:szCs w:val="24"/>
        </w:rPr>
        <w:t>unidad administrativa responsable de la respuesta emitió una nueva, mediante la cual proporcionó la información requerida al peticionario vía correo electrónico el 04 cuatro de abril de 2022 dos mil veintidós</w:t>
      </w:r>
      <w:r w:rsidR="00807736">
        <w:rPr>
          <w:rFonts w:ascii="AvantGarde Bk BT" w:hAnsi="AvantGarde Bk BT" w:cs="Arial"/>
          <w:color w:val="000000" w:themeColor="text1"/>
          <w:sz w:val="24"/>
          <w:szCs w:val="24"/>
        </w:rPr>
        <w:t>.</w:t>
      </w:r>
      <w:r w:rsidR="00310E92">
        <w:rPr>
          <w:rFonts w:ascii="AvantGarde Bk BT" w:hAnsi="AvantGarde Bk BT" w:cs="Arial"/>
          <w:color w:val="000000" w:themeColor="text1"/>
          <w:sz w:val="24"/>
          <w:szCs w:val="24"/>
        </w:rPr>
        <w:t xml:space="preserve"> (Visible de foja </w:t>
      </w:r>
      <w:r w:rsidR="00094EBC">
        <w:rPr>
          <w:rFonts w:ascii="AvantGarde Bk BT" w:hAnsi="AvantGarde Bk BT" w:cs="Arial"/>
          <w:color w:val="000000" w:themeColor="text1"/>
          <w:sz w:val="24"/>
          <w:szCs w:val="24"/>
        </w:rPr>
        <w:t xml:space="preserve">22 y 23 </w:t>
      </w:r>
      <w:r>
        <w:rPr>
          <w:rFonts w:ascii="AvantGarde Bk BT" w:hAnsi="AvantGarde Bk BT" w:cs="Arial"/>
          <w:color w:val="000000" w:themeColor="text1"/>
          <w:sz w:val="24"/>
          <w:szCs w:val="24"/>
        </w:rPr>
        <w:t>de autos.)</w:t>
      </w:r>
    </w:p>
    <w:p w14:paraId="14124077" w14:textId="37D6973F" w:rsidR="002968AA" w:rsidRPr="00CB4A55" w:rsidRDefault="002968AA" w:rsidP="002968AA">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DC2CED">
        <w:rPr>
          <w:rFonts w:ascii="AvantGarde Bk BT" w:eastAsia="Times New Roman" w:hAnsi="AvantGarde Bk BT" w:cs="Arial"/>
          <w:color w:val="000000" w:themeColor="text1"/>
          <w:sz w:val="24"/>
          <w:szCs w:val="24"/>
        </w:rPr>
        <w:t>De lo anterior, se acredita el primer elemento del sobreseimiento, toda vez que de las constancias que obran en autos se puede cor</w:t>
      </w:r>
      <w:r>
        <w:rPr>
          <w:rFonts w:ascii="AvantGarde Bk BT" w:eastAsia="Times New Roman" w:hAnsi="AvantGarde Bk BT" w:cs="Arial"/>
          <w:color w:val="000000" w:themeColor="text1"/>
          <w:sz w:val="24"/>
          <w:szCs w:val="24"/>
        </w:rPr>
        <w:t>roborar que el sujeto obligado modific</w:t>
      </w:r>
      <w:r w:rsidRPr="00DC2CED">
        <w:rPr>
          <w:rFonts w:ascii="AvantGarde Bk BT" w:eastAsia="Times New Roman" w:hAnsi="AvantGarde Bk BT" w:cs="Arial"/>
          <w:color w:val="000000" w:themeColor="text1"/>
          <w:sz w:val="24"/>
          <w:szCs w:val="24"/>
        </w:rPr>
        <w:t>ó el acto impugnado, al emitir una nueva respuesta.</w:t>
      </w:r>
    </w:p>
    <w:p w14:paraId="1B3FE45B" w14:textId="5AC683AC" w:rsidR="002968AA" w:rsidRPr="00A424B0" w:rsidRDefault="002968AA" w:rsidP="002968AA">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6.1.2 </w:t>
      </w:r>
      <w:r w:rsidRPr="00A424B0">
        <w:rPr>
          <w:rFonts w:ascii="AvantGarde Bk BT" w:hAnsi="AvantGarde Bk BT" w:cs="Arial"/>
          <w:b/>
          <w:color w:val="000000" w:themeColor="text1"/>
          <w:sz w:val="24"/>
          <w:szCs w:val="24"/>
        </w:rPr>
        <w:t>Estudio del segundo elemento.</w:t>
      </w:r>
    </w:p>
    <w:p w14:paraId="7D2849B3" w14:textId="2E414ECF" w:rsidR="002968AA" w:rsidRPr="00A424B0" w:rsidRDefault="002968AA" w:rsidP="002968AA">
      <w:pPr>
        <w:pStyle w:val="corte4fondo"/>
        <w:tabs>
          <w:tab w:val="left" w:pos="567"/>
        </w:tabs>
        <w:spacing w:after="240"/>
        <w:rPr>
          <w:rFonts w:ascii="AvantGarde Bk BT" w:hAnsi="AvantGarde Bk BT" w:cs="Arial"/>
          <w:color w:val="000000" w:themeColor="text1"/>
          <w:sz w:val="24"/>
          <w:szCs w:val="24"/>
        </w:rPr>
      </w:pPr>
      <w:r w:rsidRPr="00CB1E25">
        <w:rPr>
          <w:rFonts w:ascii="AvantGarde Bk BT" w:hAnsi="AvantGarde Bk BT" w:cs="Arial"/>
          <w:color w:val="000000" w:themeColor="text1"/>
          <w:sz w:val="24"/>
          <w:szCs w:val="24"/>
        </w:rPr>
        <w:t xml:space="preserve">Al encontrarse acreditado el primer elemento se procede al estudio y análisis del segundo elemento, </w:t>
      </w:r>
      <w:r w:rsidRPr="007C2005">
        <w:rPr>
          <w:rFonts w:ascii="AvantGarde Bk BT" w:hAnsi="AvantGarde Bk BT" w:cs="Arial"/>
          <w:color w:val="000000" w:themeColor="text1"/>
          <w:sz w:val="24"/>
          <w:szCs w:val="24"/>
        </w:rPr>
        <w:t>el cual consiste en que</w:t>
      </w:r>
      <w:r w:rsidRPr="00AD497E">
        <w:rPr>
          <w:rFonts w:ascii="AvantGarde Bk BT" w:hAnsi="AvantGarde Bk BT" w:cs="Arial"/>
          <w:color w:val="000000" w:themeColor="text1"/>
          <w:sz w:val="24"/>
          <w:szCs w:val="24"/>
        </w:rPr>
        <w:t xml:space="preserve"> dicha modificación o revocación deje sin materia el recurso antes de que se resuelva el mismo.</w:t>
      </w:r>
      <w:r w:rsidRPr="006714FB">
        <w:rPr>
          <w:rFonts w:ascii="AvantGarde Bk BT" w:hAnsi="AvantGarde Bk BT" w:cs="Arial"/>
          <w:color w:val="000000" w:themeColor="text1"/>
          <w:sz w:val="24"/>
          <w:szCs w:val="24"/>
        </w:rPr>
        <w:t xml:space="preserve"> </w:t>
      </w:r>
    </w:p>
    <w:p w14:paraId="0DA065A5" w14:textId="0711E0E4" w:rsidR="002968AA" w:rsidRDefault="002968AA" w:rsidP="002968AA">
      <w:pPr>
        <w:spacing w:after="0" w:line="360" w:lineRule="auto"/>
        <w:ind w:firstLine="709"/>
        <w:jc w:val="both"/>
        <w:rPr>
          <w:rFonts w:ascii="AvantGarde Bk BT" w:hAnsi="AvantGarde Bk BT" w:cs="Arial"/>
          <w:color w:val="000000" w:themeColor="text1"/>
          <w:sz w:val="24"/>
          <w:szCs w:val="24"/>
        </w:rPr>
      </w:pPr>
      <w:r w:rsidRPr="00720DB3">
        <w:rPr>
          <w:rFonts w:ascii="AvantGarde Bk BT" w:hAnsi="AvantGarde Bk BT" w:cs="Arial"/>
          <w:color w:val="000000" w:themeColor="text1"/>
          <w:sz w:val="24"/>
          <w:szCs w:val="24"/>
        </w:rPr>
        <w:t>En este contexto y como quedó señalado con anterioridad, el sujeto obligado modificó el acto i</w:t>
      </w:r>
      <w:r w:rsidR="002274B8" w:rsidRPr="00720DB3">
        <w:rPr>
          <w:rFonts w:ascii="AvantGarde Bk BT" w:hAnsi="AvantGarde Bk BT" w:cs="Arial"/>
          <w:color w:val="000000" w:themeColor="text1"/>
          <w:sz w:val="24"/>
          <w:szCs w:val="24"/>
        </w:rPr>
        <w:t>mpugnado, ya que envió una</w:t>
      </w:r>
      <w:r w:rsidRPr="00720DB3">
        <w:rPr>
          <w:rFonts w:ascii="AvantGarde Bk BT" w:hAnsi="AvantGarde Bk BT" w:cs="Arial"/>
          <w:color w:val="000000" w:themeColor="text1"/>
          <w:sz w:val="24"/>
          <w:szCs w:val="24"/>
        </w:rPr>
        <w:t xml:space="preserve"> respuesta al correo electrónico del solicitante y ent</w:t>
      </w:r>
      <w:r w:rsidR="006C11DF" w:rsidRPr="00720DB3">
        <w:rPr>
          <w:rFonts w:ascii="AvantGarde Bk BT" w:hAnsi="AvantGarde Bk BT" w:cs="Arial"/>
          <w:color w:val="000000" w:themeColor="text1"/>
          <w:sz w:val="24"/>
          <w:szCs w:val="24"/>
        </w:rPr>
        <w:t>regó la siguiente información</w:t>
      </w:r>
      <w:r w:rsidRPr="00720DB3">
        <w:rPr>
          <w:rFonts w:ascii="AvantGarde Bk BT" w:hAnsi="AvantGarde Bk BT" w:cs="Arial"/>
          <w:color w:val="000000" w:themeColor="text1"/>
          <w:sz w:val="24"/>
          <w:szCs w:val="24"/>
        </w:rPr>
        <w:t>:</w:t>
      </w:r>
    </w:p>
    <w:p w14:paraId="49C69BD1" w14:textId="0AEFA9F2" w:rsidR="006C11DF" w:rsidRDefault="006C11DF" w:rsidP="002968AA">
      <w:pPr>
        <w:spacing w:after="0" w:line="360" w:lineRule="auto"/>
        <w:ind w:firstLine="709"/>
        <w:jc w:val="both"/>
        <w:rPr>
          <w:rFonts w:ascii="AvantGarde Bk BT" w:hAnsi="AvantGarde Bk BT" w:cs="Arial"/>
          <w:color w:val="000000" w:themeColor="text1"/>
          <w:sz w:val="24"/>
          <w:szCs w:val="24"/>
        </w:rPr>
      </w:pPr>
    </w:p>
    <w:p w14:paraId="4251036E" w14:textId="73F3C6F2"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5622F472" w14:textId="41A7E3F6"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17169BFD" w14:textId="35F68745" w:rsidR="00BF26B9" w:rsidRDefault="00B3108F" w:rsidP="002968AA">
      <w:pPr>
        <w:spacing w:after="0" w:line="360" w:lineRule="auto"/>
        <w:ind w:firstLine="709"/>
        <w:jc w:val="both"/>
        <w:rPr>
          <w:rFonts w:ascii="AvantGarde Bk BT" w:hAnsi="AvantGarde Bk BT" w:cs="Arial"/>
          <w:color w:val="000000" w:themeColor="text1"/>
          <w:sz w:val="24"/>
          <w:szCs w:val="24"/>
        </w:rPr>
      </w:pPr>
      <w:r>
        <w:rPr>
          <w:noProof/>
        </w:rPr>
        <w:drawing>
          <wp:anchor distT="0" distB="0" distL="114300" distR="114300" simplePos="0" relativeHeight="251701248" behindDoc="0" locked="0" layoutInCell="1" allowOverlap="1" wp14:anchorId="67885FB2" wp14:editId="5F61A2F3">
            <wp:simplePos x="0" y="0"/>
            <wp:positionH relativeFrom="page">
              <wp:align>center</wp:align>
            </wp:positionH>
            <wp:positionV relativeFrom="paragraph">
              <wp:posOffset>-1449705</wp:posOffset>
            </wp:positionV>
            <wp:extent cx="3174365" cy="4496435"/>
            <wp:effectExtent l="5715"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49583" t="14324" r="23752" b="18546"/>
                    <a:stretch/>
                  </pic:blipFill>
                  <pic:spPr bwMode="auto">
                    <a:xfrm rot="16200000">
                      <a:off x="0" y="0"/>
                      <a:ext cx="3174365" cy="44964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33CD64" w14:textId="044ABAEC"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4B55566E" w14:textId="565592D1"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5EBC7AA8" w14:textId="470EB1A9"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1A7F24F9" w14:textId="37497FBD"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460F4E24" w14:textId="77777777"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76D5E2C6" w14:textId="77777777"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40109A82" w14:textId="61D2F901"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75A78A1B" w14:textId="26AF1DB6" w:rsidR="00BF26B9" w:rsidRDefault="00B3108F" w:rsidP="002968AA">
      <w:pPr>
        <w:spacing w:after="0" w:line="360" w:lineRule="auto"/>
        <w:ind w:firstLine="709"/>
        <w:jc w:val="both"/>
        <w:rPr>
          <w:rFonts w:ascii="AvantGarde Bk BT" w:hAnsi="AvantGarde Bk BT" w:cs="Arial"/>
          <w:color w:val="000000" w:themeColor="text1"/>
          <w:sz w:val="24"/>
          <w:szCs w:val="24"/>
        </w:rPr>
      </w:pPr>
      <w:r>
        <w:rPr>
          <w:noProof/>
        </w:rPr>
        <w:lastRenderedPageBreak/>
        <w:drawing>
          <wp:anchor distT="0" distB="0" distL="114300" distR="114300" simplePos="0" relativeHeight="251703296" behindDoc="0" locked="0" layoutInCell="1" allowOverlap="1" wp14:anchorId="4F3C7744" wp14:editId="6A4464FC">
            <wp:simplePos x="0" y="0"/>
            <wp:positionH relativeFrom="margin">
              <wp:align>center</wp:align>
            </wp:positionH>
            <wp:positionV relativeFrom="paragraph">
              <wp:posOffset>-588010</wp:posOffset>
            </wp:positionV>
            <wp:extent cx="3319780" cy="4496435"/>
            <wp:effectExtent l="2222"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21888" t="14324" r="50225" b="18546"/>
                    <a:stretch/>
                  </pic:blipFill>
                  <pic:spPr bwMode="auto">
                    <a:xfrm rot="16200000">
                      <a:off x="0" y="0"/>
                      <a:ext cx="3319780" cy="44964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D070E5" w14:textId="41D4621C"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344D1900" w14:textId="30A4754D"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438FB474" w14:textId="2C34BAAC"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5FA78E86" w14:textId="64CF1CCC"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52722BAC" w14:textId="58472EEC"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3DDFF405" w14:textId="4CF3A8E9"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3AA3C272" w14:textId="0545B3E3"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5E12B580" w14:textId="78CF410A"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0941C635" w14:textId="6B8349B2"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36C0CB2C" w14:textId="221E6857" w:rsidR="00BF26B9" w:rsidRDefault="00BF26B9" w:rsidP="002968AA">
      <w:pPr>
        <w:spacing w:after="0" w:line="360" w:lineRule="auto"/>
        <w:ind w:firstLine="709"/>
        <w:jc w:val="both"/>
        <w:rPr>
          <w:rFonts w:ascii="AvantGarde Bk BT" w:hAnsi="AvantGarde Bk BT" w:cs="Arial"/>
          <w:color w:val="000000" w:themeColor="text1"/>
          <w:sz w:val="24"/>
          <w:szCs w:val="24"/>
        </w:rPr>
      </w:pPr>
    </w:p>
    <w:p w14:paraId="2718272B" w14:textId="48795A6B" w:rsidR="00F461CE" w:rsidRDefault="00F461CE" w:rsidP="00F461CE">
      <w:pPr>
        <w:pStyle w:val="corte4fondo"/>
        <w:tabs>
          <w:tab w:val="left" w:pos="567"/>
        </w:tabs>
        <w:spacing w:after="240"/>
        <w:ind w:firstLine="0"/>
        <w:rPr>
          <w:rFonts w:ascii="AvantGarde Bk BT" w:hAnsi="AvantGarde Bk BT" w:cs="Arial"/>
          <w:color w:val="000000" w:themeColor="text1"/>
          <w:sz w:val="24"/>
          <w:szCs w:val="24"/>
        </w:rPr>
      </w:pPr>
    </w:p>
    <w:p w14:paraId="4FC34E02" w14:textId="77777777" w:rsidR="00B3108F" w:rsidRDefault="002968AA" w:rsidP="002968AA">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este respecto, es menester no perder de vista que el presente medio de impugnación se hizo valer en contra de la </w:t>
      </w:r>
      <w:r w:rsidR="00B3108F">
        <w:rPr>
          <w:rFonts w:ascii="AvantGarde Bk BT" w:hAnsi="AvantGarde Bk BT" w:cs="Arial"/>
          <w:color w:val="000000" w:themeColor="text1"/>
          <w:sz w:val="24"/>
          <w:szCs w:val="24"/>
        </w:rPr>
        <w:t>ausencia de fundamentación y motivación de la respuesta; es decir, de la negativa de permitir el acceso a la información requerida por contener información clasificada.</w:t>
      </w:r>
    </w:p>
    <w:p w14:paraId="528D9932" w14:textId="045A0491" w:rsidR="002968AA" w:rsidRDefault="00B3108F" w:rsidP="002968AA">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w:t>
      </w:r>
      <w:r w:rsidR="000B73BE">
        <w:rPr>
          <w:rFonts w:ascii="AvantGarde Bk BT" w:hAnsi="AvantGarde Bk BT" w:cs="Arial"/>
          <w:color w:val="000000" w:themeColor="text1"/>
          <w:sz w:val="24"/>
          <w:szCs w:val="24"/>
        </w:rPr>
        <w:t xml:space="preserve">in embargo, de la lectura </w:t>
      </w:r>
      <w:r w:rsidR="000B73BE" w:rsidRPr="0047048C">
        <w:rPr>
          <w:rFonts w:ascii="AvantGarde Bk BT" w:hAnsi="AvantGarde Bk BT" w:cs="Arial"/>
          <w:b/>
          <w:color w:val="000000" w:themeColor="text1"/>
          <w:sz w:val="24"/>
          <w:szCs w:val="24"/>
        </w:rPr>
        <w:t xml:space="preserve">de los autos se advierte que </w:t>
      </w:r>
      <w:r w:rsidRPr="0047048C">
        <w:rPr>
          <w:rFonts w:ascii="AvantGarde Bk BT" w:hAnsi="AvantGarde Bk BT" w:cs="Arial"/>
          <w:b/>
          <w:color w:val="000000" w:themeColor="text1"/>
          <w:sz w:val="24"/>
          <w:szCs w:val="24"/>
        </w:rPr>
        <w:t>el sujeto obligado revocó su respuesta inicial y en su lugar emitió una nueva mediante la cual proporcionó la información requerida por el peticionario</w:t>
      </w:r>
      <w:r w:rsidR="002968AA">
        <w:rPr>
          <w:rFonts w:ascii="AvantGarde Bk BT" w:hAnsi="AvantGarde Bk BT" w:cs="Arial"/>
          <w:color w:val="000000" w:themeColor="text1"/>
          <w:sz w:val="24"/>
          <w:szCs w:val="24"/>
        </w:rPr>
        <w:t>.</w:t>
      </w:r>
    </w:p>
    <w:p w14:paraId="61611D8E" w14:textId="77777777" w:rsidR="0009724F" w:rsidRPr="00A424B0" w:rsidRDefault="0009724F" w:rsidP="0009724F">
      <w:pPr>
        <w:pStyle w:val="corte4fondo"/>
        <w:tabs>
          <w:tab w:val="left" w:pos="567"/>
        </w:tabs>
        <w:spacing w:after="240"/>
        <w:rPr>
          <w:rFonts w:ascii="AvantGarde Bk BT" w:hAnsi="AvantGarde Bk BT" w:cs="Arial"/>
          <w:color w:val="000000" w:themeColor="text1"/>
          <w:sz w:val="24"/>
          <w:szCs w:val="24"/>
        </w:rPr>
      </w:pPr>
      <w:r w:rsidRPr="00547C17">
        <w:rPr>
          <w:rFonts w:ascii="AvantGarde Bk BT" w:hAnsi="AvantGarde Bk BT" w:cs="Arial"/>
          <w:color w:val="000000" w:themeColor="text1"/>
          <w:sz w:val="24"/>
          <w:szCs w:val="24"/>
        </w:rPr>
        <w:t>En consecuencia, se puede concluir que el presente recurso quedó sin materia, pues consta en autos que el ente obligado emitió una nueva respuesta, misma que fue entregada al peticionario y con ello este último pudo acceder a la información con la que cuenta el sujeto obligado.</w:t>
      </w:r>
      <w:r>
        <w:rPr>
          <w:rFonts w:ascii="AvantGarde Bk BT" w:hAnsi="AvantGarde Bk BT" w:cs="Arial"/>
          <w:color w:val="000000" w:themeColor="text1"/>
          <w:sz w:val="24"/>
          <w:szCs w:val="24"/>
        </w:rPr>
        <w:t xml:space="preserve"> </w:t>
      </w:r>
    </w:p>
    <w:p w14:paraId="05C37918" w14:textId="2C7745D5" w:rsidR="0009724F" w:rsidRDefault="0009724F" w:rsidP="0009724F">
      <w:pPr>
        <w:pStyle w:val="corte4fondo"/>
        <w:tabs>
          <w:tab w:val="left" w:pos="567"/>
        </w:tabs>
        <w:spacing w:after="240"/>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 xml:space="preserve">Así, al acreditarse la causa de sobreseimiento prevista </w:t>
      </w:r>
      <w:r>
        <w:rPr>
          <w:rFonts w:ascii="AvantGarde Bk BT" w:hAnsi="AvantGarde Bk BT" w:cs="Arial"/>
          <w:color w:val="000000" w:themeColor="text1"/>
          <w:sz w:val="24"/>
          <w:szCs w:val="24"/>
        </w:rPr>
        <w:t xml:space="preserve">en el artículo 180, fracción III </w:t>
      </w:r>
      <w:r w:rsidRPr="00A424B0">
        <w:rPr>
          <w:rFonts w:ascii="AvantGarde Bk BT" w:hAnsi="AvantGarde Bk BT" w:cs="Arial"/>
          <w:color w:val="000000" w:themeColor="text1"/>
          <w:sz w:val="24"/>
          <w:szCs w:val="24"/>
        </w:rPr>
        <w:t>de la Ley de Transparencia y Acceso a la Información vigente en el Estado, lo procedente es sobreseer el presente asunto.</w:t>
      </w:r>
    </w:p>
    <w:p w14:paraId="1098D144" w14:textId="6AF51198" w:rsidR="0047048C" w:rsidRPr="00FB726F" w:rsidRDefault="0009724F" w:rsidP="0047048C">
      <w:pPr>
        <w:tabs>
          <w:tab w:val="left" w:pos="567"/>
        </w:tabs>
        <w:spacing w:after="240" w:line="360" w:lineRule="auto"/>
        <w:ind w:firstLine="680"/>
        <w:jc w:val="both"/>
        <w:rPr>
          <w:rFonts w:ascii="AvantGarde Bk BT" w:eastAsia="Times New Roman" w:hAnsi="AvantGarde Bk BT" w:cs="Arial"/>
          <w:color w:val="000000"/>
          <w:sz w:val="24"/>
          <w:szCs w:val="24"/>
          <w:lang w:val="es-ES"/>
        </w:rPr>
      </w:pPr>
      <w:r>
        <w:rPr>
          <w:rFonts w:ascii="AvantGarde Bk BT" w:hAnsi="AvantGarde Bk BT" w:cs="Arial"/>
          <w:color w:val="000000" w:themeColor="text1"/>
          <w:sz w:val="24"/>
          <w:szCs w:val="24"/>
        </w:rPr>
        <w:lastRenderedPageBreak/>
        <w:t>Ahora bien</w:t>
      </w:r>
      <w:r w:rsidR="0047048C">
        <w:rPr>
          <w:rFonts w:ascii="AvantGarde Bk BT" w:hAnsi="AvantGarde Bk BT" w:cs="Arial"/>
          <w:color w:val="000000" w:themeColor="text1"/>
          <w:sz w:val="24"/>
          <w:szCs w:val="24"/>
        </w:rPr>
        <w:t xml:space="preserve">, el Pleno de esta Comisión considera oportuno precisar que </w:t>
      </w:r>
      <w:r w:rsidR="0047048C">
        <w:rPr>
          <w:rFonts w:ascii="AvantGarde Bk BT" w:eastAsia="Times New Roman" w:hAnsi="AvantGarde Bk BT" w:cs="Arial"/>
          <w:color w:val="000000"/>
          <w:sz w:val="24"/>
          <w:szCs w:val="24"/>
          <w:lang w:val="es-ES"/>
        </w:rPr>
        <w:t>la Ley de T</w:t>
      </w:r>
      <w:r w:rsidR="0047048C" w:rsidRPr="00FB726F">
        <w:rPr>
          <w:rFonts w:ascii="AvantGarde Bk BT" w:eastAsia="Times New Roman" w:hAnsi="AvantGarde Bk BT" w:cs="Arial"/>
          <w:color w:val="000000"/>
          <w:sz w:val="24"/>
          <w:szCs w:val="24"/>
          <w:lang w:val="es-ES"/>
        </w:rPr>
        <w:t>ransparencia prevé dos casos de excepción al derecho de acceso a la información como lo es la información clasificada como reservada o confidencial.</w:t>
      </w:r>
      <w:r w:rsidR="0047048C" w:rsidRPr="00FB726F">
        <w:rPr>
          <w:rFonts w:ascii="AvantGarde Bk BT" w:eastAsia="Times New Roman" w:hAnsi="AvantGarde Bk BT" w:cs="Arial"/>
          <w:color w:val="000000"/>
          <w:sz w:val="24"/>
          <w:szCs w:val="24"/>
          <w:vertAlign w:val="superscript"/>
          <w:lang w:val="es-ES"/>
        </w:rPr>
        <w:footnoteReference w:id="1"/>
      </w:r>
    </w:p>
    <w:p w14:paraId="51A0D902" w14:textId="0830301B" w:rsidR="0047048C" w:rsidRPr="00FB726F" w:rsidRDefault="0047048C" w:rsidP="0047048C">
      <w:pPr>
        <w:tabs>
          <w:tab w:val="left" w:pos="567"/>
        </w:tabs>
        <w:spacing w:after="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Así pues, es imprescindible puntualizar la diferencia entre ambos casos de excepción, de tal modo que por información clasificada como reservada debemos entender que es aquélla información que, conforme a los </w:t>
      </w:r>
      <w:r>
        <w:rPr>
          <w:rFonts w:ascii="AvantGarde Bk BT" w:eastAsia="Times New Roman" w:hAnsi="AvantGarde Bk BT" w:cs="Arial"/>
          <w:color w:val="000000"/>
          <w:sz w:val="24"/>
          <w:szCs w:val="24"/>
        </w:rPr>
        <w:t>procedimientos previstos en la Ley de T</w:t>
      </w:r>
      <w:r w:rsidRPr="00FB726F">
        <w:rPr>
          <w:rFonts w:ascii="AvantGarde Bk BT" w:eastAsia="Times New Roman" w:hAnsi="AvantGarde Bk BT" w:cs="Arial"/>
          <w:color w:val="000000"/>
          <w:sz w:val="24"/>
          <w:szCs w:val="24"/>
        </w:rPr>
        <w:t>ranspare</w:t>
      </w:r>
      <w:r>
        <w:rPr>
          <w:rFonts w:ascii="AvantGarde Bk BT" w:eastAsia="Times New Roman" w:hAnsi="AvantGarde Bk BT" w:cs="Arial"/>
          <w:color w:val="000000"/>
          <w:sz w:val="24"/>
          <w:szCs w:val="24"/>
        </w:rPr>
        <w:t>ncia, determine el Comité de T</w:t>
      </w:r>
      <w:r w:rsidRPr="00FB726F">
        <w:rPr>
          <w:rFonts w:ascii="AvantGarde Bk BT" w:eastAsia="Times New Roman" w:hAnsi="AvantGarde Bk BT" w:cs="Arial"/>
          <w:color w:val="000000"/>
          <w:sz w:val="24"/>
          <w:szCs w:val="24"/>
        </w:rPr>
        <w:t xml:space="preserve">ransparencia de cada sujeto obligado mediante el acuerdo correspondiente cuando la publicación de dicha información: </w:t>
      </w:r>
    </w:p>
    <w:p w14:paraId="22B205DF"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Comprometa la seguridad pública y cuente con un propósito genuino y un efecto demostrable; </w:t>
      </w:r>
    </w:p>
    <w:p w14:paraId="2297F99B"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Pueda menoscabar la conducción de las negociaciones y relaciones internacionales; </w:t>
      </w:r>
    </w:p>
    <w:p w14:paraId="3B4F6EA0"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7153B641"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Pueda poner en riesgo la vida, seguridad o salud de una persona física; </w:t>
      </w:r>
    </w:p>
    <w:p w14:paraId="3383DC6B"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las actividades de verificación, inspección y auditoría relativas al cumplimiento de las leyes o afecte la recaudación de contribuciones; </w:t>
      </w:r>
    </w:p>
    <w:p w14:paraId="64ABB1A3"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la prevención o persecución de los delitos; </w:t>
      </w:r>
    </w:p>
    <w:p w14:paraId="29CA9FF8"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La que contenga las opiniones, recomendaciones o puntos de vista que formen parte del proceso deliberativo de los servidores públicos, hasta en tanto no sea adoptada la decisión definitiva, la cual deberá estar documentada; </w:t>
      </w:r>
    </w:p>
    <w:p w14:paraId="5D67BA32"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Obstruya los procedimientos para fincar responsabilidad a los Servidores Públicos, en tanto no se haya dictado la resolución administrativa; </w:t>
      </w:r>
    </w:p>
    <w:p w14:paraId="6F5EE67B"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Afecte los derechos del debido proceso; </w:t>
      </w:r>
    </w:p>
    <w:p w14:paraId="26BCE01E"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Vulnere la conducción de los Expedientes judiciales o de los procedimientos administrativos seguidos en forma de juicio, en tanto no hayan causado estado; </w:t>
      </w:r>
    </w:p>
    <w:p w14:paraId="36EE93E0" w14:textId="77777777" w:rsidR="0047048C" w:rsidRPr="00FB726F" w:rsidRDefault="0047048C" w:rsidP="0009724F">
      <w:pPr>
        <w:numPr>
          <w:ilvl w:val="0"/>
          <w:numId w:val="7"/>
        </w:numPr>
        <w:tabs>
          <w:tab w:val="left" w:pos="567"/>
        </w:tabs>
        <w:spacing w:after="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lastRenderedPageBreak/>
        <w:t>Se encuentre contenida dentro de las investigaciones de hechos que la ley señale como delitos y se tramiten ante el Ministerio Público, y</w:t>
      </w:r>
    </w:p>
    <w:p w14:paraId="79ABBBF5" w14:textId="77777777" w:rsidR="0047048C" w:rsidRPr="00FB726F" w:rsidRDefault="0047048C" w:rsidP="0009724F">
      <w:pPr>
        <w:numPr>
          <w:ilvl w:val="0"/>
          <w:numId w:val="7"/>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 Las que por disposición expresa de una ley tengan tal carácter, siempre que sean acordes con las bases, principios y disposiciones establecidos en esta Ley y no la contravengan; así como las previstas en tratados internacionales.</w:t>
      </w:r>
      <w:r w:rsidRPr="00FB726F">
        <w:rPr>
          <w:rFonts w:ascii="AvantGarde Bk BT" w:eastAsia="Times New Roman" w:hAnsi="AvantGarde Bk BT" w:cs="Arial"/>
          <w:color w:val="000000"/>
          <w:sz w:val="24"/>
          <w:szCs w:val="24"/>
          <w:vertAlign w:val="superscript"/>
        </w:rPr>
        <w:footnoteReference w:id="2"/>
      </w:r>
    </w:p>
    <w:p w14:paraId="4C56A010" w14:textId="77777777" w:rsidR="0047048C" w:rsidRPr="00FB726F" w:rsidRDefault="0047048C" w:rsidP="0047048C">
      <w:pPr>
        <w:tabs>
          <w:tab w:val="left" w:pos="567"/>
        </w:tabs>
        <w:spacing w:after="24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Por otro lado, la información clasificada como confidencial es la que contiene datos personales concernientes a una persona identificada o identificable, asimismo se considera información confidencial la relativa a los secretos bancario, fiduciario, industrial, comercial, fiscal, bursátil y postal, cuya titularidad corresponda a particulares, sujetos de derecho internacional o a sujetos obligados cuando no involucren el ejercicio de recursos públicos.</w:t>
      </w:r>
      <w:r w:rsidRPr="00FB726F">
        <w:rPr>
          <w:rFonts w:ascii="AvantGarde Bk BT" w:eastAsia="Times New Roman" w:hAnsi="AvantGarde Bk BT" w:cs="Arial"/>
          <w:color w:val="000000"/>
          <w:sz w:val="24"/>
          <w:szCs w:val="24"/>
          <w:vertAlign w:val="superscript"/>
        </w:rPr>
        <w:footnoteReference w:id="3"/>
      </w:r>
    </w:p>
    <w:p w14:paraId="32475B9B" w14:textId="77777777" w:rsidR="0047048C" w:rsidRPr="00FB726F" w:rsidRDefault="0047048C" w:rsidP="0047048C">
      <w:pPr>
        <w:tabs>
          <w:tab w:val="left" w:pos="567"/>
        </w:tabs>
        <w:spacing w:after="24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 xml:space="preserve">Señalado lo anterior, se debe hacer la </w:t>
      </w:r>
      <w:r>
        <w:rPr>
          <w:rFonts w:ascii="AvantGarde Bk BT" w:eastAsia="Times New Roman" w:hAnsi="AvantGarde Bk BT" w:cs="Arial"/>
          <w:color w:val="000000"/>
          <w:sz w:val="24"/>
          <w:szCs w:val="24"/>
        </w:rPr>
        <w:t>precisión de que la Ley de T</w:t>
      </w:r>
      <w:r w:rsidRPr="00FB726F">
        <w:rPr>
          <w:rFonts w:ascii="AvantGarde Bk BT" w:eastAsia="Times New Roman" w:hAnsi="AvantGarde Bk BT" w:cs="Arial"/>
          <w:color w:val="000000"/>
          <w:sz w:val="24"/>
          <w:szCs w:val="24"/>
        </w:rPr>
        <w:t>ransparencia prevé procedimientos distintos para cada uno de los casos de excepción antes planteados (previsto del artículo 129 a 137 para la información reservada y del artículo 138 a 142 para la información confidencial), esto en virtud de la diferencia sustancial entre cada uno de ellos.</w:t>
      </w:r>
    </w:p>
    <w:p w14:paraId="76922252" w14:textId="77777777" w:rsidR="0047048C" w:rsidRPr="00FB726F" w:rsidRDefault="0047048C" w:rsidP="0047048C">
      <w:pPr>
        <w:tabs>
          <w:tab w:val="left" w:pos="567"/>
        </w:tabs>
        <w:spacing w:after="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Ahora bien, en ambos caso las determinaciones que clasifiquen la información deberán de encontrarse debidamente fundadas y motivadas, en la inteligencia de que la fundamentación es el conjunto de preceptos legales, ya sean de carácter sustantivo –parte legislativa que confiere derechos o impone obligaciones- o adjetivo –cuerpo legislativo que regula el procedimiento- y, la motivación es el conjunto de razonamientos lógico-jurídicos que justifiquen el porqué de su actuar de cada caso concreto; sirve de apoyo la siguiente tesis emitida por los tribunales de la federación:</w:t>
      </w:r>
    </w:p>
    <w:p w14:paraId="5F3B9BE6" w14:textId="77777777" w:rsidR="0047048C" w:rsidRPr="00BA262B" w:rsidRDefault="0047048C" w:rsidP="0047048C">
      <w:pPr>
        <w:tabs>
          <w:tab w:val="left" w:pos="567"/>
        </w:tabs>
        <w:spacing w:line="360" w:lineRule="auto"/>
        <w:ind w:left="680" w:right="680"/>
        <w:jc w:val="both"/>
        <w:rPr>
          <w:rFonts w:ascii="AvantGarde Bk BT" w:eastAsia="Times New Roman" w:hAnsi="AvantGarde Bk BT" w:cs="Arial"/>
          <w:i/>
          <w:color w:val="000000"/>
          <w:sz w:val="20"/>
          <w:szCs w:val="24"/>
        </w:rPr>
      </w:pPr>
      <w:r w:rsidRPr="00FB726F">
        <w:rPr>
          <w:rFonts w:ascii="AvantGarde Bk BT" w:eastAsia="Times New Roman" w:hAnsi="AvantGarde Bk BT" w:cs="Arial"/>
          <w:i/>
          <w:color w:val="000000"/>
          <w:sz w:val="24"/>
          <w:szCs w:val="24"/>
        </w:rPr>
        <w:t>“</w:t>
      </w:r>
      <w:r w:rsidRPr="006E366C">
        <w:rPr>
          <w:rFonts w:ascii="AvantGarde Bk BT" w:eastAsia="Times New Roman" w:hAnsi="AvantGarde Bk BT" w:cs="Arial"/>
          <w:b/>
          <w:i/>
          <w:color w:val="000000"/>
          <w:sz w:val="20"/>
          <w:szCs w:val="24"/>
        </w:rPr>
        <w:t>Fundamentación y motivación, concepto de.-</w:t>
      </w:r>
      <w:r w:rsidRPr="006E366C">
        <w:rPr>
          <w:rFonts w:ascii="AvantGarde Bk BT" w:eastAsia="Times New Roman" w:hAnsi="AvantGarde Bk BT" w:cs="Arial"/>
          <w:i/>
          <w:color w:val="000000"/>
          <w:sz w:val="2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w:t>
      </w:r>
      <w:r w:rsidRPr="006E366C">
        <w:rPr>
          <w:rFonts w:ascii="AvantGarde Bk BT" w:eastAsia="Times New Roman" w:hAnsi="AvantGarde Bk BT" w:cs="Arial"/>
          <w:i/>
          <w:color w:val="000000"/>
          <w:sz w:val="20"/>
          <w:szCs w:val="24"/>
        </w:rPr>
        <w:lastRenderedPageBreak/>
        <w:t>una serie de razonamientos lógico-jurídicos sobre el por qué consideró que el caso concreto se ajusta a la hipótesis normativa.</w:t>
      </w:r>
      <w:r w:rsidRPr="00FB726F">
        <w:rPr>
          <w:rFonts w:ascii="AvantGarde Bk BT" w:eastAsia="Times New Roman" w:hAnsi="AvantGarde Bk BT" w:cs="Arial"/>
          <w:i/>
          <w:color w:val="000000"/>
          <w:sz w:val="24"/>
          <w:szCs w:val="24"/>
        </w:rPr>
        <w:t>”</w:t>
      </w:r>
      <w:r>
        <w:rPr>
          <w:rStyle w:val="Refdenotaalpie"/>
          <w:rFonts w:ascii="AvantGarde Bk BT" w:eastAsia="Times New Roman" w:hAnsi="AvantGarde Bk BT" w:cs="Arial"/>
          <w:i/>
          <w:color w:val="000000"/>
          <w:sz w:val="20"/>
          <w:szCs w:val="24"/>
        </w:rPr>
        <w:footnoteReference w:id="4"/>
      </w:r>
    </w:p>
    <w:p w14:paraId="0CD8A6FE" w14:textId="77777777" w:rsidR="0047048C" w:rsidRDefault="0047048C" w:rsidP="0047048C">
      <w:pPr>
        <w:tabs>
          <w:tab w:val="left" w:pos="567"/>
        </w:tabs>
        <w:spacing w:after="240" w:line="360" w:lineRule="auto"/>
        <w:ind w:firstLine="680"/>
        <w:jc w:val="both"/>
        <w:rPr>
          <w:rFonts w:ascii="AvantGarde Bk BT" w:eastAsia="Times New Roman" w:hAnsi="AvantGarde Bk BT" w:cs="Arial"/>
          <w:color w:val="000000"/>
          <w:sz w:val="24"/>
          <w:szCs w:val="24"/>
        </w:rPr>
      </w:pPr>
      <w:r w:rsidRPr="005849D2">
        <w:rPr>
          <w:rFonts w:ascii="AvantGarde Bk BT" w:eastAsia="Times New Roman" w:hAnsi="AvantGarde Bk BT" w:cs="Arial"/>
          <w:color w:val="000000"/>
          <w:sz w:val="24"/>
          <w:szCs w:val="24"/>
        </w:rPr>
        <w:t>Así las cosas y de una in</w:t>
      </w:r>
      <w:r>
        <w:rPr>
          <w:rFonts w:ascii="AvantGarde Bk BT" w:eastAsia="Times New Roman" w:hAnsi="AvantGarde Bk BT" w:cs="Arial"/>
          <w:color w:val="000000"/>
          <w:sz w:val="24"/>
          <w:szCs w:val="24"/>
        </w:rPr>
        <w:t>terpretación sistemática de la Ley de T</w:t>
      </w:r>
      <w:r w:rsidRPr="005849D2">
        <w:rPr>
          <w:rFonts w:ascii="AvantGarde Bk BT" w:eastAsia="Times New Roman" w:hAnsi="AvantGarde Bk BT" w:cs="Arial"/>
          <w:color w:val="000000"/>
          <w:sz w:val="24"/>
          <w:szCs w:val="24"/>
        </w:rPr>
        <w:t>ransparencia, resulta evidente que el Comité de Transparencia del sujeto obligado debe confirmar la determinación de clasificación cuando se actualice alguna causal de reserva de la información y en caso de que la información sea clasificada por contener datos personales, deberá aprobar la versión pública correspondiente</w:t>
      </w:r>
      <w:r w:rsidRPr="005849D2">
        <w:rPr>
          <w:rStyle w:val="Refdenotaalpie"/>
          <w:rFonts w:ascii="AvantGarde Bk BT" w:eastAsia="Times New Roman" w:hAnsi="AvantGarde Bk BT" w:cs="Arial"/>
          <w:color w:val="000000"/>
          <w:sz w:val="24"/>
          <w:szCs w:val="24"/>
        </w:rPr>
        <w:footnoteReference w:id="5"/>
      </w:r>
      <w:r w:rsidRPr="005849D2">
        <w:rPr>
          <w:rFonts w:ascii="AvantGarde Bk BT" w:eastAsia="Times New Roman" w:hAnsi="AvantGarde Bk BT" w:cs="Arial"/>
          <w:color w:val="000000"/>
          <w:sz w:val="24"/>
          <w:szCs w:val="24"/>
        </w:rPr>
        <w:t>.</w:t>
      </w:r>
    </w:p>
    <w:p w14:paraId="6E8B08FB" w14:textId="77777777" w:rsidR="0047048C" w:rsidRDefault="0047048C" w:rsidP="0047048C">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sz w:val="24"/>
          <w:szCs w:val="24"/>
        </w:rPr>
        <w:t xml:space="preserve">Asimismo, de conformidad con el artículo </w:t>
      </w:r>
      <w:r>
        <w:rPr>
          <w:rFonts w:ascii="AvantGarde Bk BT" w:hAnsi="AvantGarde Bk BT" w:cs="Arial"/>
          <w:color w:val="000000"/>
          <w:sz w:val="24"/>
          <w:szCs w:val="24"/>
        </w:rPr>
        <w:t>1 de la Ley de T</w:t>
      </w:r>
      <w:r>
        <w:rPr>
          <w:rFonts w:ascii="AvantGarde Bk BT" w:eastAsia="Times New Roman" w:hAnsi="AvantGarde Bk BT" w:cs="Arial"/>
          <w:color w:val="000000"/>
          <w:sz w:val="24"/>
          <w:szCs w:val="24"/>
        </w:rPr>
        <w:t>ransparencia</w:t>
      </w:r>
      <w:r>
        <w:rPr>
          <w:rStyle w:val="Refdenotaalpie"/>
          <w:rFonts w:ascii="AvantGarde Bk BT" w:eastAsia="Times New Roman" w:hAnsi="AvantGarde Bk BT" w:cs="Arial"/>
          <w:color w:val="000000"/>
          <w:sz w:val="24"/>
          <w:szCs w:val="24"/>
        </w:rPr>
        <w:footnoteReference w:id="6"/>
      </w:r>
      <w:r>
        <w:rPr>
          <w:rFonts w:ascii="AvantGarde Bk BT" w:eastAsia="Times New Roman" w:hAnsi="AvantGarde Bk BT" w:cs="Arial"/>
          <w:color w:val="000000"/>
          <w:sz w:val="24"/>
          <w:szCs w:val="24"/>
        </w:rPr>
        <w:t xml:space="preserve"> con relación a los </w:t>
      </w:r>
      <w:r>
        <w:rPr>
          <w:rFonts w:ascii="AvantGarde Bk BT" w:hAnsi="AvantGarde Bk BT" w:cs="Arial"/>
          <w:color w:val="000000"/>
          <w:sz w:val="24"/>
          <w:szCs w:val="24"/>
        </w:rPr>
        <w:t xml:space="preserve">Lineamientos Generales </w:t>
      </w:r>
      <w:r>
        <w:rPr>
          <w:rFonts w:ascii="AvantGarde Bk BT" w:eastAsia="Times New Roman" w:hAnsi="AvantGarde Bk BT" w:cs="Arial"/>
          <w:color w:val="000000"/>
          <w:sz w:val="24"/>
          <w:szCs w:val="24"/>
        </w:rPr>
        <w:t xml:space="preserve">en </w:t>
      </w:r>
      <w:r>
        <w:rPr>
          <w:rFonts w:ascii="AvantGarde Bk BT" w:hAnsi="AvantGarde Bk BT" w:cs="Arial"/>
          <w:color w:val="000000"/>
          <w:sz w:val="24"/>
          <w:szCs w:val="24"/>
        </w:rPr>
        <w:t xml:space="preserve">Materia </w:t>
      </w:r>
      <w:r>
        <w:rPr>
          <w:rFonts w:ascii="AvantGarde Bk BT" w:eastAsia="Times New Roman" w:hAnsi="AvantGarde Bk BT" w:cs="Arial"/>
          <w:color w:val="000000"/>
          <w:sz w:val="24"/>
          <w:szCs w:val="24"/>
        </w:rPr>
        <w:t xml:space="preserve">de </w:t>
      </w:r>
      <w:r>
        <w:rPr>
          <w:rFonts w:ascii="AvantGarde Bk BT" w:hAnsi="AvantGarde Bk BT" w:cs="Arial"/>
          <w:color w:val="000000"/>
          <w:sz w:val="24"/>
          <w:szCs w:val="24"/>
        </w:rPr>
        <w:t xml:space="preserve">Clasificación </w:t>
      </w:r>
      <w:r>
        <w:rPr>
          <w:rFonts w:ascii="AvantGarde Bk BT" w:eastAsia="Times New Roman" w:hAnsi="AvantGarde Bk BT" w:cs="Arial"/>
          <w:color w:val="000000"/>
          <w:sz w:val="24"/>
          <w:szCs w:val="24"/>
        </w:rPr>
        <w:t xml:space="preserve">y </w:t>
      </w:r>
      <w:r>
        <w:rPr>
          <w:rFonts w:ascii="AvantGarde Bk BT" w:hAnsi="AvantGarde Bk BT" w:cs="Arial"/>
          <w:color w:val="000000"/>
          <w:sz w:val="24"/>
          <w:szCs w:val="24"/>
        </w:rPr>
        <w:t xml:space="preserve">Desclasificación </w:t>
      </w:r>
      <w:r>
        <w:rPr>
          <w:rFonts w:ascii="AvantGarde Bk BT" w:eastAsia="Times New Roman" w:hAnsi="AvantGarde Bk BT" w:cs="Arial"/>
          <w:color w:val="000000"/>
          <w:sz w:val="24"/>
          <w:szCs w:val="24"/>
        </w:rPr>
        <w:t xml:space="preserve">de la </w:t>
      </w:r>
      <w:r>
        <w:rPr>
          <w:rFonts w:ascii="AvantGarde Bk BT" w:hAnsi="AvantGarde Bk BT" w:cs="Arial"/>
          <w:color w:val="000000"/>
          <w:sz w:val="24"/>
          <w:szCs w:val="24"/>
        </w:rPr>
        <w:t>Información</w:t>
      </w:r>
      <w:r>
        <w:rPr>
          <w:rFonts w:ascii="AvantGarde Bk BT" w:eastAsia="Times New Roman" w:hAnsi="AvantGarde Bk BT" w:cs="Arial"/>
          <w:color w:val="000000"/>
          <w:sz w:val="24"/>
          <w:szCs w:val="24"/>
        </w:rPr>
        <w:t xml:space="preserve">, así como para la </w:t>
      </w:r>
      <w:r>
        <w:rPr>
          <w:rFonts w:ascii="AvantGarde Bk BT" w:hAnsi="AvantGarde Bk BT" w:cs="Arial"/>
          <w:color w:val="000000"/>
          <w:sz w:val="24"/>
          <w:szCs w:val="24"/>
        </w:rPr>
        <w:t xml:space="preserve">Elaboración </w:t>
      </w:r>
      <w:r>
        <w:rPr>
          <w:rFonts w:ascii="AvantGarde Bk BT" w:eastAsia="Times New Roman" w:hAnsi="AvantGarde Bk BT" w:cs="Arial"/>
          <w:color w:val="000000"/>
          <w:sz w:val="24"/>
          <w:szCs w:val="24"/>
        </w:rPr>
        <w:t xml:space="preserve">de </w:t>
      </w:r>
      <w:r>
        <w:rPr>
          <w:rFonts w:ascii="AvantGarde Bk BT" w:hAnsi="AvantGarde Bk BT" w:cs="Arial"/>
          <w:color w:val="000000"/>
          <w:sz w:val="24"/>
          <w:szCs w:val="24"/>
        </w:rPr>
        <w:t xml:space="preserve">Versiones Públicas, </w:t>
      </w:r>
      <w:r>
        <w:rPr>
          <w:rFonts w:ascii="AvantGarde Bk BT" w:eastAsia="Times New Roman" w:hAnsi="AvantGarde Bk BT" w:cs="Arial"/>
          <w:color w:val="000000"/>
          <w:sz w:val="24"/>
          <w:szCs w:val="24"/>
        </w:rPr>
        <w:t>el acuerdo que clasifique la información como reservada deberá contener lo siguiente:</w:t>
      </w:r>
    </w:p>
    <w:p w14:paraId="66E4738D" w14:textId="77777777" w:rsidR="0047048C" w:rsidRPr="00E969EB" w:rsidRDefault="0047048C" w:rsidP="0047048C">
      <w:pPr>
        <w:pStyle w:val="Prrafodelista"/>
        <w:numPr>
          <w:ilvl w:val="0"/>
          <w:numId w:val="9"/>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fuente y el archivo donde se encuentra la información; </w:t>
      </w:r>
    </w:p>
    <w:p w14:paraId="6531D77D" w14:textId="77777777" w:rsidR="0047048C" w:rsidRPr="00E969EB" w:rsidRDefault="0047048C" w:rsidP="0047048C">
      <w:pPr>
        <w:pStyle w:val="Prrafodelista"/>
        <w:numPr>
          <w:ilvl w:val="0"/>
          <w:numId w:val="9"/>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fundamentación y motivación del acuerdo; </w:t>
      </w:r>
    </w:p>
    <w:p w14:paraId="4424CC7F" w14:textId="77777777" w:rsidR="0047048C" w:rsidRPr="00E969EB" w:rsidRDefault="0047048C" w:rsidP="0047048C">
      <w:pPr>
        <w:pStyle w:val="Prrafodelista"/>
        <w:numPr>
          <w:ilvl w:val="0"/>
          <w:numId w:val="9"/>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El documento, la parte o las partes de los mismos, que se reservan; </w:t>
      </w:r>
    </w:p>
    <w:p w14:paraId="52C6082A" w14:textId="77777777" w:rsidR="0047048C" w:rsidRPr="00E969EB" w:rsidRDefault="0047048C" w:rsidP="0047048C">
      <w:pPr>
        <w:pStyle w:val="Prrafodelista"/>
        <w:numPr>
          <w:ilvl w:val="0"/>
          <w:numId w:val="9"/>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El plazo por el que se reserva la información; </w:t>
      </w:r>
    </w:p>
    <w:p w14:paraId="12341FE8" w14:textId="77777777" w:rsidR="0047048C" w:rsidRDefault="0047048C" w:rsidP="0047048C">
      <w:pPr>
        <w:pStyle w:val="Prrafodelista"/>
        <w:numPr>
          <w:ilvl w:val="0"/>
          <w:numId w:val="9"/>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La designación de la autoridad re</w:t>
      </w:r>
      <w:r>
        <w:rPr>
          <w:rFonts w:ascii="AvantGarde Bk BT" w:eastAsia="Times New Roman" w:hAnsi="AvantGarde Bk BT" w:cs="Arial"/>
          <w:color w:val="000000"/>
          <w:sz w:val="24"/>
          <w:szCs w:val="24"/>
        </w:rPr>
        <w:t>sponsable de su protección;</w:t>
      </w:r>
    </w:p>
    <w:p w14:paraId="74B8C94A" w14:textId="77777777" w:rsidR="0047048C" w:rsidRPr="00E969EB" w:rsidRDefault="0047048C" w:rsidP="0047048C">
      <w:pPr>
        <w:pStyle w:val="Prrafodelista"/>
        <w:numPr>
          <w:ilvl w:val="0"/>
          <w:numId w:val="9"/>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Número de identificación del acuerdo de reserva; </w:t>
      </w:r>
    </w:p>
    <w:p w14:paraId="700F1D0E" w14:textId="77777777" w:rsidR="0047048C" w:rsidRPr="00E969EB" w:rsidRDefault="0047048C" w:rsidP="0047048C">
      <w:pPr>
        <w:pStyle w:val="Prrafodelista"/>
        <w:numPr>
          <w:ilvl w:val="0"/>
          <w:numId w:val="9"/>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aplicación de la prueba del daño; </w:t>
      </w:r>
    </w:p>
    <w:p w14:paraId="0EDAA7FC" w14:textId="77777777" w:rsidR="0047048C" w:rsidRPr="00E969EB" w:rsidRDefault="0047048C" w:rsidP="0047048C">
      <w:pPr>
        <w:pStyle w:val="Prrafodelista"/>
        <w:numPr>
          <w:ilvl w:val="0"/>
          <w:numId w:val="9"/>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Fecha del acuerdo de clasificación, y</w:t>
      </w:r>
    </w:p>
    <w:p w14:paraId="756B38CC" w14:textId="77777777" w:rsidR="0047048C" w:rsidRDefault="0047048C" w:rsidP="0047048C">
      <w:pPr>
        <w:pStyle w:val="Prrafodelista"/>
        <w:numPr>
          <w:ilvl w:val="0"/>
          <w:numId w:val="9"/>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lastRenderedPageBreak/>
        <w:t>La rúbrica de los miembros del Comité.</w:t>
      </w:r>
      <w:r>
        <w:rPr>
          <w:rStyle w:val="Refdenotaalpie"/>
          <w:rFonts w:ascii="AvantGarde Bk BT" w:eastAsia="Times New Roman" w:hAnsi="AvantGarde Bk BT" w:cs="Arial"/>
          <w:color w:val="000000"/>
          <w:sz w:val="24"/>
          <w:szCs w:val="24"/>
        </w:rPr>
        <w:footnoteReference w:id="7"/>
      </w:r>
    </w:p>
    <w:p w14:paraId="2D6EEA8A" w14:textId="77777777" w:rsidR="0047048C" w:rsidRDefault="0047048C" w:rsidP="0047048C">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hAnsi="AvantGarde Bk BT" w:cs="Arial"/>
          <w:color w:val="000000"/>
          <w:sz w:val="24"/>
          <w:szCs w:val="24"/>
        </w:rPr>
        <w:t xml:space="preserve">Por otro lado y en lo que atañe al fondo del acuerdo de reserva, </w:t>
      </w:r>
      <w:r>
        <w:rPr>
          <w:rFonts w:ascii="AvantGarde Bk BT" w:eastAsia="Times New Roman" w:hAnsi="AvantGarde Bk BT" w:cs="Arial"/>
          <w:color w:val="000000"/>
          <w:sz w:val="24"/>
          <w:szCs w:val="24"/>
        </w:rPr>
        <w:t>la Ley de la materia prevé que la carga de la prueba para demostrar el menoscabo o afectación que se causaría en caso de divulgarse la información considerada como reservada, siempre será de los sujetos obligados</w:t>
      </w:r>
      <w:r>
        <w:rPr>
          <w:rStyle w:val="Refdenotaalpie"/>
          <w:rFonts w:ascii="AvantGarde Bk BT" w:eastAsia="Times New Roman" w:hAnsi="AvantGarde Bk BT" w:cs="Arial"/>
          <w:color w:val="000000"/>
          <w:sz w:val="24"/>
          <w:szCs w:val="24"/>
        </w:rPr>
        <w:footnoteReference w:id="8"/>
      </w:r>
      <w:r>
        <w:rPr>
          <w:rFonts w:ascii="AvantGarde Bk BT" w:eastAsia="Times New Roman" w:hAnsi="AvantGarde Bk BT" w:cs="Arial"/>
          <w:color w:val="000000"/>
          <w:sz w:val="24"/>
          <w:szCs w:val="24"/>
        </w:rPr>
        <w:t>, quienes a través de una prueba de daño, deberán realizar un análisis lógico-jurídico que justifique el daño real, demostrable e identificable de perjuicio significativo al interés público, mismo que supera el interés público general de conocer la información</w:t>
      </w:r>
      <w:r>
        <w:rPr>
          <w:rStyle w:val="Refdenotaalpie"/>
          <w:rFonts w:ascii="AvantGarde Bk BT" w:eastAsia="Times New Roman" w:hAnsi="AvantGarde Bk BT" w:cs="Arial"/>
          <w:color w:val="000000"/>
          <w:sz w:val="24"/>
          <w:szCs w:val="24"/>
        </w:rPr>
        <w:footnoteReference w:id="9"/>
      </w:r>
      <w:r>
        <w:rPr>
          <w:rFonts w:ascii="AvantGarde Bk BT" w:eastAsia="Times New Roman" w:hAnsi="AvantGarde Bk BT" w:cs="Arial"/>
          <w:color w:val="000000"/>
          <w:sz w:val="24"/>
          <w:szCs w:val="24"/>
        </w:rPr>
        <w:t>.</w:t>
      </w:r>
    </w:p>
    <w:p w14:paraId="13287080" w14:textId="77777777" w:rsidR="0047048C" w:rsidRDefault="0047048C" w:rsidP="0047048C">
      <w:pPr>
        <w:tabs>
          <w:tab w:val="left" w:pos="567"/>
        </w:tabs>
        <w:spacing w:after="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Con relación a lo antes expuesto, los Lineamientos Generales en Materia de Clasificación y Desclasificación de la Información, así como para la Elaboración de Versiones Públicas prevén que la prueba de daño deberá contener los siguientes elementos:</w:t>
      </w:r>
    </w:p>
    <w:p w14:paraId="1170931A" w14:textId="77777777" w:rsidR="0047048C" w:rsidRPr="002770F7" w:rsidRDefault="0047048C" w:rsidP="0047048C">
      <w:pPr>
        <w:pStyle w:val="Prrafodelista"/>
        <w:numPr>
          <w:ilvl w:val="0"/>
          <w:numId w:val="10"/>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2770F7">
        <w:rPr>
          <w:rFonts w:ascii="AvantGarde Bk BT" w:eastAsia="Times New Roman" w:hAnsi="AvantGarde Bk BT" w:cs="Arial"/>
          <w:color w:val="000000"/>
          <w:sz w:val="24"/>
          <w:szCs w:val="24"/>
        </w:rPr>
        <w:t>Se deberá citar la fracción y, en su caso, la causal aplicable del artículo 113 de la Ley General, vinculándola con el Lineamiento específico del presente ordenamiento y, cuando corresponda, el supuesto normativo que expresamente le otorga el carácter de información reservada;</w:t>
      </w:r>
    </w:p>
    <w:p w14:paraId="26C8138E" w14:textId="77777777" w:rsidR="0047048C" w:rsidRPr="002770F7" w:rsidRDefault="0047048C" w:rsidP="0047048C">
      <w:pPr>
        <w:pStyle w:val="Prrafodelista"/>
        <w:numPr>
          <w:ilvl w:val="0"/>
          <w:numId w:val="10"/>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2770F7">
        <w:rPr>
          <w:rFonts w:ascii="AvantGarde Bk BT" w:eastAsia="Times New Roman" w:hAnsi="AvantGarde Bk BT" w:cs="Arial"/>
          <w:color w:val="000000"/>
          <w:sz w:val="24"/>
          <w:szCs w:val="24"/>
        </w:rPr>
        <w:t xml:space="preserve">Mediante la ponderación de los intereses en conflicto, los sujetos obligados deberán demostrar que la publicidad de la información solicitada generaría un riesgo de perjuicio </w:t>
      </w:r>
      <w:proofErr w:type="gramStart"/>
      <w:r w:rsidRPr="002770F7">
        <w:rPr>
          <w:rFonts w:ascii="AvantGarde Bk BT" w:eastAsia="Times New Roman" w:hAnsi="AvantGarde Bk BT" w:cs="Arial"/>
          <w:color w:val="000000"/>
          <w:sz w:val="24"/>
          <w:szCs w:val="24"/>
        </w:rPr>
        <w:t>y</w:t>
      </w:r>
      <w:proofErr w:type="gramEnd"/>
      <w:r w:rsidRPr="002770F7">
        <w:rPr>
          <w:rFonts w:ascii="AvantGarde Bk BT" w:eastAsia="Times New Roman" w:hAnsi="AvantGarde Bk BT" w:cs="Arial"/>
          <w:color w:val="000000"/>
          <w:sz w:val="24"/>
          <w:szCs w:val="24"/>
        </w:rPr>
        <w:t xml:space="preserve"> por lo tanto, tendrán que acreditar que este último rebasa el interés público protegido por la reserva;</w:t>
      </w:r>
    </w:p>
    <w:p w14:paraId="64A2F085" w14:textId="77777777" w:rsidR="0047048C" w:rsidRPr="002770F7" w:rsidRDefault="0047048C" w:rsidP="0047048C">
      <w:pPr>
        <w:pStyle w:val="Prrafodelista"/>
        <w:numPr>
          <w:ilvl w:val="0"/>
          <w:numId w:val="10"/>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2770F7">
        <w:rPr>
          <w:rFonts w:ascii="AvantGarde Bk BT" w:eastAsia="Times New Roman" w:hAnsi="AvantGarde Bk BT" w:cs="Arial"/>
          <w:color w:val="000000"/>
          <w:sz w:val="24"/>
          <w:szCs w:val="24"/>
        </w:rPr>
        <w:t>Se debe de acreditar el vínculo entre la difusión de la información y la afectación del interés jurídico tutelado de que se trate;</w:t>
      </w:r>
    </w:p>
    <w:p w14:paraId="59F21886" w14:textId="77777777" w:rsidR="0047048C" w:rsidRPr="002770F7" w:rsidRDefault="0047048C" w:rsidP="0047048C">
      <w:pPr>
        <w:pStyle w:val="Prrafodelista"/>
        <w:numPr>
          <w:ilvl w:val="0"/>
          <w:numId w:val="10"/>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2770F7">
        <w:rPr>
          <w:rFonts w:ascii="AvantGarde Bk BT" w:eastAsia="Times New Roman" w:hAnsi="AvantGarde Bk BT" w:cs="Arial"/>
          <w:color w:val="000000"/>
          <w:sz w:val="24"/>
          <w:szCs w:val="24"/>
        </w:rPr>
        <w:lastRenderedPageBreak/>
        <w:t xml:space="preserve">Precisar las razones objetivas por las que la apertura de la información generaría una afectación, a través de los elementos de un riesgo real, demostrable e identificable; </w:t>
      </w:r>
    </w:p>
    <w:p w14:paraId="37A3B056" w14:textId="77777777" w:rsidR="0047048C" w:rsidRPr="002770F7" w:rsidRDefault="0047048C" w:rsidP="0047048C">
      <w:pPr>
        <w:pStyle w:val="Prrafodelista"/>
        <w:numPr>
          <w:ilvl w:val="0"/>
          <w:numId w:val="10"/>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2770F7">
        <w:rPr>
          <w:rFonts w:ascii="AvantGarde Bk BT" w:eastAsia="Times New Roman" w:hAnsi="AvantGarde Bk BT" w:cs="Arial"/>
          <w:color w:val="000000"/>
          <w:sz w:val="24"/>
          <w:szCs w:val="24"/>
        </w:rPr>
        <w:t>En la motivación de la clasificación, el sujeto obligado deberá acreditar las circunstancias de modo, tiempo y lugar del daño, y</w:t>
      </w:r>
    </w:p>
    <w:p w14:paraId="1DB09D0D" w14:textId="77777777" w:rsidR="0047048C" w:rsidRPr="002770F7" w:rsidRDefault="0047048C" w:rsidP="0047048C">
      <w:pPr>
        <w:pStyle w:val="Prrafodelista"/>
        <w:numPr>
          <w:ilvl w:val="0"/>
          <w:numId w:val="10"/>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2770F7">
        <w:rPr>
          <w:rFonts w:ascii="AvantGarde Bk BT" w:eastAsia="Times New Roman" w:hAnsi="AvantGarde Bk BT" w:cs="Arial"/>
          <w:color w:val="000000"/>
          <w:sz w:val="24"/>
          <w:szCs w:val="24"/>
        </w:rPr>
        <w:t>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r>
        <w:rPr>
          <w:rStyle w:val="Refdenotaalpie"/>
          <w:rFonts w:ascii="AvantGarde Bk BT" w:eastAsia="Times New Roman" w:hAnsi="AvantGarde Bk BT" w:cs="Arial"/>
          <w:color w:val="000000"/>
          <w:sz w:val="24"/>
          <w:szCs w:val="24"/>
        </w:rPr>
        <w:footnoteReference w:id="10"/>
      </w:r>
    </w:p>
    <w:p w14:paraId="642DAB8C" w14:textId="5F0DE700" w:rsidR="00B3108F" w:rsidRDefault="0009724F" w:rsidP="002968AA">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ello, el Pleno de esta Comisión </w:t>
      </w:r>
      <w:r w:rsidRPr="0009724F">
        <w:rPr>
          <w:rFonts w:ascii="AvantGarde Bk BT" w:hAnsi="AvantGarde Bk BT" w:cs="Arial"/>
          <w:b/>
          <w:color w:val="000000" w:themeColor="text1"/>
          <w:sz w:val="24"/>
          <w:szCs w:val="24"/>
        </w:rPr>
        <w:t>insta al sujeto obligado para que, en ocasiones futuras realice el estudio correspondiente para efecto de determinar si la información solicitada se actualiza alguna de las hipótesis previstas por la Ley de la materia para efecto de clasificar la información</w:t>
      </w:r>
      <w:r>
        <w:rPr>
          <w:rFonts w:ascii="AvantGarde Bk BT" w:hAnsi="AvantGarde Bk BT" w:cs="Arial"/>
          <w:color w:val="000000" w:themeColor="text1"/>
          <w:sz w:val="24"/>
          <w:szCs w:val="24"/>
        </w:rPr>
        <w:t>.</w:t>
      </w:r>
    </w:p>
    <w:p w14:paraId="5C887D15" w14:textId="77777777"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2</w:t>
      </w:r>
      <w:r w:rsidRPr="007C5605">
        <w:rPr>
          <w:rFonts w:ascii="AvantGarde Bk BT" w:hAnsi="AvantGarde Bk BT" w:cs="Arial"/>
          <w:b/>
          <w:color w:val="000000" w:themeColor="text1"/>
          <w:sz w:val="24"/>
          <w:szCs w:val="24"/>
        </w:rPr>
        <w:t>. Efectos de esta resolución.</w:t>
      </w:r>
    </w:p>
    <w:p w14:paraId="7B337162" w14:textId="77777777" w:rsidR="002968AA" w:rsidRDefault="002968AA" w:rsidP="002968AA">
      <w:pPr>
        <w:pStyle w:val="corte4fondo"/>
        <w:tabs>
          <w:tab w:val="left" w:pos="567"/>
        </w:tabs>
        <w:spacing w:after="240"/>
        <w:rPr>
          <w:rFonts w:ascii="AvantGarde Bk BT" w:hAnsi="AvantGarde Bk BT" w:cs="Arial"/>
          <w:color w:val="000000" w:themeColor="text1"/>
          <w:sz w:val="24"/>
          <w:szCs w:val="24"/>
        </w:rPr>
      </w:pPr>
      <w:r w:rsidRPr="00F32AFA">
        <w:rPr>
          <w:rFonts w:ascii="AvantGarde Bk BT" w:hAnsi="AvantGarde Bk BT" w:cs="Arial"/>
          <w:color w:val="000000" w:themeColor="text1"/>
          <w:sz w:val="24"/>
          <w:szCs w:val="24"/>
        </w:rPr>
        <w:t>Por las consideraciones expuestas, esta Comisión Estatal de Garantía de Acceso a la Información Pública de conformidad c</w:t>
      </w:r>
      <w:r>
        <w:rPr>
          <w:rFonts w:ascii="AvantGarde Bk BT" w:hAnsi="AvantGarde Bk BT" w:cs="Arial"/>
          <w:color w:val="000000" w:themeColor="text1"/>
          <w:sz w:val="24"/>
          <w:szCs w:val="24"/>
        </w:rPr>
        <w:t>on el artículo 180, fracción III</w:t>
      </w:r>
      <w:r w:rsidRPr="00F32AFA">
        <w:rPr>
          <w:rFonts w:ascii="AvantGarde Bk BT" w:hAnsi="AvantGarde Bk BT" w:cs="Arial"/>
          <w:color w:val="000000" w:themeColor="text1"/>
          <w:sz w:val="24"/>
          <w:szCs w:val="24"/>
        </w:rPr>
        <w:t xml:space="preserve"> de la Ley de Transparencia y Acceso a la Información Pública del Estado </w:t>
      </w:r>
      <w:r w:rsidRPr="00723262">
        <w:rPr>
          <w:rFonts w:ascii="AvantGarde Bk BT" w:hAnsi="AvantGarde Bk BT" w:cs="Arial"/>
          <w:b/>
          <w:color w:val="000000" w:themeColor="text1"/>
          <w:sz w:val="24"/>
          <w:szCs w:val="24"/>
        </w:rPr>
        <w:t>SOBRESEE</w:t>
      </w:r>
      <w:r w:rsidRPr="00F32AFA">
        <w:rPr>
          <w:rFonts w:ascii="AvantGarde Bk BT" w:hAnsi="AvantGarde Bk BT" w:cs="Arial"/>
          <w:color w:val="000000" w:themeColor="text1"/>
          <w:sz w:val="24"/>
          <w:szCs w:val="24"/>
        </w:rPr>
        <w:t xml:space="preserve"> el presente recurso.</w:t>
      </w:r>
    </w:p>
    <w:p w14:paraId="7F91A5DF" w14:textId="77777777" w:rsidR="002968AA" w:rsidRPr="00684218" w:rsidRDefault="002968AA" w:rsidP="002968AA">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E469A">
        <w:rPr>
          <w:rFonts w:ascii="AvantGarde Bk BT" w:hAnsi="AvantGarde Bk BT" w:cs="Arial"/>
          <w:b/>
          <w:color w:val="000000" w:themeColor="text1"/>
          <w:sz w:val="24"/>
          <w:szCs w:val="24"/>
        </w:rPr>
        <w:t>. Medio de impugnación.</w:t>
      </w:r>
    </w:p>
    <w:p w14:paraId="11956429" w14:textId="77777777" w:rsidR="002968AA" w:rsidRDefault="002968AA" w:rsidP="002968AA">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B302E05" w14:textId="77777777"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A424B0">
        <w:rPr>
          <w:rFonts w:ascii="AvantGarde Bk BT" w:hAnsi="AvantGarde Bk BT" w:cs="Arial"/>
          <w:b/>
          <w:color w:val="000000" w:themeColor="text1"/>
          <w:sz w:val="24"/>
          <w:szCs w:val="24"/>
        </w:rPr>
        <w:t>Archivo.</w:t>
      </w:r>
    </w:p>
    <w:p w14:paraId="72624756" w14:textId="77777777" w:rsidR="002968AA" w:rsidRDefault="002968AA" w:rsidP="002968AA">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Por último y </w:t>
      </w:r>
      <w:r w:rsidRPr="00F32AFA">
        <w:rPr>
          <w:rFonts w:ascii="AvantGarde Bk BT" w:hAnsi="AvantGarde Bk BT" w:cs="Arial"/>
          <w:color w:val="000000" w:themeColor="text1"/>
          <w:sz w:val="24"/>
          <w:szCs w:val="24"/>
        </w:rPr>
        <w:t>una vez que la presente resolución sea notificada a las partes</w:t>
      </w:r>
      <w:r>
        <w:rPr>
          <w:rFonts w:ascii="AvantGarde Bk BT" w:hAnsi="AvantGarde Bk BT" w:cs="Arial"/>
          <w:color w:val="000000" w:themeColor="text1"/>
          <w:sz w:val="24"/>
          <w:szCs w:val="24"/>
        </w:rPr>
        <w:t xml:space="preserve">, previos trámites de ley </w:t>
      </w:r>
      <w:r w:rsidRPr="00CE08F0">
        <w:rPr>
          <w:rFonts w:ascii="AvantGarde Bk BT" w:hAnsi="AvantGarde Bk BT" w:cs="Arial"/>
          <w:color w:val="000000" w:themeColor="text1"/>
          <w:sz w:val="24"/>
          <w:szCs w:val="24"/>
        </w:rPr>
        <w:t xml:space="preserve">archívese en su oportunidad este expediente como asunto totalmente concluido. </w:t>
      </w:r>
    </w:p>
    <w:p w14:paraId="3F57A00F" w14:textId="77777777" w:rsidR="002968AA" w:rsidRPr="00E215D2" w:rsidRDefault="002968AA" w:rsidP="002968AA">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FA435FE" w14:textId="77777777" w:rsidR="002968AA" w:rsidRPr="007C5605" w:rsidRDefault="002968AA" w:rsidP="002968A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79B8233E" w14:textId="77777777" w:rsidR="002968AA" w:rsidRPr="007C5605" w:rsidRDefault="002968AA" w:rsidP="002968A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sta Comisión Estatal de Garantía de Acceso a la Información Pública de conformidad c</w:t>
      </w:r>
      <w:r>
        <w:rPr>
          <w:rFonts w:ascii="AvantGarde Bk BT" w:hAnsi="AvantGarde Bk BT" w:cs="Arial"/>
          <w:color w:val="000000" w:themeColor="text1"/>
          <w:sz w:val="24"/>
          <w:szCs w:val="24"/>
        </w:rPr>
        <w:t>on el artículo 175, fracción I</w:t>
      </w:r>
      <w:r w:rsidRPr="00CE1E98">
        <w:rPr>
          <w:rFonts w:ascii="AvantGarde Bk BT" w:hAnsi="AvantGarde Bk BT" w:cs="Arial"/>
          <w:color w:val="000000" w:themeColor="text1"/>
          <w:sz w:val="24"/>
          <w:szCs w:val="24"/>
        </w:rPr>
        <w:t xml:space="preserve"> de la Ley de Transparencia y Acceso a la Información Pública del Estado </w:t>
      </w:r>
      <w:r>
        <w:rPr>
          <w:rFonts w:ascii="AvantGarde Bk BT" w:hAnsi="AvantGarde Bk BT" w:cs="Arial"/>
          <w:b/>
          <w:bCs/>
          <w:color w:val="000000" w:themeColor="text1"/>
          <w:sz w:val="24"/>
          <w:szCs w:val="24"/>
        </w:rPr>
        <w:t>SOBRESEE</w:t>
      </w:r>
      <w:r w:rsidRPr="00CE1E98">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presente recurso de revisión, en virtud de las razones expresadas en el considerando sexto de esta resolución</w:t>
      </w:r>
      <w:r w:rsidRPr="002109F6">
        <w:rPr>
          <w:rFonts w:ascii="AvantGarde Bk BT" w:hAnsi="AvantGarde Bk BT" w:cs="Arial"/>
          <w:color w:val="000000" w:themeColor="text1"/>
          <w:sz w:val="24"/>
          <w:szCs w:val="24"/>
        </w:rPr>
        <w:t>.</w:t>
      </w:r>
    </w:p>
    <w:p w14:paraId="739832D7" w14:textId="4292F219" w:rsidR="006100D8" w:rsidRPr="006100D8" w:rsidRDefault="006100D8" w:rsidP="006100D8">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A06CF54" w14:textId="4AD1C01F" w:rsidR="0009724F" w:rsidRPr="006809EF" w:rsidRDefault="0009724F" w:rsidP="0009724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O</w:t>
      </w:r>
      <w:r w:rsidRPr="00E0750B">
        <w:rPr>
          <w:rFonts w:ascii="AvantGarde Bk BT" w:hAnsi="AvantGarde Bk BT"/>
          <w:sz w:val="24"/>
          <w:szCs w:val="24"/>
        </w:rPr>
        <w:t xml:space="preserve">rdinaria de Consejo </w:t>
      </w:r>
      <w:r>
        <w:rPr>
          <w:rFonts w:ascii="AvantGarde Bk BT" w:hAnsi="AvantGarde Bk BT"/>
          <w:sz w:val="24"/>
          <w:szCs w:val="24"/>
        </w:rPr>
        <w:t>06 seis de mayo de 2022 dos mil veintidós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proofErr w:type="spellStart"/>
      <w:r w:rsidRPr="004A0C7D">
        <w:rPr>
          <w:rFonts w:ascii="AvantGarde Bk BT" w:hAnsi="AvantGarde Bk BT" w:cs="Arial"/>
          <w:color w:val="000000" w:themeColor="text1"/>
          <w:sz w:val="24"/>
          <w:szCs w:val="24"/>
        </w:rPr>
        <w:t>Mariajosé</w:t>
      </w:r>
      <w:proofErr w:type="spellEnd"/>
      <w:r w:rsidRPr="004A0C7D">
        <w:rPr>
          <w:rFonts w:ascii="AvantGarde Bk BT" w:hAnsi="AvantGarde Bk BT" w:cs="Arial"/>
          <w:color w:val="000000" w:themeColor="text1"/>
          <w:sz w:val="24"/>
          <w:szCs w:val="24"/>
        </w:rPr>
        <w:t xml:space="preserve">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624C860E" w14:textId="77777777" w:rsidR="0009724F" w:rsidRPr="003358EE" w:rsidRDefault="0009724F" w:rsidP="0009724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2CBFBE4C" w14:textId="77777777" w:rsidR="0009724F" w:rsidRPr="003358EE" w:rsidRDefault="0009724F" w:rsidP="0009724F">
      <w:pPr>
        <w:pStyle w:val="NormalWeb"/>
        <w:jc w:val="both"/>
        <w:rPr>
          <w:rFonts w:ascii="AvantGarde Bk BT" w:hAnsi="AvantGarde Bk BT" w:cs="Arial"/>
          <w:b/>
          <w:color w:val="000000" w:themeColor="text1"/>
          <w:lang w:val="es-MX"/>
        </w:rPr>
      </w:pPr>
    </w:p>
    <w:p w14:paraId="04DA1EF8" w14:textId="760095A2" w:rsidR="0009724F" w:rsidRPr="003358EE" w:rsidRDefault="0009724F" w:rsidP="00DE4561">
      <w:pPr>
        <w:pStyle w:val="NormalWeb"/>
        <w:spacing w:after="240" w:afterAutospacing="0"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bookmarkStart w:id="0" w:name="_GoBack"/>
      <w:bookmarkEnd w:id="0"/>
    </w:p>
    <w:p w14:paraId="37D657B7" w14:textId="77777777" w:rsidR="0009724F" w:rsidRPr="003358EE" w:rsidRDefault="0009724F" w:rsidP="0009724F">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4EFD3D5" w14:textId="77777777" w:rsidR="0009724F" w:rsidRPr="003358EE" w:rsidRDefault="0009724F" w:rsidP="0009724F">
      <w:pPr>
        <w:pStyle w:val="NormalWeb"/>
        <w:rPr>
          <w:rFonts w:ascii="AvantGarde Bk BT" w:hAnsi="AvantGarde Bk BT" w:cs="Arial"/>
          <w:b/>
          <w:color w:val="000000" w:themeColor="text1"/>
          <w:lang w:val="es-MX"/>
        </w:rPr>
      </w:pPr>
    </w:p>
    <w:p w14:paraId="2C318BF0" w14:textId="06470BBA" w:rsidR="0009724F" w:rsidRPr="0009724F" w:rsidRDefault="0009724F" w:rsidP="0009724F">
      <w:pPr>
        <w:pStyle w:val="NormalWeb"/>
        <w:spacing w:line="360" w:lineRule="auto"/>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03D24DC8" w14:textId="77777777" w:rsidR="0009724F" w:rsidRPr="001314EC" w:rsidRDefault="0009724F" w:rsidP="0009724F">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4CA067E8" w:rsidR="005873DB" w:rsidRPr="004C15C0" w:rsidRDefault="0009724F" w:rsidP="0009724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7E3491">
        <w:rPr>
          <w:rFonts w:ascii="AvantGarde Bk BT" w:hAnsi="AvantGarde Bk BT" w:cs="Arial"/>
          <w:color w:val="000000" w:themeColor="text1"/>
          <w:sz w:val="14"/>
          <w:szCs w:val="14"/>
        </w:rPr>
        <w:t xml:space="preserve">ordinaria de </w:t>
      </w:r>
      <w:r>
        <w:rPr>
          <w:rFonts w:ascii="AvantGarde Bk BT" w:hAnsi="AvantGarde Bk BT" w:cs="Arial"/>
          <w:color w:val="000000" w:themeColor="text1"/>
          <w:sz w:val="14"/>
          <w:szCs w:val="14"/>
        </w:rPr>
        <w:t>06 seis de mayo de 2022 dos mil veintidós, dentro de los autos</w:t>
      </w:r>
      <w:r>
        <w:rPr>
          <w:rFonts w:ascii="AvantGarde Bk BT" w:hAnsi="AvantGarde Bk BT" w:cs="Arial"/>
          <w:color w:val="000000" w:themeColor="text1"/>
          <w:sz w:val="14"/>
          <w:szCs w:val="14"/>
        </w:rPr>
        <w:t xml:space="preserve"> del recurso de revisión RR-46</w:t>
      </w:r>
      <w:r>
        <w:rPr>
          <w:rFonts w:ascii="AvantGarde Bk BT" w:hAnsi="AvantGarde Bk BT" w:cs="Arial"/>
          <w:color w:val="000000" w:themeColor="text1"/>
          <w:sz w:val="14"/>
          <w:szCs w:val="14"/>
        </w:rPr>
        <w:t>4/2021-1 SIGEMI.)</w:t>
      </w:r>
    </w:p>
    <w:sectPr w:rsidR="005873DB" w:rsidRPr="004C15C0" w:rsidSect="008D6E96">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3A1DF4" w14:textId="77777777" w:rsidR="0016086A" w:rsidRDefault="0016086A" w:rsidP="003864ED">
      <w:pPr>
        <w:spacing w:after="0" w:line="240" w:lineRule="auto"/>
      </w:pPr>
      <w:r>
        <w:separator/>
      </w:r>
    </w:p>
  </w:endnote>
  <w:endnote w:type="continuationSeparator" w:id="0">
    <w:p w14:paraId="45B0492A" w14:textId="77777777" w:rsidR="0016086A" w:rsidRDefault="0016086A"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7268BA" w14:textId="77777777" w:rsidR="0016086A" w:rsidRDefault="0016086A" w:rsidP="003864ED">
      <w:pPr>
        <w:spacing w:after="0" w:line="240" w:lineRule="auto"/>
      </w:pPr>
      <w:r>
        <w:separator/>
      </w:r>
    </w:p>
  </w:footnote>
  <w:footnote w:type="continuationSeparator" w:id="0">
    <w:p w14:paraId="5E9CEC93" w14:textId="77777777" w:rsidR="0016086A" w:rsidRDefault="0016086A" w:rsidP="003864ED">
      <w:pPr>
        <w:spacing w:after="0" w:line="240" w:lineRule="auto"/>
      </w:pPr>
      <w:r>
        <w:continuationSeparator/>
      </w:r>
    </w:p>
  </w:footnote>
  <w:footnote w:id="1">
    <w:p w14:paraId="1B85ABFB" w14:textId="77777777" w:rsidR="0047048C" w:rsidRPr="0009724F" w:rsidRDefault="0047048C" w:rsidP="0047048C">
      <w:pPr>
        <w:pStyle w:val="Textonotapie"/>
        <w:jc w:val="both"/>
        <w:rPr>
          <w:rFonts w:cstheme="minorHAnsi"/>
          <w:sz w:val="18"/>
          <w:szCs w:val="18"/>
        </w:rPr>
      </w:pPr>
      <w:r w:rsidRPr="0009724F">
        <w:rPr>
          <w:rStyle w:val="Refdenotaalpie"/>
          <w:rFonts w:cstheme="minorHAnsi"/>
          <w:sz w:val="18"/>
          <w:szCs w:val="18"/>
        </w:rPr>
        <w:footnoteRef/>
      </w:r>
      <w:r w:rsidRPr="0009724F">
        <w:rPr>
          <w:rFonts w:cstheme="minorHAnsi"/>
          <w:sz w:val="18"/>
          <w:szCs w:val="18"/>
        </w:rPr>
        <w:t xml:space="preserve"> ARTÍCULO 113. Las figuras jurídicas de excepción al derecho de acceso a la información pública, son las de información reservada, e información confidencial.</w:t>
      </w:r>
    </w:p>
  </w:footnote>
  <w:footnote w:id="2">
    <w:p w14:paraId="72236EC2" w14:textId="77777777" w:rsidR="0047048C" w:rsidRPr="0009724F" w:rsidRDefault="0047048C" w:rsidP="0047048C">
      <w:pPr>
        <w:pStyle w:val="Textonotapie"/>
        <w:jc w:val="both"/>
        <w:rPr>
          <w:rFonts w:cstheme="minorHAnsi"/>
          <w:sz w:val="18"/>
          <w:szCs w:val="18"/>
        </w:rPr>
      </w:pPr>
      <w:r w:rsidRPr="0009724F">
        <w:rPr>
          <w:rStyle w:val="Refdenotaalpie"/>
          <w:rFonts w:cstheme="minorHAnsi"/>
          <w:sz w:val="18"/>
          <w:szCs w:val="18"/>
        </w:rPr>
        <w:footnoteRef/>
      </w:r>
      <w:r w:rsidRPr="0009724F">
        <w:rPr>
          <w:rFonts w:cstheme="minorHAnsi"/>
          <w:sz w:val="18"/>
          <w:szCs w:val="18"/>
        </w:rPr>
        <w:t xml:space="preserve"> Artículo 129 de la Ley de Transparencia y Acceso a la Información Pública de San Luis Potosí.</w:t>
      </w:r>
    </w:p>
  </w:footnote>
  <w:footnote w:id="3">
    <w:p w14:paraId="545CF99E" w14:textId="77777777" w:rsidR="0047048C" w:rsidRPr="0009724F" w:rsidRDefault="0047048C" w:rsidP="0047048C">
      <w:pPr>
        <w:pStyle w:val="Textonotapie"/>
        <w:jc w:val="both"/>
        <w:rPr>
          <w:rFonts w:cstheme="minorHAnsi"/>
          <w:sz w:val="18"/>
          <w:szCs w:val="18"/>
        </w:rPr>
      </w:pPr>
      <w:r w:rsidRPr="0009724F">
        <w:rPr>
          <w:rStyle w:val="Refdenotaalpie"/>
          <w:rFonts w:cstheme="minorHAnsi"/>
          <w:sz w:val="18"/>
          <w:szCs w:val="18"/>
        </w:rPr>
        <w:footnoteRef/>
      </w:r>
      <w:r w:rsidRPr="0009724F">
        <w:rPr>
          <w:rFonts w:cstheme="minorHAnsi"/>
          <w:sz w:val="18"/>
          <w:szCs w:val="18"/>
        </w:rPr>
        <w:t xml:space="preserve"> Artículo 138 de la Ley de Transparencia y Acceso a la Información Pública de San Luis Potosí.</w:t>
      </w:r>
    </w:p>
  </w:footnote>
  <w:footnote w:id="4">
    <w:p w14:paraId="0DE10708" w14:textId="77777777" w:rsidR="0047048C" w:rsidRPr="0009724F" w:rsidRDefault="0047048C" w:rsidP="0047048C">
      <w:pPr>
        <w:pStyle w:val="Textonotapie"/>
        <w:jc w:val="both"/>
        <w:rPr>
          <w:rFonts w:cstheme="minorHAnsi"/>
          <w:sz w:val="18"/>
          <w:szCs w:val="18"/>
        </w:rPr>
      </w:pPr>
      <w:r w:rsidRPr="0009724F">
        <w:rPr>
          <w:rStyle w:val="Refdenotaalpie"/>
          <w:rFonts w:cstheme="minorHAnsi"/>
          <w:sz w:val="18"/>
          <w:szCs w:val="18"/>
        </w:rPr>
        <w:footnoteRef/>
      </w:r>
      <w:r w:rsidRPr="0009724F">
        <w:rPr>
          <w:rFonts w:cstheme="minorHAnsi"/>
          <w:sz w:val="18"/>
          <w:szCs w:val="18"/>
        </w:rPr>
        <w:t xml:space="preserve"> 209986. I. 4o. P. 56 P. Tribunales Colegiados de Circuito. Octava Época. Semanario Judicial de la Federación. Tomo XIV, </w:t>
      </w:r>
      <w:proofErr w:type="gramStart"/>
      <w:r w:rsidRPr="0009724F">
        <w:rPr>
          <w:rFonts w:cstheme="minorHAnsi"/>
          <w:sz w:val="18"/>
          <w:szCs w:val="18"/>
        </w:rPr>
        <w:t>Noviembre</w:t>
      </w:r>
      <w:proofErr w:type="gramEnd"/>
      <w:r w:rsidRPr="0009724F">
        <w:rPr>
          <w:rFonts w:cstheme="minorHAnsi"/>
          <w:sz w:val="18"/>
          <w:szCs w:val="18"/>
        </w:rPr>
        <w:t xml:space="preserve"> de 1994, Pág. 450.</w:t>
      </w:r>
    </w:p>
  </w:footnote>
  <w:footnote w:id="5">
    <w:p w14:paraId="0CD76F36" w14:textId="77777777" w:rsidR="0047048C" w:rsidRPr="0009724F" w:rsidRDefault="0047048C" w:rsidP="0047048C">
      <w:pPr>
        <w:pStyle w:val="Textonotapie"/>
        <w:jc w:val="both"/>
        <w:rPr>
          <w:rFonts w:cstheme="minorHAnsi"/>
          <w:sz w:val="18"/>
          <w:szCs w:val="18"/>
        </w:rPr>
      </w:pPr>
      <w:r w:rsidRPr="0009724F">
        <w:rPr>
          <w:rStyle w:val="Refdenotaalpie"/>
          <w:rFonts w:cstheme="minorHAnsi"/>
          <w:sz w:val="18"/>
          <w:szCs w:val="18"/>
        </w:rPr>
        <w:footnoteRef/>
      </w:r>
      <w:r w:rsidRPr="0009724F">
        <w:rPr>
          <w:rFonts w:cstheme="minorHAnsi"/>
          <w:sz w:val="18"/>
          <w:szCs w:val="18"/>
        </w:rPr>
        <w:t xml:space="preserve"> ARTÍCULO 24. Para el cumplimiento de los objetivos de esta Ley, los sujetos obligados deberán cumplir con las obligaciones siguientes, según corresponda, de acuerdo a su naturaleza: </w:t>
      </w:r>
    </w:p>
    <w:p w14:paraId="3FD23206" w14:textId="77777777" w:rsidR="0047048C" w:rsidRPr="0009724F" w:rsidRDefault="0047048C" w:rsidP="0047048C">
      <w:pPr>
        <w:pStyle w:val="Textonotapie"/>
        <w:numPr>
          <w:ilvl w:val="0"/>
          <w:numId w:val="8"/>
        </w:numPr>
        <w:jc w:val="both"/>
        <w:rPr>
          <w:rFonts w:cstheme="minorHAnsi"/>
          <w:sz w:val="18"/>
          <w:szCs w:val="18"/>
        </w:rPr>
      </w:pPr>
      <w:r w:rsidRPr="0009724F">
        <w:rPr>
          <w:rFonts w:cstheme="minorHAnsi"/>
          <w:sz w:val="18"/>
          <w:szCs w:val="18"/>
        </w:rPr>
        <w:t>Constituir el Comité de Transparencia, las unidades de transparencia y vigilar su correcto funcionamiento de acuerdo a su normatividad interna;</w:t>
      </w:r>
    </w:p>
    <w:p w14:paraId="7DD5EDFD" w14:textId="77777777" w:rsidR="0047048C" w:rsidRPr="0009724F" w:rsidRDefault="0047048C" w:rsidP="0047048C">
      <w:pPr>
        <w:pStyle w:val="Textonotapie"/>
        <w:ind w:left="360"/>
        <w:jc w:val="both"/>
        <w:rPr>
          <w:rFonts w:cstheme="minorHAnsi"/>
          <w:sz w:val="18"/>
          <w:szCs w:val="18"/>
        </w:rPr>
      </w:pPr>
      <w:r w:rsidRPr="0009724F">
        <w:rPr>
          <w:rFonts w:cstheme="minorHAnsi"/>
          <w:sz w:val="18"/>
          <w:szCs w:val="18"/>
        </w:rPr>
        <w:t>[…].</w:t>
      </w:r>
    </w:p>
    <w:p w14:paraId="1317ECA3" w14:textId="77777777" w:rsidR="0047048C" w:rsidRPr="0009724F" w:rsidRDefault="0047048C" w:rsidP="0047048C">
      <w:pPr>
        <w:pStyle w:val="Textonotapie"/>
        <w:jc w:val="both"/>
        <w:rPr>
          <w:rFonts w:cstheme="minorHAnsi"/>
          <w:sz w:val="18"/>
          <w:szCs w:val="18"/>
        </w:rPr>
      </w:pPr>
      <w:r w:rsidRPr="0009724F">
        <w:rPr>
          <w:rFonts w:cstheme="minorHAnsi"/>
          <w:sz w:val="18"/>
          <w:szCs w:val="18"/>
        </w:rPr>
        <w:t>ARTÍCULO 52. Cada Comité de Transparencia tendrá las siguientes funciones:</w:t>
      </w:r>
    </w:p>
    <w:p w14:paraId="17DDE815" w14:textId="77777777" w:rsidR="0047048C" w:rsidRPr="0009724F" w:rsidRDefault="0047048C" w:rsidP="0047048C">
      <w:pPr>
        <w:pStyle w:val="Textonotapie"/>
        <w:ind w:firstLine="360"/>
        <w:jc w:val="both"/>
        <w:rPr>
          <w:rFonts w:cstheme="minorHAnsi"/>
          <w:sz w:val="18"/>
          <w:szCs w:val="18"/>
        </w:rPr>
      </w:pPr>
      <w:r w:rsidRPr="0009724F">
        <w:rPr>
          <w:rFonts w:cstheme="minorHAnsi"/>
          <w:sz w:val="18"/>
          <w:szCs w:val="18"/>
        </w:rPr>
        <w:t>[…]</w:t>
      </w:r>
    </w:p>
    <w:p w14:paraId="371D3051" w14:textId="77777777" w:rsidR="0047048C" w:rsidRPr="0009724F" w:rsidRDefault="0047048C" w:rsidP="0047048C">
      <w:pPr>
        <w:pStyle w:val="Textonotapie"/>
        <w:numPr>
          <w:ilvl w:val="0"/>
          <w:numId w:val="8"/>
        </w:numPr>
        <w:jc w:val="both"/>
        <w:rPr>
          <w:rFonts w:cstheme="minorHAnsi"/>
          <w:sz w:val="18"/>
          <w:szCs w:val="18"/>
        </w:rPr>
      </w:pPr>
      <w:r w:rsidRPr="0009724F">
        <w:rPr>
          <w:rFonts w:cstheme="minorHAnsi"/>
          <w:sz w:val="18"/>
          <w:szCs w:val="18"/>
        </w:rPr>
        <w:t xml:space="preserve">Confirmar, modificar o revocar las determinaciones </w:t>
      </w:r>
      <w:proofErr w:type="gramStart"/>
      <w:r w:rsidRPr="0009724F">
        <w:rPr>
          <w:rFonts w:cstheme="minorHAnsi"/>
          <w:sz w:val="18"/>
          <w:szCs w:val="18"/>
        </w:rPr>
        <w:t>que</w:t>
      </w:r>
      <w:proofErr w:type="gramEnd"/>
      <w:r w:rsidRPr="0009724F">
        <w:rPr>
          <w:rFonts w:cstheme="minorHAnsi"/>
          <w:sz w:val="18"/>
          <w:szCs w:val="18"/>
        </w:rPr>
        <w:t xml:space="preserve"> en materia de ampliación del plazo de respuesta, clasificación de la información y declaración de inexistencia o de incompetencia realicen los titulares de las áreas de los sujetos obligados;</w:t>
      </w:r>
    </w:p>
    <w:p w14:paraId="75D36039" w14:textId="77777777" w:rsidR="0047048C" w:rsidRPr="0009724F" w:rsidRDefault="0047048C" w:rsidP="0047048C">
      <w:pPr>
        <w:pStyle w:val="Textonotapie"/>
        <w:ind w:left="360"/>
        <w:jc w:val="both"/>
        <w:rPr>
          <w:rFonts w:cstheme="minorHAnsi"/>
          <w:sz w:val="18"/>
          <w:szCs w:val="18"/>
        </w:rPr>
      </w:pPr>
      <w:r w:rsidRPr="0009724F">
        <w:rPr>
          <w:rFonts w:cstheme="minorHAnsi"/>
          <w:sz w:val="18"/>
          <w:szCs w:val="18"/>
        </w:rPr>
        <w:t>[…].</w:t>
      </w:r>
    </w:p>
    <w:p w14:paraId="491F71E1" w14:textId="77777777" w:rsidR="0047048C" w:rsidRPr="0009724F" w:rsidRDefault="0047048C" w:rsidP="0047048C">
      <w:pPr>
        <w:pStyle w:val="Textonotapie"/>
        <w:jc w:val="both"/>
        <w:rPr>
          <w:rFonts w:cstheme="minorHAnsi"/>
          <w:sz w:val="18"/>
          <w:szCs w:val="18"/>
        </w:rPr>
      </w:pPr>
      <w:r w:rsidRPr="0009724F">
        <w:rPr>
          <w:rFonts w:cstheme="minorHAnsi"/>
          <w:sz w:val="18"/>
          <w:szCs w:val="18"/>
        </w:rPr>
        <w:t xml:space="preserve">ARTÍCULO 117. En los casos en que se niegue el acceso a la información, por actualizarse alguno de los supuestos de clasificación, el Comité de Transparencia deberá confirmar, modificar o revocar la decisión. </w:t>
      </w:r>
    </w:p>
    <w:p w14:paraId="5660924A" w14:textId="77777777" w:rsidR="0047048C" w:rsidRPr="0009724F" w:rsidRDefault="0047048C" w:rsidP="0047048C">
      <w:pPr>
        <w:pStyle w:val="Textonotapie"/>
        <w:jc w:val="both"/>
        <w:rPr>
          <w:rFonts w:cstheme="minorHAnsi"/>
          <w:sz w:val="18"/>
          <w:szCs w:val="18"/>
        </w:rPr>
      </w:pPr>
      <w:r w:rsidRPr="0009724F">
        <w:rPr>
          <w:rFonts w:cstheme="minorHAnsi"/>
          <w:sz w:val="18"/>
          <w:szCs w:val="18"/>
        </w:rP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6">
    <w:p w14:paraId="51D8FAA5" w14:textId="77777777" w:rsidR="0047048C" w:rsidRPr="0009724F" w:rsidRDefault="0047048C" w:rsidP="0047048C">
      <w:pPr>
        <w:pStyle w:val="Textonotapie"/>
        <w:jc w:val="both"/>
        <w:rPr>
          <w:rFonts w:cstheme="minorHAnsi"/>
          <w:sz w:val="18"/>
          <w:szCs w:val="18"/>
        </w:rPr>
      </w:pPr>
      <w:r w:rsidRPr="0009724F">
        <w:rPr>
          <w:rStyle w:val="Refdenotaalpie"/>
          <w:rFonts w:cstheme="minorHAnsi"/>
          <w:sz w:val="18"/>
          <w:szCs w:val="18"/>
        </w:rPr>
        <w:footnoteRef/>
      </w:r>
      <w:r w:rsidRPr="0009724F">
        <w:rPr>
          <w:rFonts w:cstheme="minorHAnsi"/>
          <w:sz w:val="18"/>
          <w:szCs w:val="18"/>
        </w:rPr>
        <w:t xml:space="preserve"> ARTÍCULO 1°. […].</w:t>
      </w:r>
    </w:p>
    <w:p w14:paraId="0C147D03" w14:textId="77777777" w:rsidR="0047048C" w:rsidRPr="0009724F" w:rsidRDefault="0047048C" w:rsidP="0047048C">
      <w:pPr>
        <w:pStyle w:val="Textonotapie"/>
        <w:jc w:val="both"/>
        <w:rPr>
          <w:rFonts w:cstheme="minorHAnsi"/>
          <w:sz w:val="18"/>
          <w:szCs w:val="18"/>
        </w:rPr>
      </w:pPr>
      <w:r w:rsidRPr="0009724F">
        <w:rPr>
          <w:rFonts w:cstheme="minorHAnsi"/>
          <w:sz w:val="18"/>
          <w:szCs w:val="18"/>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7">
    <w:p w14:paraId="090C933E" w14:textId="77777777" w:rsidR="0047048C" w:rsidRPr="0009724F" w:rsidRDefault="0047048C" w:rsidP="0047048C">
      <w:pPr>
        <w:pStyle w:val="Textonotapie"/>
        <w:jc w:val="both"/>
        <w:rPr>
          <w:rFonts w:cstheme="minorHAnsi"/>
          <w:sz w:val="18"/>
          <w:szCs w:val="18"/>
        </w:rPr>
      </w:pPr>
      <w:r w:rsidRPr="0009724F">
        <w:rPr>
          <w:rStyle w:val="Refdenotaalpie"/>
          <w:rFonts w:cstheme="minorHAnsi"/>
          <w:sz w:val="18"/>
          <w:szCs w:val="18"/>
        </w:rPr>
        <w:footnoteRef/>
      </w:r>
      <w:r w:rsidRPr="0009724F">
        <w:rPr>
          <w:rFonts w:cstheme="minorHAnsi"/>
          <w:sz w:val="18"/>
          <w:szCs w:val="18"/>
        </w:rPr>
        <w:t xml:space="preserve"> ARTÍCULO 128. El acuerdo que clasifique la información como reservada deberá contener, cuando menos: I. La fuente y el archivo donde se encuentra la información; II. La fundamentación y motivación del acuerdo; III. El documento, la parte o las partes de los mismos, que se reservan; IV. El plazo por el que se reserva la información; V. La designación de la autoridad responsable de su protección; VI. Número de identificación del acuerdo de reserva; VII. La aplicación de la prueba del daño; VIII. Fecha del acuerdo de clasificación, y IX. La rúbrica de los miembros del Comité.</w:t>
      </w:r>
    </w:p>
  </w:footnote>
  <w:footnote w:id="8">
    <w:p w14:paraId="42795903" w14:textId="77777777" w:rsidR="0047048C" w:rsidRPr="0009724F" w:rsidRDefault="0047048C" w:rsidP="0047048C">
      <w:pPr>
        <w:pStyle w:val="Textonotapie"/>
        <w:jc w:val="both"/>
        <w:rPr>
          <w:rFonts w:cstheme="minorHAnsi"/>
          <w:sz w:val="18"/>
          <w:szCs w:val="18"/>
        </w:rPr>
      </w:pPr>
      <w:r w:rsidRPr="0009724F">
        <w:rPr>
          <w:rStyle w:val="Refdenotaalpie"/>
          <w:rFonts w:cstheme="minorHAnsi"/>
          <w:sz w:val="18"/>
          <w:szCs w:val="18"/>
        </w:rPr>
        <w:footnoteRef/>
      </w:r>
      <w:r w:rsidRPr="0009724F">
        <w:rPr>
          <w:rFonts w:cstheme="minorHAnsi"/>
          <w:sz w:val="18"/>
          <w:szCs w:val="18"/>
        </w:rPr>
        <w:t xml:space="preserve"> ARTÍCULO 119. […]</w:t>
      </w:r>
    </w:p>
    <w:p w14:paraId="4458975D" w14:textId="77777777" w:rsidR="0047048C" w:rsidRPr="0009724F" w:rsidRDefault="0047048C" w:rsidP="0047048C">
      <w:pPr>
        <w:pStyle w:val="Textonotapie"/>
        <w:jc w:val="both"/>
        <w:rPr>
          <w:rFonts w:cstheme="minorHAnsi"/>
          <w:sz w:val="18"/>
          <w:szCs w:val="18"/>
        </w:rPr>
      </w:pPr>
      <w:r w:rsidRPr="0009724F">
        <w:rPr>
          <w:rFonts w:cstheme="minorHAnsi"/>
          <w:sz w:val="18"/>
          <w:szCs w:val="18"/>
        </w:rPr>
        <w:t>La carga de la prueba para justificar toda negativa de acceso a la información, por actualizarse cualquiera de los supuestos de reserva previstos, corresponderá a los sujetos obligados.</w:t>
      </w:r>
    </w:p>
  </w:footnote>
  <w:footnote w:id="9">
    <w:p w14:paraId="15B3AB5F" w14:textId="77777777" w:rsidR="0047048C" w:rsidRPr="0009724F" w:rsidRDefault="0047048C" w:rsidP="0047048C">
      <w:pPr>
        <w:pStyle w:val="Textonotapie"/>
        <w:jc w:val="both"/>
        <w:rPr>
          <w:rFonts w:cstheme="minorHAnsi"/>
          <w:sz w:val="18"/>
          <w:szCs w:val="18"/>
        </w:rPr>
      </w:pPr>
      <w:r w:rsidRPr="0009724F">
        <w:rPr>
          <w:rStyle w:val="Refdenotaalpie"/>
          <w:rFonts w:cstheme="minorHAnsi"/>
          <w:sz w:val="18"/>
          <w:szCs w:val="18"/>
        </w:rPr>
        <w:footnoteRef/>
      </w:r>
      <w:r w:rsidRPr="0009724F">
        <w:rPr>
          <w:rFonts w:cstheme="minorHAnsi"/>
          <w:sz w:val="18"/>
          <w:szCs w:val="18"/>
        </w:rPr>
        <w:t xml:space="preserve"> 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al principio de proporcionalidad y representa el medio menos restrictivo disponible para evitar el perjuicio.</w:t>
      </w:r>
    </w:p>
  </w:footnote>
  <w:footnote w:id="10">
    <w:p w14:paraId="28C21429" w14:textId="77777777" w:rsidR="0047048C" w:rsidRPr="00A15B7A" w:rsidRDefault="0047048C" w:rsidP="0047048C">
      <w:pPr>
        <w:pStyle w:val="Textonotapie"/>
        <w:jc w:val="both"/>
        <w:rPr>
          <w:rFonts w:cstheme="minorHAnsi"/>
          <w:sz w:val="14"/>
          <w:szCs w:val="16"/>
        </w:rPr>
      </w:pPr>
      <w:r w:rsidRPr="0009724F">
        <w:rPr>
          <w:rStyle w:val="Refdenotaalpie"/>
          <w:rFonts w:cstheme="minorHAnsi"/>
          <w:sz w:val="18"/>
          <w:szCs w:val="18"/>
        </w:rPr>
        <w:footnoteRef/>
      </w:r>
      <w:r w:rsidRPr="0009724F">
        <w:rPr>
          <w:rFonts w:cstheme="minorHAnsi"/>
          <w:sz w:val="18"/>
          <w:szCs w:val="18"/>
        </w:rPr>
        <w:t xml:space="preserve"> Lineamiento Trigésimo Tercero de los Lineamientos Generales en Materia de Clasificación y Desclasificación de la Información, así como para la Elaboración de Versiones Públicas.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432202F8" w:rsidR="00DD7276" w:rsidRDefault="00DD7276" w:rsidP="007E5F3A">
        <w:pPr>
          <w:pStyle w:val="Encabezado"/>
          <w:jc w:val="center"/>
        </w:pPr>
        <w:r>
          <w:fldChar w:fldCharType="begin"/>
        </w:r>
        <w:r>
          <w:instrText>PAGE   \* MERGEFORMAT</w:instrText>
        </w:r>
        <w:r>
          <w:fldChar w:fldCharType="separate"/>
        </w:r>
        <w:r w:rsidR="00DE4561" w:rsidRPr="00DE4561">
          <w:rPr>
            <w:noProof/>
            <w:lang w:val="es-ES"/>
          </w:rPr>
          <w:t>14</w:t>
        </w:r>
        <w:r>
          <w:fldChar w:fldCharType="end"/>
        </w:r>
        <w:r>
          <w:t xml:space="preserve">                                  </w:t>
        </w:r>
      </w:p>
      <w:p w14:paraId="1F581E29" w14:textId="007091CF" w:rsidR="00DD7276" w:rsidRDefault="00BA6A52" w:rsidP="001B16FB">
        <w:pPr>
          <w:pStyle w:val="Encabezado"/>
          <w:jc w:val="right"/>
        </w:pPr>
        <w:r>
          <w:t>RECURSO DE REVISIÓN 464</w:t>
        </w:r>
        <w:r w:rsidR="002B2C9C">
          <w:t>/2022-1 SIGEMI</w:t>
        </w:r>
      </w:p>
    </w:sdtContent>
  </w:sdt>
  <w:p w14:paraId="1289C4E4" w14:textId="77777777" w:rsidR="00DD7276" w:rsidRDefault="00DD727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1"/>
  </w:num>
  <w:num w:numId="2">
    <w:abstractNumId w:val="7"/>
  </w:num>
  <w:num w:numId="3">
    <w:abstractNumId w:val="0"/>
  </w:num>
  <w:num w:numId="4">
    <w:abstractNumId w:val="6"/>
  </w:num>
  <w:num w:numId="5">
    <w:abstractNumId w:val="5"/>
  </w:num>
  <w:num w:numId="6">
    <w:abstractNumId w:val="8"/>
  </w:num>
  <w:num w:numId="7">
    <w:abstractNumId w:val="9"/>
  </w:num>
  <w:num w:numId="8">
    <w:abstractNumId w:val="3"/>
  </w:num>
  <w:num w:numId="9">
    <w:abstractNumId w:val="4"/>
  </w:num>
  <w:num w:numId="10">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3069"/>
    <w:rsid w:val="00043A51"/>
    <w:rsid w:val="00043BE1"/>
    <w:rsid w:val="000442C8"/>
    <w:rsid w:val="000450EB"/>
    <w:rsid w:val="000456E1"/>
    <w:rsid w:val="000475EF"/>
    <w:rsid w:val="000476BE"/>
    <w:rsid w:val="000524E8"/>
    <w:rsid w:val="000528D0"/>
    <w:rsid w:val="000542D9"/>
    <w:rsid w:val="00054510"/>
    <w:rsid w:val="00055757"/>
    <w:rsid w:val="00055E69"/>
    <w:rsid w:val="00056A72"/>
    <w:rsid w:val="000603D2"/>
    <w:rsid w:val="000615A6"/>
    <w:rsid w:val="00061DDD"/>
    <w:rsid w:val="00061E22"/>
    <w:rsid w:val="00061F3E"/>
    <w:rsid w:val="00061F54"/>
    <w:rsid w:val="000641C8"/>
    <w:rsid w:val="00064A61"/>
    <w:rsid w:val="0006659D"/>
    <w:rsid w:val="00066886"/>
    <w:rsid w:val="00067418"/>
    <w:rsid w:val="00067660"/>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46FB"/>
    <w:rsid w:val="00094EBC"/>
    <w:rsid w:val="0009724F"/>
    <w:rsid w:val="000A069A"/>
    <w:rsid w:val="000A1695"/>
    <w:rsid w:val="000A4CCE"/>
    <w:rsid w:val="000A5C54"/>
    <w:rsid w:val="000A65C3"/>
    <w:rsid w:val="000A66E6"/>
    <w:rsid w:val="000A6997"/>
    <w:rsid w:val="000A7695"/>
    <w:rsid w:val="000B0FFC"/>
    <w:rsid w:val="000B14D7"/>
    <w:rsid w:val="000B2308"/>
    <w:rsid w:val="000B245A"/>
    <w:rsid w:val="000B2854"/>
    <w:rsid w:val="000B2ACA"/>
    <w:rsid w:val="000B3669"/>
    <w:rsid w:val="000B4722"/>
    <w:rsid w:val="000B4B68"/>
    <w:rsid w:val="000B5B7E"/>
    <w:rsid w:val="000B65B2"/>
    <w:rsid w:val="000B6D86"/>
    <w:rsid w:val="000B73BE"/>
    <w:rsid w:val="000C0471"/>
    <w:rsid w:val="000C08B0"/>
    <w:rsid w:val="000C2726"/>
    <w:rsid w:val="000C3AC2"/>
    <w:rsid w:val="000C5A0A"/>
    <w:rsid w:val="000C5BA3"/>
    <w:rsid w:val="000C5E37"/>
    <w:rsid w:val="000C651F"/>
    <w:rsid w:val="000C7703"/>
    <w:rsid w:val="000D3CDB"/>
    <w:rsid w:val="000D4362"/>
    <w:rsid w:val="000D4606"/>
    <w:rsid w:val="000D7909"/>
    <w:rsid w:val="000D7B0C"/>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2BD5"/>
    <w:rsid w:val="000F3E8A"/>
    <w:rsid w:val="000F4347"/>
    <w:rsid w:val="000F4B35"/>
    <w:rsid w:val="000F56CE"/>
    <w:rsid w:val="000F6A00"/>
    <w:rsid w:val="000F6E8F"/>
    <w:rsid w:val="00100D51"/>
    <w:rsid w:val="00100E65"/>
    <w:rsid w:val="0010246E"/>
    <w:rsid w:val="001024C2"/>
    <w:rsid w:val="00102D16"/>
    <w:rsid w:val="00102E9E"/>
    <w:rsid w:val="0010335D"/>
    <w:rsid w:val="0010582A"/>
    <w:rsid w:val="00106B48"/>
    <w:rsid w:val="00106E39"/>
    <w:rsid w:val="00107681"/>
    <w:rsid w:val="0011106A"/>
    <w:rsid w:val="0011417A"/>
    <w:rsid w:val="00114B4F"/>
    <w:rsid w:val="00116CBC"/>
    <w:rsid w:val="00117EFC"/>
    <w:rsid w:val="00117F76"/>
    <w:rsid w:val="001204E0"/>
    <w:rsid w:val="00121981"/>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55E"/>
    <w:rsid w:val="0014135E"/>
    <w:rsid w:val="00141F55"/>
    <w:rsid w:val="00143E86"/>
    <w:rsid w:val="001458BC"/>
    <w:rsid w:val="001463BA"/>
    <w:rsid w:val="00146903"/>
    <w:rsid w:val="00146EA8"/>
    <w:rsid w:val="0015001F"/>
    <w:rsid w:val="00150455"/>
    <w:rsid w:val="00150901"/>
    <w:rsid w:val="0015238A"/>
    <w:rsid w:val="00152F21"/>
    <w:rsid w:val="001533C3"/>
    <w:rsid w:val="001533D7"/>
    <w:rsid w:val="00154820"/>
    <w:rsid w:val="00154B3E"/>
    <w:rsid w:val="00155C27"/>
    <w:rsid w:val="0015675B"/>
    <w:rsid w:val="001604E7"/>
    <w:rsid w:val="0016086A"/>
    <w:rsid w:val="00160B77"/>
    <w:rsid w:val="00160C23"/>
    <w:rsid w:val="00160D7A"/>
    <w:rsid w:val="001616E5"/>
    <w:rsid w:val="00161D63"/>
    <w:rsid w:val="00162546"/>
    <w:rsid w:val="00163F4A"/>
    <w:rsid w:val="00164CA6"/>
    <w:rsid w:val="0016537C"/>
    <w:rsid w:val="00165DAD"/>
    <w:rsid w:val="001679DC"/>
    <w:rsid w:val="00170741"/>
    <w:rsid w:val="00170C2D"/>
    <w:rsid w:val="001714F5"/>
    <w:rsid w:val="00171533"/>
    <w:rsid w:val="00172252"/>
    <w:rsid w:val="001726AB"/>
    <w:rsid w:val="0017289F"/>
    <w:rsid w:val="0017290F"/>
    <w:rsid w:val="00173389"/>
    <w:rsid w:val="00174877"/>
    <w:rsid w:val="00174C1C"/>
    <w:rsid w:val="00174DCF"/>
    <w:rsid w:val="001767CF"/>
    <w:rsid w:val="0017743B"/>
    <w:rsid w:val="00177E33"/>
    <w:rsid w:val="00180298"/>
    <w:rsid w:val="001805AD"/>
    <w:rsid w:val="00181FF7"/>
    <w:rsid w:val="00182748"/>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3878"/>
    <w:rsid w:val="001947D3"/>
    <w:rsid w:val="00194AFB"/>
    <w:rsid w:val="00194D48"/>
    <w:rsid w:val="00196474"/>
    <w:rsid w:val="00196579"/>
    <w:rsid w:val="00197212"/>
    <w:rsid w:val="001A0953"/>
    <w:rsid w:val="001A11F8"/>
    <w:rsid w:val="001A1B21"/>
    <w:rsid w:val="001A2A61"/>
    <w:rsid w:val="001A3A03"/>
    <w:rsid w:val="001A473A"/>
    <w:rsid w:val="001A4D90"/>
    <w:rsid w:val="001A5D5A"/>
    <w:rsid w:val="001A67EA"/>
    <w:rsid w:val="001A78FD"/>
    <w:rsid w:val="001B16FB"/>
    <w:rsid w:val="001B19BD"/>
    <w:rsid w:val="001B288C"/>
    <w:rsid w:val="001B2998"/>
    <w:rsid w:val="001B2D9C"/>
    <w:rsid w:val="001B3B40"/>
    <w:rsid w:val="001B50BB"/>
    <w:rsid w:val="001B7749"/>
    <w:rsid w:val="001C1864"/>
    <w:rsid w:val="001C1CFD"/>
    <w:rsid w:val="001C2C42"/>
    <w:rsid w:val="001C400C"/>
    <w:rsid w:val="001C4F1E"/>
    <w:rsid w:val="001C5317"/>
    <w:rsid w:val="001C54AF"/>
    <w:rsid w:val="001C7B67"/>
    <w:rsid w:val="001C7C3C"/>
    <w:rsid w:val="001D060C"/>
    <w:rsid w:val="001D0ADB"/>
    <w:rsid w:val="001D1C12"/>
    <w:rsid w:val="001D24D3"/>
    <w:rsid w:val="001D2B4B"/>
    <w:rsid w:val="001D2BE8"/>
    <w:rsid w:val="001D3081"/>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F1467"/>
    <w:rsid w:val="001F433D"/>
    <w:rsid w:val="001F51BE"/>
    <w:rsid w:val="001F5274"/>
    <w:rsid w:val="001F5396"/>
    <w:rsid w:val="001F5ADD"/>
    <w:rsid w:val="001F6FCA"/>
    <w:rsid w:val="001F72AD"/>
    <w:rsid w:val="001F73CD"/>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306C3"/>
    <w:rsid w:val="00230AA8"/>
    <w:rsid w:val="00230D08"/>
    <w:rsid w:val="00231FF0"/>
    <w:rsid w:val="00232108"/>
    <w:rsid w:val="00232477"/>
    <w:rsid w:val="00233938"/>
    <w:rsid w:val="00233ED1"/>
    <w:rsid w:val="00234478"/>
    <w:rsid w:val="00234ADD"/>
    <w:rsid w:val="00234CBE"/>
    <w:rsid w:val="002350B9"/>
    <w:rsid w:val="00236736"/>
    <w:rsid w:val="002368D1"/>
    <w:rsid w:val="00237FFD"/>
    <w:rsid w:val="00241713"/>
    <w:rsid w:val="00241820"/>
    <w:rsid w:val="00243954"/>
    <w:rsid w:val="0024465B"/>
    <w:rsid w:val="00245AD7"/>
    <w:rsid w:val="00246EAE"/>
    <w:rsid w:val="00247507"/>
    <w:rsid w:val="002500E0"/>
    <w:rsid w:val="00250873"/>
    <w:rsid w:val="00250A5F"/>
    <w:rsid w:val="00251305"/>
    <w:rsid w:val="00251778"/>
    <w:rsid w:val="00252A65"/>
    <w:rsid w:val="00252B52"/>
    <w:rsid w:val="00254BB0"/>
    <w:rsid w:val="00255EEA"/>
    <w:rsid w:val="0025606D"/>
    <w:rsid w:val="00256C24"/>
    <w:rsid w:val="002571E3"/>
    <w:rsid w:val="0025729E"/>
    <w:rsid w:val="00257627"/>
    <w:rsid w:val="00257A62"/>
    <w:rsid w:val="00257B27"/>
    <w:rsid w:val="00257F4C"/>
    <w:rsid w:val="00257F80"/>
    <w:rsid w:val="002617A4"/>
    <w:rsid w:val="00261B9C"/>
    <w:rsid w:val="00261C07"/>
    <w:rsid w:val="00261D77"/>
    <w:rsid w:val="002623DE"/>
    <w:rsid w:val="002647EA"/>
    <w:rsid w:val="0026483E"/>
    <w:rsid w:val="00264FAB"/>
    <w:rsid w:val="00265D2F"/>
    <w:rsid w:val="00265DA9"/>
    <w:rsid w:val="0026655E"/>
    <w:rsid w:val="00266F1C"/>
    <w:rsid w:val="00267185"/>
    <w:rsid w:val="0026753A"/>
    <w:rsid w:val="002711B4"/>
    <w:rsid w:val="00271861"/>
    <w:rsid w:val="00271C6C"/>
    <w:rsid w:val="002724F9"/>
    <w:rsid w:val="00273646"/>
    <w:rsid w:val="0027610D"/>
    <w:rsid w:val="002763CF"/>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9AB"/>
    <w:rsid w:val="002A4D6F"/>
    <w:rsid w:val="002A615B"/>
    <w:rsid w:val="002A783A"/>
    <w:rsid w:val="002B06B1"/>
    <w:rsid w:val="002B0B52"/>
    <w:rsid w:val="002B19B6"/>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22E8"/>
    <w:rsid w:val="002D27A2"/>
    <w:rsid w:val="002D506F"/>
    <w:rsid w:val="002D5CF9"/>
    <w:rsid w:val="002D5E48"/>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4293"/>
    <w:rsid w:val="00315930"/>
    <w:rsid w:val="00315D8F"/>
    <w:rsid w:val="00316466"/>
    <w:rsid w:val="0031685A"/>
    <w:rsid w:val="00317018"/>
    <w:rsid w:val="003177C5"/>
    <w:rsid w:val="00317D10"/>
    <w:rsid w:val="00317F94"/>
    <w:rsid w:val="003208BE"/>
    <w:rsid w:val="00321700"/>
    <w:rsid w:val="00321CCA"/>
    <w:rsid w:val="0032230D"/>
    <w:rsid w:val="00322574"/>
    <w:rsid w:val="00324733"/>
    <w:rsid w:val="00324A01"/>
    <w:rsid w:val="00325332"/>
    <w:rsid w:val="00325459"/>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41D49"/>
    <w:rsid w:val="00341E99"/>
    <w:rsid w:val="003422C6"/>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56F09"/>
    <w:rsid w:val="00360687"/>
    <w:rsid w:val="00361782"/>
    <w:rsid w:val="00361DFB"/>
    <w:rsid w:val="00363AE3"/>
    <w:rsid w:val="003641AB"/>
    <w:rsid w:val="003641DE"/>
    <w:rsid w:val="003642CD"/>
    <w:rsid w:val="00365BBD"/>
    <w:rsid w:val="00365FF4"/>
    <w:rsid w:val="003667D6"/>
    <w:rsid w:val="00366C8D"/>
    <w:rsid w:val="003670C5"/>
    <w:rsid w:val="00370181"/>
    <w:rsid w:val="003715F5"/>
    <w:rsid w:val="003727A6"/>
    <w:rsid w:val="00372D34"/>
    <w:rsid w:val="0037361F"/>
    <w:rsid w:val="0037429D"/>
    <w:rsid w:val="003742DC"/>
    <w:rsid w:val="0037450E"/>
    <w:rsid w:val="00374A00"/>
    <w:rsid w:val="00374A81"/>
    <w:rsid w:val="00374B1A"/>
    <w:rsid w:val="00375757"/>
    <w:rsid w:val="00375770"/>
    <w:rsid w:val="003765DF"/>
    <w:rsid w:val="00377A59"/>
    <w:rsid w:val="00380AFE"/>
    <w:rsid w:val="003816EE"/>
    <w:rsid w:val="00383717"/>
    <w:rsid w:val="00383944"/>
    <w:rsid w:val="00383BB6"/>
    <w:rsid w:val="00383D2A"/>
    <w:rsid w:val="0038405A"/>
    <w:rsid w:val="003848C3"/>
    <w:rsid w:val="003854F9"/>
    <w:rsid w:val="00385C09"/>
    <w:rsid w:val="003864ED"/>
    <w:rsid w:val="0038760F"/>
    <w:rsid w:val="003877FA"/>
    <w:rsid w:val="00391F31"/>
    <w:rsid w:val="00392D97"/>
    <w:rsid w:val="00392F37"/>
    <w:rsid w:val="0039337A"/>
    <w:rsid w:val="00393697"/>
    <w:rsid w:val="00393856"/>
    <w:rsid w:val="00393C44"/>
    <w:rsid w:val="003940D1"/>
    <w:rsid w:val="003944DF"/>
    <w:rsid w:val="00396F07"/>
    <w:rsid w:val="003A03AA"/>
    <w:rsid w:val="003A0EA0"/>
    <w:rsid w:val="003A2315"/>
    <w:rsid w:val="003A294C"/>
    <w:rsid w:val="003A331B"/>
    <w:rsid w:val="003A3516"/>
    <w:rsid w:val="003A4A7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7A42"/>
    <w:rsid w:val="003D054C"/>
    <w:rsid w:val="003D1446"/>
    <w:rsid w:val="003D18F8"/>
    <w:rsid w:val="003D2911"/>
    <w:rsid w:val="003D463B"/>
    <w:rsid w:val="003D5A1A"/>
    <w:rsid w:val="003D6998"/>
    <w:rsid w:val="003D6ECF"/>
    <w:rsid w:val="003D7603"/>
    <w:rsid w:val="003D770B"/>
    <w:rsid w:val="003D7984"/>
    <w:rsid w:val="003E0B92"/>
    <w:rsid w:val="003E1283"/>
    <w:rsid w:val="003E15F7"/>
    <w:rsid w:val="003E298C"/>
    <w:rsid w:val="003E3F70"/>
    <w:rsid w:val="003E53AD"/>
    <w:rsid w:val="003E5DEE"/>
    <w:rsid w:val="003E5FD1"/>
    <w:rsid w:val="003E6E3E"/>
    <w:rsid w:val="003F0E47"/>
    <w:rsid w:val="003F0FED"/>
    <w:rsid w:val="003F119C"/>
    <w:rsid w:val="003F155E"/>
    <w:rsid w:val="003F1ADE"/>
    <w:rsid w:val="003F1C43"/>
    <w:rsid w:val="003F213F"/>
    <w:rsid w:val="003F35E3"/>
    <w:rsid w:val="003F39C1"/>
    <w:rsid w:val="003F4095"/>
    <w:rsid w:val="003F4B2C"/>
    <w:rsid w:val="003F4CB9"/>
    <w:rsid w:val="003F4DBF"/>
    <w:rsid w:val="003F504F"/>
    <w:rsid w:val="003F6927"/>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690"/>
    <w:rsid w:val="00415213"/>
    <w:rsid w:val="0041566E"/>
    <w:rsid w:val="00415B26"/>
    <w:rsid w:val="00415C6E"/>
    <w:rsid w:val="00416942"/>
    <w:rsid w:val="0042004B"/>
    <w:rsid w:val="00420835"/>
    <w:rsid w:val="00420E25"/>
    <w:rsid w:val="00420FE9"/>
    <w:rsid w:val="00422CD1"/>
    <w:rsid w:val="004234A9"/>
    <w:rsid w:val="00423EFB"/>
    <w:rsid w:val="004241F0"/>
    <w:rsid w:val="004242FC"/>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FA4"/>
    <w:rsid w:val="0045648D"/>
    <w:rsid w:val="0045652E"/>
    <w:rsid w:val="00456856"/>
    <w:rsid w:val="00460DFB"/>
    <w:rsid w:val="00461B02"/>
    <w:rsid w:val="00462AFB"/>
    <w:rsid w:val="0046569E"/>
    <w:rsid w:val="00466AFD"/>
    <w:rsid w:val="0047048C"/>
    <w:rsid w:val="004719E9"/>
    <w:rsid w:val="00472090"/>
    <w:rsid w:val="004742C5"/>
    <w:rsid w:val="00474EE1"/>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7182"/>
    <w:rsid w:val="004873AC"/>
    <w:rsid w:val="004905F4"/>
    <w:rsid w:val="004908DD"/>
    <w:rsid w:val="00490AAA"/>
    <w:rsid w:val="00491898"/>
    <w:rsid w:val="00491F18"/>
    <w:rsid w:val="0049219E"/>
    <w:rsid w:val="004939FA"/>
    <w:rsid w:val="004946B6"/>
    <w:rsid w:val="0049563A"/>
    <w:rsid w:val="00496934"/>
    <w:rsid w:val="00497B79"/>
    <w:rsid w:val="004A0892"/>
    <w:rsid w:val="004A1732"/>
    <w:rsid w:val="004A1B74"/>
    <w:rsid w:val="004A2171"/>
    <w:rsid w:val="004A2839"/>
    <w:rsid w:val="004A31B5"/>
    <w:rsid w:val="004A5611"/>
    <w:rsid w:val="004A578D"/>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DD0"/>
    <w:rsid w:val="004D3606"/>
    <w:rsid w:val="004D40AC"/>
    <w:rsid w:val="004D5555"/>
    <w:rsid w:val="004D6281"/>
    <w:rsid w:val="004D6B31"/>
    <w:rsid w:val="004D7266"/>
    <w:rsid w:val="004D72F6"/>
    <w:rsid w:val="004D7692"/>
    <w:rsid w:val="004E0AAF"/>
    <w:rsid w:val="004E0BCC"/>
    <w:rsid w:val="004E13A6"/>
    <w:rsid w:val="004E1411"/>
    <w:rsid w:val="004E1FAB"/>
    <w:rsid w:val="004E2393"/>
    <w:rsid w:val="004E26DC"/>
    <w:rsid w:val="004E317D"/>
    <w:rsid w:val="004E3DC4"/>
    <w:rsid w:val="004E4165"/>
    <w:rsid w:val="004E73EE"/>
    <w:rsid w:val="004E7C39"/>
    <w:rsid w:val="004F03CD"/>
    <w:rsid w:val="004F108B"/>
    <w:rsid w:val="004F279A"/>
    <w:rsid w:val="004F35CA"/>
    <w:rsid w:val="004F497E"/>
    <w:rsid w:val="004F6065"/>
    <w:rsid w:val="004F6314"/>
    <w:rsid w:val="004F6F21"/>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60E3"/>
    <w:rsid w:val="0051643D"/>
    <w:rsid w:val="00516646"/>
    <w:rsid w:val="00517C80"/>
    <w:rsid w:val="0052120D"/>
    <w:rsid w:val="00523917"/>
    <w:rsid w:val="0052442E"/>
    <w:rsid w:val="00524E9A"/>
    <w:rsid w:val="00525D45"/>
    <w:rsid w:val="005303A7"/>
    <w:rsid w:val="00531A71"/>
    <w:rsid w:val="0053206D"/>
    <w:rsid w:val="005343EC"/>
    <w:rsid w:val="00534B0E"/>
    <w:rsid w:val="00536463"/>
    <w:rsid w:val="00536873"/>
    <w:rsid w:val="00536966"/>
    <w:rsid w:val="00537138"/>
    <w:rsid w:val="00537993"/>
    <w:rsid w:val="0054039F"/>
    <w:rsid w:val="00541344"/>
    <w:rsid w:val="00542BD8"/>
    <w:rsid w:val="00542FF3"/>
    <w:rsid w:val="00544825"/>
    <w:rsid w:val="00545FD3"/>
    <w:rsid w:val="0054603A"/>
    <w:rsid w:val="00546EE9"/>
    <w:rsid w:val="005473AB"/>
    <w:rsid w:val="0054744E"/>
    <w:rsid w:val="00547C17"/>
    <w:rsid w:val="005519B5"/>
    <w:rsid w:val="005526C0"/>
    <w:rsid w:val="00552DF8"/>
    <w:rsid w:val="00553010"/>
    <w:rsid w:val="005545CB"/>
    <w:rsid w:val="00554F9D"/>
    <w:rsid w:val="00555517"/>
    <w:rsid w:val="00556C65"/>
    <w:rsid w:val="00556CE3"/>
    <w:rsid w:val="00561A10"/>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81774"/>
    <w:rsid w:val="00581CB4"/>
    <w:rsid w:val="00582443"/>
    <w:rsid w:val="00583B73"/>
    <w:rsid w:val="005853C7"/>
    <w:rsid w:val="00585DA1"/>
    <w:rsid w:val="0058623B"/>
    <w:rsid w:val="0058736A"/>
    <w:rsid w:val="005873DB"/>
    <w:rsid w:val="00587DC2"/>
    <w:rsid w:val="00591BAC"/>
    <w:rsid w:val="00591E89"/>
    <w:rsid w:val="005933C1"/>
    <w:rsid w:val="00593E21"/>
    <w:rsid w:val="00594CEF"/>
    <w:rsid w:val="005957F6"/>
    <w:rsid w:val="00595D2F"/>
    <w:rsid w:val="00595D79"/>
    <w:rsid w:val="00596EFB"/>
    <w:rsid w:val="00596F3F"/>
    <w:rsid w:val="005A01FF"/>
    <w:rsid w:val="005A1B85"/>
    <w:rsid w:val="005A2679"/>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C26EC"/>
    <w:rsid w:val="005C3F95"/>
    <w:rsid w:val="005C467A"/>
    <w:rsid w:val="005C4C3F"/>
    <w:rsid w:val="005C6D39"/>
    <w:rsid w:val="005C6DFB"/>
    <w:rsid w:val="005C6E51"/>
    <w:rsid w:val="005C7D85"/>
    <w:rsid w:val="005D00F9"/>
    <w:rsid w:val="005D05E5"/>
    <w:rsid w:val="005D067A"/>
    <w:rsid w:val="005D0C14"/>
    <w:rsid w:val="005D0D7E"/>
    <w:rsid w:val="005D1642"/>
    <w:rsid w:val="005D22F8"/>
    <w:rsid w:val="005D2C05"/>
    <w:rsid w:val="005D2D89"/>
    <w:rsid w:val="005D38CD"/>
    <w:rsid w:val="005D4DC1"/>
    <w:rsid w:val="005D5093"/>
    <w:rsid w:val="005D50A5"/>
    <w:rsid w:val="005D5CBA"/>
    <w:rsid w:val="005D6548"/>
    <w:rsid w:val="005D675B"/>
    <w:rsid w:val="005E0021"/>
    <w:rsid w:val="005E360F"/>
    <w:rsid w:val="005E495A"/>
    <w:rsid w:val="005E5FCC"/>
    <w:rsid w:val="005E6860"/>
    <w:rsid w:val="005E7342"/>
    <w:rsid w:val="005E7E91"/>
    <w:rsid w:val="005E7EFE"/>
    <w:rsid w:val="005F1483"/>
    <w:rsid w:val="005F1DB0"/>
    <w:rsid w:val="005F2C06"/>
    <w:rsid w:val="005F2C1B"/>
    <w:rsid w:val="005F2FC7"/>
    <w:rsid w:val="005F32DD"/>
    <w:rsid w:val="005F35EB"/>
    <w:rsid w:val="005F469A"/>
    <w:rsid w:val="005F49B3"/>
    <w:rsid w:val="005F55F0"/>
    <w:rsid w:val="005F696D"/>
    <w:rsid w:val="005F6FFB"/>
    <w:rsid w:val="005F7824"/>
    <w:rsid w:val="0060124B"/>
    <w:rsid w:val="00602198"/>
    <w:rsid w:val="00602310"/>
    <w:rsid w:val="006033B5"/>
    <w:rsid w:val="006047F1"/>
    <w:rsid w:val="00606219"/>
    <w:rsid w:val="006073DF"/>
    <w:rsid w:val="006100D8"/>
    <w:rsid w:val="006101C7"/>
    <w:rsid w:val="006118AE"/>
    <w:rsid w:val="006118B1"/>
    <w:rsid w:val="00612A85"/>
    <w:rsid w:val="0061430A"/>
    <w:rsid w:val="006148F4"/>
    <w:rsid w:val="0061495B"/>
    <w:rsid w:val="006159D1"/>
    <w:rsid w:val="00616F4B"/>
    <w:rsid w:val="00617B18"/>
    <w:rsid w:val="006209E4"/>
    <w:rsid w:val="00620CA5"/>
    <w:rsid w:val="00621433"/>
    <w:rsid w:val="0062168C"/>
    <w:rsid w:val="00622835"/>
    <w:rsid w:val="00622D9B"/>
    <w:rsid w:val="00622E2A"/>
    <w:rsid w:val="0062536E"/>
    <w:rsid w:val="006254F5"/>
    <w:rsid w:val="00626491"/>
    <w:rsid w:val="00630546"/>
    <w:rsid w:val="00631629"/>
    <w:rsid w:val="006334B5"/>
    <w:rsid w:val="00634179"/>
    <w:rsid w:val="00634281"/>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612"/>
    <w:rsid w:val="0065674B"/>
    <w:rsid w:val="0065732B"/>
    <w:rsid w:val="00660C6D"/>
    <w:rsid w:val="00660DD6"/>
    <w:rsid w:val="006612AA"/>
    <w:rsid w:val="006614B9"/>
    <w:rsid w:val="006626DD"/>
    <w:rsid w:val="00663848"/>
    <w:rsid w:val="0066405E"/>
    <w:rsid w:val="00664380"/>
    <w:rsid w:val="00664830"/>
    <w:rsid w:val="00665586"/>
    <w:rsid w:val="0066607C"/>
    <w:rsid w:val="00666E89"/>
    <w:rsid w:val="006709E9"/>
    <w:rsid w:val="006725C0"/>
    <w:rsid w:val="00672F48"/>
    <w:rsid w:val="00673188"/>
    <w:rsid w:val="00673629"/>
    <w:rsid w:val="006738DD"/>
    <w:rsid w:val="00673CD7"/>
    <w:rsid w:val="00673D87"/>
    <w:rsid w:val="00675001"/>
    <w:rsid w:val="0067597D"/>
    <w:rsid w:val="00676058"/>
    <w:rsid w:val="00676C7A"/>
    <w:rsid w:val="006779F7"/>
    <w:rsid w:val="00677BB6"/>
    <w:rsid w:val="00681982"/>
    <w:rsid w:val="00684218"/>
    <w:rsid w:val="0068462C"/>
    <w:rsid w:val="006846F7"/>
    <w:rsid w:val="00684E2C"/>
    <w:rsid w:val="00687830"/>
    <w:rsid w:val="00687B56"/>
    <w:rsid w:val="00690065"/>
    <w:rsid w:val="006906F6"/>
    <w:rsid w:val="006927F9"/>
    <w:rsid w:val="00692A39"/>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699D"/>
    <w:rsid w:val="006A6E03"/>
    <w:rsid w:val="006A7089"/>
    <w:rsid w:val="006B1074"/>
    <w:rsid w:val="006B233F"/>
    <w:rsid w:val="006B2688"/>
    <w:rsid w:val="006B34E7"/>
    <w:rsid w:val="006B5647"/>
    <w:rsid w:val="006B564B"/>
    <w:rsid w:val="006B71DD"/>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D0FFC"/>
    <w:rsid w:val="006D17E1"/>
    <w:rsid w:val="006D1D44"/>
    <w:rsid w:val="006D2705"/>
    <w:rsid w:val="006D2764"/>
    <w:rsid w:val="006D4F9D"/>
    <w:rsid w:val="006D522D"/>
    <w:rsid w:val="006D5323"/>
    <w:rsid w:val="006D617A"/>
    <w:rsid w:val="006D6A01"/>
    <w:rsid w:val="006D6E45"/>
    <w:rsid w:val="006D7FCD"/>
    <w:rsid w:val="006E07DC"/>
    <w:rsid w:val="006E1F84"/>
    <w:rsid w:val="006E1F8C"/>
    <w:rsid w:val="006E2546"/>
    <w:rsid w:val="006E396C"/>
    <w:rsid w:val="006E3A19"/>
    <w:rsid w:val="006E406F"/>
    <w:rsid w:val="006E40F1"/>
    <w:rsid w:val="006E4842"/>
    <w:rsid w:val="006E50A1"/>
    <w:rsid w:val="006E7316"/>
    <w:rsid w:val="006E7C51"/>
    <w:rsid w:val="006F15C1"/>
    <w:rsid w:val="006F18D3"/>
    <w:rsid w:val="006F26B4"/>
    <w:rsid w:val="006F309E"/>
    <w:rsid w:val="006F35C8"/>
    <w:rsid w:val="006F5037"/>
    <w:rsid w:val="006F5289"/>
    <w:rsid w:val="006F5950"/>
    <w:rsid w:val="006F5E9A"/>
    <w:rsid w:val="006F6EDD"/>
    <w:rsid w:val="006F714A"/>
    <w:rsid w:val="006F7D6A"/>
    <w:rsid w:val="006F7DC4"/>
    <w:rsid w:val="00700086"/>
    <w:rsid w:val="007013CA"/>
    <w:rsid w:val="0070153D"/>
    <w:rsid w:val="0070153F"/>
    <w:rsid w:val="00702108"/>
    <w:rsid w:val="00703A06"/>
    <w:rsid w:val="00705C1A"/>
    <w:rsid w:val="0070687A"/>
    <w:rsid w:val="007104B1"/>
    <w:rsid w:val="00711241"/>
    <w:rsid w:val="00712839"/>
    <w:rsid w:val="00712FB4"/>
    <w:rsid w:val="00713445"/>
    <w:rsid w:val="00713B3B"/>
    <w:rsid w:val="00714196"/>
    <w:rsid w:val="00715CEA"/>
    <w:rsid w:val="00716256"/>
    <w:rsid w:val="00716824"/>
    <w:rsid w:val="00716CC0"/>
    <w:rsid w:val="00717216"/>
    <w:rsid w:val="00717599"/>
    <w:rsid w:val="00720626"/>
    <w:rsid w:val="00720DB3"/>
    <w:rsid w:val="00721576"/>
    <w:rsid w:val="00722BBB"/>
    <w:rsid w:val="00722F8B"/>
    <w:rsid w:val="00723B08"/>
    <w:rsid w:val="00723CF2"/>
    <w:rsid w:val="007241E1"/>
    <w:rsid w:val="00724932"/>
    <w:rsid w:val="007255B1"/>
    <w:rsid w:val="00726332"/>
    <w:rsid w:val="00726D64"/>
    <w:rsid w:val="00727354"/>
    <w:rsid w:val="00727965"/>
    <w:rsid w:val="00730140"/>
    <w:rsid w:val="0073157A"/>
    <w:rsid w:val="00731B85"/>
    <w:rsid w:val="007326CA"/>
    <w:rsid w:val="0073360E"/>
    <w:rsid w:val="0073399C"/>
    <w:rsid w:val="00734E7C"/>
    <w:rsid w:val="00735D8C"/>
    <w:rsid w:val="00735EB7"/>
    <w:rsid w:val="00736091"/>
    <w:rsid w:val="00737DDA"/>
    <w:rsid w:val="0074037F"/>
    <w:rsid w:val="007414F4"/>
    <w:rsid w:val="00741579"/>
    <w:rsid w:val="00744552"/>
    <w:rsid w:val="00744FF4"/>
    <w:rsid w:val="0074538E"/>
    <w:rsid w:val="00745395"/>
    <w:rsid w:val="00745FFC"/>
    <w:rsid w:val="00747E8C"/>
    <w:rsid w:val="007501B1"/>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60A62"/>
    <w:rsid w:val="00761371"/>
    <w:rsid w:val="007633E8"/>
    <w:rsid w:val="00763639"/>
    <w:rsid w:val="00763A05"/>
    <w:rsid w:val="007643F0"/>
    <w:rsid w:val="00764E45"/>
    <w:rsid w:val="00765DA2"/>
    <w:rsid w:val="0076602B"/>
    <w:rsid w:val="00766C98"/>
    <w:rsid w:val="00766F46"/>
    <w:rsid w:val="00771282"/>
    <w:rsid w:val="00771395"/>
    <w:rsid w:val="00772DF6"/>
    <w:rsid w:val="007731A9"/>
    <w:rsid w:val="0077399D"/>
    <w:rsid w:val="00774B90"/>
    <w:rsid w:val="007753D8"/>
    <w:rsid w:val="007756E6"/>
    <w:rsid w:val="00777E95"/>
    <w:rsid w:val="007806DB"/>
    <w:rsid w:val="007822EA"/>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355"/>
    <w:rsid w:val="007A67A6"/>
    <w:rsid w:val="007A6C05"/>
    <w:rsid w:val="007A716F"/>
    <w:rsid w:val="007A7600"/>
    <w:rsid w:val="007B067E"/>
    <w:rsid w:val="007B10F7"/>
    <w:rsid w:val="007B11D4"/>
    <w:rsid w:val="007B1265"/>
    <w:rsid w:val="007B26BE"/>
    <w:rsid w:val="007B360D"/>
    <w:rsid w:val="007B3EC8"/>
    <w:rsid w:val="007B3F80"/>
    <w:rsid w:val="007B7C25"/>
    <w:rsid w:val="007B7E6D"/>
    <w:rsid w:val="007C02B3"/>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20D0"/>
    <w:rsid w:val="007D3289"/>
    <w:rsid w:val="007D3D2A"/>
    <w:rsid w:val="007D5E6D"/>
    <w:rsid w:val="007D5F41"/>
    <w:rsid w:val="007D5F51"/>
    <w:rsid w:val="007D7AA6"/>
    <w:rsid w:val="007E1EFD"/>
    <w:rsid w:val="007E21B9"/>
    <w:rsid w:val="007E3764"/>
    <w:rsid w:val="007E3BD4"/>
    <w:rsid w:val="007E5688"/>
    <w:rsid w:val="007E5F3A"/>
    <w:rsid w:val="007E6130"/>
    <w:rsid w:val="007F0577"/>
    <w:rsid w:val="007F1534"/>
    <w:rsid w:val="007F2081"/>
    <w:rsid w:val="007F2E17"/>
    <w:rsid w:val="007F489F"/>
    <w:rsid w:val="007F568D"/>
    <w:rsid w:val="007F7631"/>
    <w:rsid w:val="007F7971"/>
    <w:rsid w:val="0080025C"/>
    <w:rsid w:val="00801EB9"/>
    <w:rsid w:val="00803489"/>
    <w:rsid w:val="00804D4A"/>
    <w:rsid w:val="00805FDE"/>
    <w:rsid w:val="00806191"/>
    <w:rsid w:val="00806924"/>
    <w:rsid w:val="00807736"/>
    <w:rsid w:val="00807E51"/>
    <w:rsid w:val="00807FFA"/>
    <w:rsid w:val="008102AB"/>
    <w:rsid w:val="008108CF"/>
    <w:rsid w:val="008117CD"/>
    <w:rsid w:val="008131C7"/>
    <w:rsid w:val="008140C1"/>
    <w:rsid w:val="00815030"/>
    <w:rsid w:val="00816ACF"/>
    <w:rsid w:val="008170E7"/>
    <w:rsid w:val="00820FD6"/>
    <w:rsid w:val="008215D3"/>
    <w:rsid w:val="00822482"/>
    <w:rsid w:val="008231A0"/>
    <w:rsid w:val="008247E0"/>
    <w:rsid w:val="008250DA"/>
    <w:rsid w:val="0082669E"/>
    <w:rsid w:val="00827489"/>
    <w:rsid w:val="008278EC"/>
    <w:rsid w:val="00827E5A"/>
    <w:rsid w:val="00827ED6"/>
    <w:rsid w:val="00827F47"/>
    <w:rsid w:val="00831568"/>
    <w:rsid w:val="008318E0"/>
    <w:rsid w:val="00831D47"/>
    <w:rsid w:val="0083211B"/>
    <w:rsid w:val="00832826"/>
    <w:rsid w:val="00832AAB"/>
    <w:rsid w:val="00833AE5"/>
    <w:rsid w:val="00835F65"/>
    <w:rsid w:val="00836664"/>
    <w:rsid w:val="00837E12"/>
    <w:rsid w:val="00840288"/>
    <w:rsid w:val="008403C2"/>
    <w:rsid w:val="00841546"/>
    <w:rsid w:val="008418AA"/>
    <w:rsid w:val="00841FBE"/>
    <w:rsid w:val="00843FA5"/>
    <w:rsid w:val="0084484D"/>
    <w:rsid w:val="008449F4"/>
    <w:rsid w:val="00845C98"/>
    <w:rsid w:val="00846809"/>
    <w:rsid w:val="0084778B"/>
    <w:rsid w:val="00847BEF"/>
    <w:rsid w:val="00847E36"/>
    <w:rsid w:val="00847FEA"/>
    <w:rsid w:val="008511E6"/>
    <w:rsid w:val="00852404"/>
    <w:rsid w:val="00852B70"/>
    <w:rsid w:val="00852DFE"/>
    <w:rsid w:val="0085384B"/>
    <w:rsid w:val="008540CA"/>
    <w:rsid w:val="00855774"/>
    <w:rsid w:val="00855F88"/>
    <w:rsid w:val="00857E88"/>
    <w:rsid w:val="008609C7"/>
    <w:rsid w:val="00860D39"/>
    <w:rsid w:val="00860FA5"/>
    <w:rsid w:val="00861633"/>
    <w:rsid w:val="00861828"/>
    <w:rsid w:val="00861D26"/>
    <w:rsid w:val="00862BF2"/>
    <w:rsid w:val="00863104"/>
    <w:rsid w:val="00864D33"/>
    <w:rsid w:val="0086514F"/>
    <w:rsid w:val="00865425"/>
    <w:rsid w:val="00865AF0"/>
    <w:rsid w:val="0086766F"/>
    <w:rsid w:val="00871C0D"/>
    <w:rsid w:val="00872473"/>
    <w:rsid w:val="00872B8D"/>
    <w:rsid w:val="0087324C"/>
    <w:rsid w:val="0087699A"/>
    <w:rsid w:val="00876B36"/>
    <w:rsid w:val="008772EC"/>
    <w:rsid w:val="00877878"/>
    <w:rsid w:val="008808B2"/>
    <w:rsid w:val="00880ECC"/>
    <w:rsid w:val="0088176A"/>
    <w:rsid w:val="00882CAF"/>
    <w:rsid w:val="0088364D"/>
    <w:rsid w:val="00883CA2"/>
    <w:rsid w:val="00883F18"/>
    <w:rsid w:val="00884979"/>
    <w:rsid w:val="00886222"/>
    <w:rsid w:val="0089027D"/>
    <w:rsid w:val="008918EB"/>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E34"/>
    <w:rsid w:val="008A50AF"/>
    <w:rsid w:val="008A671B"/>
    <w:rsid w:val="008A6723"/>
    <w:rsid w:val="008A7642"/>
    <w:rsid w:val="008A77C7"/>
    <w:rsid w:val="008A7F43"/>
    <w:rsid w:val="008A7FF4"/>
    <w:rsid w:val="008B008E"/>
    <w:rsid w:val="008B19C2"/>
    <w:rsid w:val="008B3601"/>
    <w:rsid w:val="008B3DEE"/>
    <w:rsid w:val="008B6940"/>
    <w:rsid w:val="008B74F1"/>
    <w:rsid w:val="008B7F5D"/>
    <w:rsid w:val="008C07DE"/>
    <w:rsid w:val="008C14C2"/>
    <w:rsid w:val="008C14F6"/>
    <w:rsid w:val="008C19C4"/>
    <w:rsid w:val="008C41A8"/>
    <w:rsid w:val="008C4F67"/>
    <w:rsid w:val="008C55EB"/>
    <w:rsid w:val="008C5858"/>
    <w:rsid w:val="008C5873"/>
    <w:rsid w:val="008C66AC"/>
    <w:rsid w:val="008C6821"/>
    <w:rsid w:val="008C6DEB"/>
    <w:rsid w:val="008C70F9"/>
    <w:rsid w:val="008C7641"/>
    <w:rsid w:val="008C7CF2"/>
    <w:rsid w:val="008D001D"/>
    <w:rsid w:val="008D4048"/>
    <w:rsid w:val="008D52B2"/>
    <w:rsid w:val="008D6E96"/>
    <w:rsid w:val="008E010A"/>
    <w:rsid w:val="008E1CF4"/>
    <w:rsid w:val="008E26CE"/>
    <w:rsid w:val="008E2ADF"/>
    <w:rsid w:val="008E3A87"/>
    <w:rsid w:val="008E4159"/>
    <w:rsid w:val="008E4663"/>
    <w:rsid w:val="008E57C5"/>
    <w:rsid w:val="008E5D29"/>
    <w:rsid w:val="008E6732"/>
    <w:rsid w:val="008E6CB6"/>
    <w:rsid w:val="008E71C0"/>
    <w:rsid w:val="008F23D5"/>
    <w:rsid w:val="008F33AB"/>
    <w:rsid w:val="008F4777"/>
    <w:rsid w:val="008F5E00"/>
    <w:rsid w:val="008F65E9"/>
    <w:rsid w:val="008F6684"/>
    <w:rsid w:val="008F707F"/>
    <w:rsid w:val="00901077"/>
    <w:rsid w:val="00901B0C"/>
    <w:rsid w:val="00902038"/>
    <w:rsid w:val="00902D96"/>
    <w:rsid w:val="00905AF3"/>
    <w:rsid w:val="00906244"/>
    <w:rsid w:val="00906E32"/>
    <w:rsid w:val="00907D72"/>
    <w:rsid w:val="0091068B"/>
    <w:rsid w:val="00912170"/>
    <w:rsid w:val="0091227B"/>
    <w:rsid w:val="00912EB3"/>
    <w:rsid w:val="009131AA"/>
    <w:rsid w:val="0091378D"/>
    <w:rsid w:val="009137B4"/>
    <w:rsid w:val="00914AB6"/>
    <w:rsid w:val="00917B58"/>
    <w:rsid w:val="009212D1"/>
    <w:rsid w:val="00922915"/>
    <w:rsid w:val="00922BEC"/>
    <w:rsid w:val="00923428"/>
    <w:rsid w:val="0092495A"/>
    <w:rsid w:val="00925206"/>
    <w:rsid w:val="00925220"/>
    <w:rsid w:val="00925468"/>
    <w:rsid w:val="0092679D"/>
    <w:rsid w:val="00926B84"/>
    <w:rsid w:val="00926CE2"/>
    <w:rsid w:val="00927BD8"/>
    <w:rsid w:val="0093241A"/>
    <w:rsid w:val="00932E22"/>
    <w:rsid w:val="009348C8"/>
    <w:rsid w:val="0093490C"/>
    <w:rsid w:val="0093501C"/>
    <w:rsid w:val="0093586B"/>
    <w:rsid w:val="009369EC"/>
    <w:rsid w:val="00940C09"/>
    <w:rsid w:val="00940CBE"/>
    <w:rsid w:val="00941E32"/>
    <w:rsid w:val="00942F6C"/>
    <w:rsid w:val="0094550D"/>
    <w:rsid w:val="00945F0F"/>
    <w:rsid w:val="0094750B"/>
    <w:rsid w:val="00947AB0"/>
    <w:rsid w:val="00947CF3"/>
    <w:rsid w:val="009501F2"/>
    <w:rsid w:val="00950241"/>
    <w:rsid w:val="0095133F"/>
    <w:rsid w:val="009515DE"/>
    <w:rsid w:val="00951A5A"/>
    <w:rsid w:val="00951B38"/>
    <w:rsid w:val="0095205B"/>
    <w:rsid w:val="00953D0B"/>
    <w:rsid w:val="00955143"/>
    <w:rsid w:val="00956935"/>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5706"/>
    <w:rsid w:val="00976379"/>
    <w:rsid w:val="0097782A"/>
    <w:rsid w:val="00980C06"/>
    <w:rsid w:val="0098231B"/>
    <w:rsid w:val="00982C87"/>
    <w:rsid w:val="00983202"/>
    <w:rsid w:val="009833B8"/>
    <w:rsid w:val="009839A2"/>
    <w:rsid w:val="00983FC2"/>
    <w:rsid w:val="009843E5"/>
    <w:rsid w:val="0098526E"/>
    <w:rsid w:val="00985BDF"/>
    <w:rsid w:val="00986F13"/>
    <w:rsid w:val="00986FBE"/>
    <w:rsid w:val="009875AB"/>
    <w:rsid w:val="00987935"/>
    <w:rsid w:val="00987C25"/>
    <w:rsid w:val="00987DA1"/>
    <w:rsid w:val="0099083D"/>
    <w:rsid w:val="00992849"/>
    <w:rsid w:val="009930C5"/>
    <w:rsid w:val="00994B32"/>
    <w:rsid w:val="00995170"/>
    <w:rsid w:val="00995E2B"/>
    <w:rsid w:val="00996815"/>
    <w:rsid w:val="0099737A"/>
    <w:rsid w:val="009A162E"/>
    <w:rsid w:val="009A18E3"/>
    <w:rsid w:val="009A269D"/>
    <w:rsid w:val="009A5437"/>
    <w:rsid w:val="009A73A4"/>
    <w:rsid w:val="009A73BB"/>
    <w:rsid w:val="009A7E4D"/>
    <w:rsid w:val="009B012A"/>
    <w:rsid w:val="009B0644"/>
    <w:rsid w:val="009B1109"/>
    <w:rsid w:val="009B1ADD"/>
    <w:rsid w:val="009B1B1C"/>
    <w:rsid w:val="009B2AC2"/>
    <w:rsid w:val="009B2CA9"/>
    <w:rsid w:val="009B31F5"/>
    <w:rsid w:val="009B3385"/>
    <w:rsid w:val="009B3C40"/>
    <w:rsid w:val="009B4CA4"/>
    <w:rsid w:val="009B51C2"/>
    <w:rsid w:val="009B546A"/>
    <w:rsid w:val="009B5723"/>
    <w:rsid w:val="009B575A"/>
    <w:rsid w:val="009B5AEE"/>
    <w:rsid w:val="009B67E0"/>
    <w:rsid w:val="009B7BE2"/>
    <w:rsid w:val="009C008E"/>
    <w:rsid w:val="009C0691"/>
    <w:rsid w:val="009C0907"/>
    <w:rsid w:val="009C0AD7"/>
    <w:rsid w:val="009C0E66"/>
    <w:rsid w:val="009C1C3D"/>
    <w:rsid w:val="009C2A0E"/>
    <w:rsid w:val="009C3618"/>
    <w:rsid w:val="009C4374"/>
    <w:rsid w:val="009C43EC"/>
    <w:rsid w:val="009C4684"/>
    <w:rsid w:val="009C4C3E"/>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F31"/>
    <w:rsid w:val="00A13338"/>
    <w:rsid w:val="00A13840"/>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5FA"/>
    <w:rsid w:val="00A27E21"/>
    <w:rsid w:val="00A31B2D"/>
    <w:rsid w:val="00A33A5E"/>
    <w:rsid w:val="00A35AC9"/>
    <w:rsid w:val="00A361EF"/>
    <w:rsid w:val="00A3655A"/>
    <w:rsid w:val="00A369D3"/>
    <w:rsid w:val="00A36F9D"/>
    <w:rsid w:val="00A375E2"/>
    <w:rsid w:val="00A40783"/>
    <w:rsid w:val="00A40ECF"/>
    <w:rsid w:val="00A410AA"/>
    <w:rsid w:val="00A416CD"/>
    <w:rsid w:val="00A42E17"/>
    <w:rsid w:val="00A4457B"/>
    <w:rsid w:val="00A44CD7"/>
    <w:rsid w:val="00A457E5"/>
    <w:rsid w:val="00A45C19"/>
    <w:rsid w:val="00A47E09"/>
    <w:rsid w:val="00A47F17"/>
    <w:rsid w:val="00A51A39"/>
    <w:rsid w:val="00A51F0B"/>
    <w:rsid w:val="00A52EFE"/>
    <w:rsid w:val="00A53953"/>
    <w:rsid w:val="00A53D13"/>
    <w:rsid w:val="00A53E5A"/>
    <w:rsid w:val="00A53FBD"/>
    <w:rsid w:val="00A54656"/>
    <w:rsid w:val="00A56171"/>
    <w:rsid w:val="00A6118B"/>
    <w:rsid w:val="00A621E0"/>
    <w:rsid w:val="00A63284"/>
    <w:rsid w:val="00A643AE"/>
    <w:rsid w:val="00A66405"/>
    <w:rsid w:val="00A70DB9"/>
    <w:rsid w:val="00A718A3"/>
    <w:rsid w:val="00A718AD"/>
    <w:rsid w:val="00A71F5B"/>
    <w:rsid w:val="00A721BA"/>
    <w:rsid w:val="00A725F0"/>
    <w:rsid w:val="00A72A44"/>
    <w:rsid w:val="00A73F45"/>
    <w:rsid w:val="00A753CC"/>
    <w:rsid w:val="00A7601B"/>
    <w:rsid w:val="00A76B0F"/>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86DF5"/>
    <w:rsid w:val="00A86FA7"/>
    <w:rsid w:val="00A909F9"/>
    <w:rsid w:val="00A90BAF"/>
    <w:rsid w:val="00AA2B12"/>
    <w:rsid w:val="00AA305C"/>
    <w:rsid w:val="00AA5CCF"/>
    <w:rsid w:val="00AA71F6"/>
    <w:rsid w:val="00AA7625"/>
    <w:rsid w:val="00AA7BDA"/>
    <w:rsid w:val="00AB021D"/>
    <w:rsid w:val="00AB2B1C"/>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5D"/>
    <w:rsid w:val="00AE01EB"/>
    <w:rsid w:val="00AE180A"/>
    <w:rsid w:val="00AE2B49"/>
    <w:rsid w:val="00AE2FD1"/>
    <w:rsid w:val="00AE3199"/>
    <w:rsid w:val="00AE3DCD"/>
    <w:rsid w:val="00AE3E3A"/>
    <w:rsid w:val="00AE3F3A"/>
    <w:rsid w:val="00AE41FF"/>
    <w:rsid w:val="00AE4414"/>
    <w:rsid w:val="00AE48AF"/>
    <w:rsid w:val="00AE6671"/>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5DD"/>
    <w:rsid w:val="00B20BBF"/>
    <w:rsid w:val="00B20D2E"/>
    <w:rsid w:val="00B2258F"/>
    <w:rsid w:val="00B23F7C"/>
    <w:rsid w:val="00B25155"/>
    <w:rsid w:val="00B25A01"/>
    <w:rsid w:val="00B25FD1"/>
    <w:rsid w:val="00B2797F"/>
    <w:rsid w:val="00B27D30"/>
    <w:rsid w:val="00B27E43"/>
    <w:rsid w:val="00B3108F"/>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313"/>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677"/>
    <w:rsid w:val="00B77B7B"/>
    <w:rsid w:val="00B80478"/>
    <w:rsid w:val="00B80546"/>
    <w:rsid w:val="00B8071A"/>
    <w:rsid w:val="00B80AF5"/>
    <w:rsid w:val="00B81424"/>
    <w:rsid w:val="00B83E9E"/>
    <w:rsid w:val="00B86832"/>
    <w:rsid w:val="00B86F4A"/>
    <w:rsid w:val="00B87336"/>
    <w:rsid w:val="00B87807"/>
    <w:rsid w:val="00B879F4"/>
    <w:rsid w:val="00B87B88"/>
    <w:rsid w:val="00B90DBA"/>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35D9"/>
    <w:rsid w:val="00BA5238"/>
    <w:rsid w:val="00BA6A52"/>
    <w:rsid w:val="00BA7070"/>
    <w:rsid w:val="00BA77B6"/>
    <w:rsid w:val="00BB066B"/>
    <w:rsid w:val="00BB09D4"/>
    <w:rsid w:val="00BB228B"/>
    <w:rsid w:val="00BB235C"/>
    <w:rsid w:val="00BB4D05"/>
    <w:rsid w:val="00BB4D7C"/>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495"/>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2296"/>
    <w:rsid w:val="00BF26B9"/>
    <w:rsid w:val="00BF2F77"/>
    <w:rsid w:val="00BF4287"/>
    <w:rsid w:val="00BF5F47"/>
    <w:rsid w:val="00BF64F0"/>
    <w:rsid w:val="00BF6AAA"/>
    <w:rsid w:val="00BF7B76"/>
    <w:rsid w:val="00C0025E"/>
    <w:rsid w:val="00C006CD"/>
    <w:rsid w:val="00C023EC"/>
    <w:rsid w:val="00C02FFD"/>
    <w:rsid w:val="00C0476C"/>
    <w:rsid w:val="00C04E61"/>
    <w:rsid w:val="00C06903"/>
    <w:rsid w:val="00C069CE"/>
    <w:rsid w:val="00C06BD4"/>
    <w:rsid w:val="00C0707B"/>
    <w:rsid w:val="00C07217"/>
    <w:rsid w:val="00C0761B"/>
    <w:rsid w:val="00C11128"/>
    <w:rsid w:val="00C12794"/>
    <w:rsid w:val="00C12921"/>
    <w:rsid w:val="00C139A6"/>
    <w:rsid w:val="00C147F4"/>
    <w:rsid w:val="00C15015"/>
    <w:rsid w:val="00C1512C"/>
    <w:rsid w:val="00C1708F"/>
    <w:rsid w:val="00C17EAB"/>
    <w:rsid w:val="00C2008B"/>
    <w:rsid w:val="00C20C2E"/>
    <w:rsid w:val="00C21580"/>
    <w:rsid w:val="00C22162"/>
    <w:rsid w:val="00C22674"/>
    <w:rsid w:val="00C24D48"/>
    <w:rsid w:val="00C25993"/>
    <w:rsid w:val="00C262CC"/>
    <w:rsid w:val="00C278C5"/>
    <w:rsid w:val="00C30118"/>
    <w:rsid w:val="00C30EBB"/>
    <w:rsid w:val="00C310F9"/>
    <w:rsid w:val="00C32F1C"/>
    <w:rsid w:val="00C34C24"/>
    <w:rsid w:val="00C350FE"/>
    <w:rsid w:val="00C35AEC"/>
    <w:rsid w:val="00C36E14"/>
    <w:rsid w:val="00C37CF7"/>
    <w:rsid w:val="00C37F66"/>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3B8"/>
    <w:rsid w:val="00C53744"/>
    <w:rsid w:val="00C53BBE"/>
    <w:rsid w:val="00C550D6"/>
    <w:rsid w:val="00C5613F"/>
    <w:rsid w:val="00C568CD"/>
    <w:rsid w:val="00C56DEF"/>
    <w:rsid w:val="00C56EA2"/>
    <w:rsid w:val="00C57701"/>
    <w:rsid w:val="00C57C11"/>
    <w:rsid w:val="00C60600"/>
    <w:rsid w:val="00C612E5"/>
    <w:rsid w:val="00C615D8"/>
    <w:rsid w:val="00C61D6D"/>
    <w:rsid w:val="00C6226D"/>
    <w:rsid w:val="00C63D6E"/>
    <w:rsid w:val="00C646BE"/>
    <w:rsid w:val="00C64BA1"/>
    <w:rsid w:val="00C64E73"/>
    <w:rsid w:val="00C6686D"/>
    <w:rsid w:val="00C67246"/>
    <w:rsid w:val="00C679D5"/>
    <w:rsid w:val="00C70480"/>
    <w:rsid w:val="00C704FA"/>
    <w:rsid w:val="00C71435"/>
    <w:rsid w:val="00C7201C"/>
    <w:rsid w:val="00C73E0D"/>
    <w:rsid w:val="00C74762"/>
    <w:rsid w:val="00C74E3E"/>
    <w:rsid w:val="00C7556F"/>
    <w:rsid w:val="00C7569A"/>
    <w:rsid w:val="00C7618E"/>
    <w:rsid w:val="00C77B0E"/>
    <w:rsid w:val="00C80D19"/>
    <w:rsid w:val="00C80E62"/>
    <w:rsid w:val="00C81E91"/>
    <w:rsid w:val="00C8222A"/>
    <w:rsid w:val="00C8244A"/>
    <w:rsid w:val="00C82D63"/>
    <w:rsid w:val="00C842E4"/>
    <w:rsid w:val="00C85D81"/>
    <w:rsid w:val="00C8633A"/>
    <w:rsid w:val="00C86DC0"/>
    <w:rsid w:val="00C872E2"/>
    <w:rsid w:val="00C87388"/>
    <w:rsid w:val="00C87888"/>
    <w:rsid w:val="00C90BF6"/>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749B"/>
    <w:rsid w:val="00CA795F"/>
    <w:rsid w:val="00CA7BA9"/>
    <w:rsid w:val="00CA7C1E"/>
    <w:rsid w:val="00CB029F"/>
    <w:rsid w:val="00CB0593"/>
    <w:rsid w:val="00CB0626"/>
    <w:rsid w:val="00CB06F1"/>
    <w:rsid w:val="00CB1B2B"/>
    <w:rsid w:val="00CB4246"/>
    <w:rsid w:val="00CB4B29"/>
    <w:rsid w:val="00CB5707"/>
    <w:rsid w:val="00CB636A"/>
    <w:rsid w:val="00CB64F2"/>
    <w:rsid w:val="00CB6AEF"/>
    <w:rsid w:val="00CB6BCF"/>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26C5"/>
    <w:rsid w:val="00CD2722"/>
    <w:rsid w:val="00CD33DF"/>
    <w:rsid w:val="00CD37EE"/>
    <w:rsid w:val="00CD3864"/>
    <w:rsid w:val="00CD390F"/>
    <w:rsid w:val="00CD56B2"/>
    <w:rsid w:val="00CD570B"/>
    <w:rsid w:val="00CD61E4"/>
    <w:rsid w:val="00CD6603"/>
    <w:rsid w:val="00CE0C42"/>
    <w:rsid w:val="00CE110C"/>
    <w:rsid w:val="00CE1B43"/>
    <w:rsid w:val="00CE1E98"/>
    <w:rsid w:val="00CE2870"/>
    <w:rsid w:val="00CE2CC1"/>
    <w:rsid w:val="00CE3F0D"/>
    <w:rsid w:val="00CE4083"/>
    <w:rsid w:val="00CE4332"/>
    <w:rsid w:val="00CE4542"/>
    <w:rsid w:val="00CE46A7"/>
    <w:rsid w:val="00CE598C"/>
    <w:rsid w:val="00CE7334"/>
    <w:rsid w:val="00CE7468"/>
    <w:rsid w:val="00CE7658"/>
    <w:rsid w:val="00CE7D21"/>
    <w:rsid w:val="00CF0EA9"/>
    <w:rsid w:val="00CF1523"/>
    <w:rsid w:val="00CF1FB5"/>
    <w:rsid w:val="00CF27C8"/>
    <w:rsid w:val="00CF474C"/>
    <w:rsid w:val="00CF7485"/>
    <w:rsid w:val="00D00017"/>
    <w:rsid w:val="00D00877"/>
    <w:rsid w:val="00D0124B"/>
    <w:rsid w:val="00D0124D"/>
    <w:rsid w:val="00D0288D"/>
    <w:rsid w:val="00D03EF1"/>
    <w:rsid w:val="00D041A5"/>
    <w:rsid w:val="00D045C2"/>
    <w:rsid w:val="00D05639"/>
    <w:rsid w:val="00D058C0"/>
    <w:rsid w:val="00D06F1B"/>
    <w:rsid w:val="00D0725B"/>
    <w:rsid w:val="00D0740D"/>
    <w:rsid w:val="00D07951"/>
    <w:rsid w:val="00D07ABE"/>
    <w:rsid w:val="00D11536"/>
    <w:rsid w:val="00D11D06"/>
    <w:rsid w:val="00D123E8"/>
    <w:rsid w:val="00D13A12"/>
    <w:rsid w:val="00D1450E"/>
    <w:rsid w:val="00D14995"/>
    <w:rsid w:val="00D150D6"/>
    <w:rsid w:val="00D1581D"/>
    <w:rsid w:val="00D1586D"/>
    <w:rsid w:val="00D16929"/>
    <w:rsid w:val="00D17806"/>
    <w:rsid w:val="00D21576"/>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9EB"/>
    <w:rsid w:val="00D42AE6"/>
    <w:rsid w:val="00D4467E"/>
    <w:rsid w:val="00D45BEA"/>
    <w:rsid w:val="00D4607E"/>
    <w:rsid w:val="00D46164"/>
    <w:rsid w:val="00D47B22"/>
    <w:rsid w:val="00D5184A"/>
    <w:rsid w:val="00D51867"/>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A8"/>
    <w:rsid w:val="00D72637"/>
    <w:rsid w:val="00D72A74"/>
    <w:rsid w:val="00D731BE"/>
    <w:rsid w:val="00D73C2B"/>
    <w:rsid w:val="00D73CCA"/>
    <w:rsid w:val="00D74B3B"/>
    <w:rsid w:val="00D76BAA"/>
    <w:rsid w:val="00D801A2"/>
    <w:rsid w:val="00D80C6D"/>
    <w:rsid w:val="00D81085"/>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870"/>
    <w:rsid w:val="00DB6F12"/>
    <w:rsid w:val="00DB7125"/>
    <w:rsid w:val="00DB76CA"/>
    <w:rsid w:val="00DC06E2"/>
    <w:rsid w:val="00DC0AF0"/>
    <w:rsid w:val="00DC1704"/>
    <w:rsid w:val="00DC1AB3"/>
    <w:rsid w:val="00DC1F76"/>
    <w:rsid w:val="00DC212D"/>
    <w:rsid w:val="00DC2B9E"/>
    <w:rsid w:val="00DC2F1E"/>
    <w:rsid w:val="00DC38FB"/>
    <w:rsid w:val="00DC55B4"/>
    <w:rsid w:val="00DC5AFF"/>
    <w:rsid w:val="00DC60A5"/>
    <w:rsid w:val="00DC7931"/>
    <w:rsid w:val="00DD211A"/>
    <w:rsid w:val="00DD3536"/>
    <w:rsid w:val="00DD54D0"/>
    <w:rsid w:val="00DD7276"/>
    <w:rsid w:val="00DD798D"/>
    <w:rsid w:val="00DE03AC"/>
    <w:rsid w:val="00DE05E5"/>
    <w:rsid w:val="00DE09FD"/>
    <w:rsid w:val="00DE1A71"/>
    <w:rsid w:val="00DE1B67"/>
    <w:rsid w:val="00DE288E"/>
    <w:rsid w:val="00DE298C"/>
    <w:rsid w:val="00DE3570"/>
    <w:rsid w:val="00DE4169"/>
    <w:rsid w:val="00DE4561"/>
    <w:rsid w:val="00DE49E2"/>
    <w:rsid w:val="00DE68EE"/>
    <w:rsid w:val="00DE740A"/>
    <w:rsid w:val="00DE7AF1"/>
    <w:rsid w:val="00DE7FBA"/>
    <w:rsid w:val="00DF0BA4"/>
    <w:rsid w:val="00DF14AD"/>
    <w:rsid w:val="00DF2407"/>
    <w:rsid w:val="00DF2FD6"/>
    <w:rsid w:val="00DF3389"/>
    <w:rsid w:val="00DF3CCC"/>
    <w:rsid w:val="00DF484A"/>
    <w:rsid w:val="00DF5B89"/>
    <w:rsid w:val="00DF5FF4"/>
    <w:rsid w:val="00DF6B36"/>
    <w:rsid w:val="00DF786F"/>
    <w:rsid w:val="00DF7982"/>
    <w:rsid w:val="00E00A17"/>
    <w:rsid w:val="00E00D8D"/>
    <w:rsid w:val="00E01749"/>
    <w:rsid w:val="00E02120"/>
    <w:rsid w:val="00E02BC0"/>
    <w:rsid w:val="00E02C57"/>
    <w:rsid w:val="00E02DD1"/>
    <w:rsid w:val="00E04ED2"/>
    <w:rsid w:val="00E0520F"/>
    <w:rsid w:val="00E066CA"/>
    <w:rsid w:val="00E10AF9"/>
    <w:rsid w:val="00E11170"/>
    <w:rsid w:val="00E1148C"/>
    <w:rsid w:val="00E12B7F"/>
    <w:rsid w:val="00E13476"/>
    <w:rsid w:val="00E1347D"/>
    <w:rsid w:val="00E1368E"/>
    <w:rsid w:val="00E13AA0"/>
    <w:rsid w:val="00E15257"/>
    <w:rsid w:val="00E15C03"/>
    <w:rsid w:val="00E15DD2"/>
    <w:rsid w:val="00E15FC6"/>
    <w:rsid w:val="00E1775C"/>
    <w:rsid w:val="00E17774"/>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5F6"/>
    <w:rsid w:val="00E40E02"/>
    <w:rsid w:val="00E417D9"/>
    <w:rsid w:val="00E41A5D"/>
    <w:rsid w:val="00E4495F"/>
    <w:rsid w:val="00E458B7"/>
    <w:rsid w:val="00E47B00"/>
    <w:rsid w:val="00E47DEE"/>
    <w:rsid w:val="00E509BB"/>
    <w:rsid w:val="00E51BA6"/>
    <w:rsid w:val="00E534AD"/>
    <w:rsid w:val="00E53A2C"/>
    <w:rsid w:val="00E544A0"/>
    <w:rsid w:val="00E546C4"/>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E8F"/>
    <w:rsid w:val="00EA54A7"/>
    <w:rsid w:val="00EA57F9"/>
    <w:rsid w:val="00EA5D60"/>
    <w:rsid w:val="00EA61EC"/>
    <w:rsid w:val="00EA6906"/>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225A"/>
    <w:rsid w:val="00ED31A9"/>
    <w:rsid w:val="00ED33B9"/>
    <w:rsid w:val="00ED3EC2"/>
    <w:rsid w:val="00ED3FDA"/>
    <w:rsid w:val="00ED6F2B"/>
    <w:rsid w:val="00EE0E54"/>
    <w:rsid w:val="00EE1980"/>
    <w:rsid w:val="00EE213F"/>
    <w:rsid w:val="00EE2525"/>
    <w:rsid w:val="00EE3F98"/>
    <w:rsid w:val="00EE42BD"/>
    <w:rsid w:val="00EE6185"/>
    <w:rsid w:val="00EE687A"/>
    <w:rsid w:val="00EE6B56"/>
    <w:rsid w:val="00EE6BBE"/>
    <w:rsid w:val="00EE6C49"/>
    <w:rsid w:val="00EE7569"/>
    <w:rsid w:val="00EE7A28"/>
    <w:rsid w:val="00EF10BD"/>
    <w:rsid w:val="00EF1EB2"/>
    <w:rsid w:val="00EF3AE7"/>
    <w:rsid w:val="00EF3EC6"/>
    <w:rsid w:val="00EF4CC2"/>
    <w:rsid w:val="00EF50D0"/>
    <w:rsid w:val="00EF5615"/>
    <w:rsid w:val="00EF5D7B"/>
    <w:rsid w:val="00EF74DF"/>
    <w:rsid w:val="00F006B6"/>
    <w:rsid w:val="00F017E1"/>
    <w:rsid w:val="00F01A62"/>
    <w:rsid w:val="00F036FC"/>
    <w:rsid w:val="00F0545F"/>
    <w:rsid w:val="00F06575"/>
    <w:rsid w:val="00F068AE"/>
    <w:rsid w:val="00F07337"/>
    <w:rsid w:val="00F0768E"/>
    <w:rsid w:val="00F076A1"/>
    <w:rsid w:val="00F11104"/>
    <w:rsid w:val="00F115B0"/>
    <w:rsid w:val="00F12D1E"/>
    <w:rsid w:val="00F134A8"/>
    <w:rsid w:val="00F139DF"/>
    <w:rsid w:val="00F147B9"/>
    <w:rsid w:val="00F14DCC"/>
    <w:rsid w:val="00F14EEC"/>
    <w:rsid w:val="00F15FE9"/>
    <w:rsid w:val="00F20A9D"/>
    <w:rsid w:val="00F20E32"/>
    <w:rsid w:val="00F218A4"/>
    <w:rsid w:val="00F21BC4"/>
    <w:rsid w:val="00F241AF"/>
    <w:rsid w:val="00F24A31"/>
    <w:rsid w:val="00F27372"/>
    <w:rsid w:val="00F27575"/>
    <w:rsid w:val="00F27F51"/>
    <w:rsid w:val="00F30472"/>
    <w:rsid w:val="00F30F32"/>
    <w:rsid w:val="00F328BF"/>
    <w:rsid w:val="00F32D73"/>
    <w:rsid w:val="00F337FE"/>
    <w:rsid w:val="00F33E15"/>
    <w:rsid w:val="00F34878"/>
    <w:rsid w:val="00F35358"/>
    <w:rsid w:val="00F35C21"/>
    <w:rsid w:val="00F36033"/>
    <w:rsid w:val="00F371B2"/>
    <w:rsid w:val="00F37A3D"/>
    <w:rsid w:val="00F37BDF"/>
    <w:rsid w:val="00F4121A"/>
    <w:rsid w:val="00F42CB9"/>
    <w:rsid w:val="00F42F06"/>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6693"/>
    <w:rsid w:val="00F613F4"/>
    <w:rsid w:val="00F621E3"/>
    <w:rsid w:val="00F6252E"/>
    <w:rsid w:val="00F62C48"/>
    <w:rsid w:val="00F64127"/>
    <w:rsid w:val="00F654AF"/>
    <w:rsid w:val="00F65A80"/>
    <w:rsid w:val="00F669B1"/>
    <w:rsid w:val="00F674D9"/>
    <w:rsid w:val="00F67665"/>
    <w:rsid w:val="00F72468"/>
    <w:rsid w:val="00F73F5B"/>
    <w:rsid w:val="00F74290"/>
    <w:rsid w:val="00F752F0"/>
    <w:rsid w:val="00F769EB"/>
    <w:rsid w:val="00F8066D"/>
    <w:rsid w:val="00F82B31"/>
    <w:rsid w:val="00F82C72"/>
    <w:rsid w:val="00F83753"/>
    <w:rsid w:val="00F83E7D"/>
    <w:rsid w:val="00F86088"/>
    <w:rsid w:val="00F8644A"/>
    <w:rsid w:val="00F87B25"/>
    <w:rsid w:val="00F90C62"/>
    <w:rsid w:val="00F91826"/>
    <w:rsid w:val="00F926C9"/>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2439"/>
    <w:rsid w:val="00FA24C2"/>
    <w:rsid w:val="00FA2544"/>
    <w:rsid w:val="00FA27E8"/>
    <w:rsid w:val="00FA2937"/>
    <w:rsid w:val="00FA2C72"/>
    <w:rsid w:val="00FA2CCD"/>
    <w:rsid w:val="00FA3D70"/>
    <w:rsid w:val="00FA4237"/>
    <w:rsid w:val="00FA4243"/>
    <w:rsid w:val="00FA5CFC"/>
    <w:rsid w:val="00FA6157"/>
    <w:rsid w:val="00FA6DB5"/>
    <w:rsid w:val="00FA7BB3"/>
    <w:rsid w:val="00FA7C8B"/>
    <w:rsid w:val="00FB0B7E"/>
    <w:rsid w:val="00FB23BB"/>
    <w:rsid w:val="00FB2AE1"/>
    <w:rsid w:val="00FB2D2E"/>
    <w:rsid w:val="00FB4B76"/>
    <w:rsid w:val="00FB5104"/>
    <w:rsid w:val="00FB5AE8"/>
    <w:rsid w:val="00FB6929"/>
    <w:rsid w:val="00FB6969"/>
    <w:rsid w:val="00FB772A"/>
    <w:rsid w:val="00FB7796"/>
    <w:rsid w:val="00FB7A70"/>
    <w:rsid w:val="00FB7CCF"/>
    <w:rsid w:val="00FB7D87"/>
    <w:rsid w:val="00FC0A50"/>
    <w:rsid w:val="00FC12FA"/>
    <w:rsid w:val="00FC1B8C"/>
    <w:rsid w:val="00FC33BD"/>
    <w:rsid w:val="00FC38F9"/>
    <w:rsid w:val="00FC3965"/>
    <w:rsid w:val="00FC3F72"/>
    <w:rsid w:val="00FC405C"/>
    <w:rsid w:val="00FC40C0"/>
    <w:rsid w:val="00FC52AF"/>
    <w:rsid w:val="00FC663D"/>
    <w:rsid w:val="00FC6E86"/>
    <w:rsid w:val="00FC745E"/>
    <w:rsid w:val="00FC7519"/>
    <w:rsid w:val="00FC7F84"/>
    <w:rsid w:val="00FD03B6"/>
    <w:rsid w:val="00FD10B8"/>
    <w:rsid w:val="00FD20B3"/>
    <w:rsid w:val="00FD747C"/>
    <w:rsid w:val="00FD7A62"/>
    <w:rsid w:val="00FD7EBC"/>
    <w:rsid w:val="00FE0194"/>
    <w:rsid w:val="00FE02D8"/>
    <w:rsid w:val="00FE05BE"/>
    <w:rsid w:val="00FE0969"/>
    <w:rsid w:val="00FE09EE"/>
    <w:rsid w:val="00FE17F0"/>
    <w:rsid w:val="00FE1D17"/>
    <w:rsid w:val="00FE3940"/>
    <w:rsid w:val="00FE3A0A"/>
    <w:rsid w:val="00FE3A1A"/>
    <w:rsid w:val="00FE3B91"/>
    <w:rsid w:val="00FE43A4"/>
    <w:rsid w:val="00FE53F2"/>
    <w:rsid w:val="00FE5C4F"/>
    <w:rsid w:val="00FE702A"/>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6ACBB1-2458-441A-92C0-ADF2C42BE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14</Pages>
  <Words>3488</Words>
  <Characters>19189</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22632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5</cp:revision>
  <cp:lastPrinted>2022-11-14T21:04:00Z</cp:lastPrinted>
  <dcterms:created xsi:type="dcterms:W3CDTF">2022-11-14T19:40:00Z</dcterms:created>
  <dcterms:modified xsi:type="dcterms:W3CDTF">2022-11-14T21:04:00Z</dcterms:modified>
</cp:coreProperties>
</file>