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vertAnchor="page" w:horzAnchor="margin" w:tblpY="2026"/>
        <w:tblW w:w="10731" w:type="dxa"/>
        <w:tblLayout w:type="fixed"/>
        <w:tblLook w:val="04A0" w:firstRow="1" w:lastRow="0" w:firstColumn="1" w:lastColumn="0" w:noHBand="0" w:noVBand="1"/>
      </w:tblPr>
      <w:tblGrid>
        <w:gridCol w:w="3376"/>
        <w:gridCol w:w="280"/>
        <w:gridCol w:w="3456"/>
        <w:gridCol w:w="240"/>
        <w:gridCol w:w="3379"/>
      </w:tblGrid>
      <w:tr w:rsidR="00F279A9" w:rsidRPr="00F279A9" w:rsidTr="006C1D71">
        <w:trPr>
          <w:trHeight w:val="280"/>
        </w:trPr>
        <w:tc>
          <w:tcPr>
            <w:tcW w:w="36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2EC0" w:rsidRPr="004A72CF" w:rsidRDefault="00DE1B8C" w:rsidP="00F279A9">
            <w:pPr>
              <w:ind w:left="0" w:firstLine="0"/>
              <w:rPr>
                <w:rFonts w:ascii="Literata 18pt SemiBold" w:hAnsi="Literata 18pt SemiBold"/>
                <w:b/>
                <w:color w:val="404040" w:themeColor="text1" w:themeTint="BF"/>
                <w:sz w:val="28"/>
                <w:szCs w:val="28"/>
              </w:rPr>
            </w:pPr>
            <w:r>
              <w:rPr>
                <w:rFonts w:ascii="Literata 18pt SemiBold" w:hAnsi="Literata 18pt SemiBold"/>
                <w:b/>
                <w:color w:val="404040" w:themeColor="text1" w:themeTint="BF"/>
                <w:sz w:val="28"/>
                <w:szCs w:val="28"/>
              </w:rPr>
              <w:t>Saúl Alejandro Egu</w:t>
            </w:r>
            <w:r w:rsidR="00C33316">
              <w:rPr>
                <w:rFonts w:ascii="Literata 18pt SemiBold" w:hAnsi="Literata 18pt SemiBold"/>
                <w:b/>
                <w:color w:val="404040" w:themeColor="text1" w:themeTint="BF"/>
                <w:sz w:val="28"/>
                <w:szCs w:val="28"/>
              </w:rPr>
              <w:t>í</w:t>
            </w:r>
            <w:r>
              <w:rPr>
                <w:rFonts w:ascii="Literata 18pt SemiBold" w:hAnsi="Literata 18pt SemiBold"/>
                <w:b/>
                <w:color w:val="404040" w:themeColor="text1" w:themeTint="BF"/>
                <w:sz w:val="28"/>
                <w:szCs w:val="28"/>
              </w:rPr>
              <w:t xml:space="preserve">a </w:t>
            </w:r>
            <w:r w:rsidR="00C33316">
              <w:rPr>
                <w:rFonts w:ascii="Literata 18pt SemiBold" w:hAnsi="Literata 18pt SemiBold"/>
                <w:b/>
                <w:color w:val="404040" w:themeColor="text1" w:themeTint="BF"/>
                <w:sz w:val="28"/>
                <w:szCs w:val="28"/>
              </w:rPr>
              <w:t>Sánchez</w:t>
            </w:r>
          </w:p>
          <w:p w:rsidR="006C1D71" w:rsidRPr="004A72CF" w:rsidRDefault="006C1D71" w:rsidP="00F279A9">
            <w:pPr>
              <w:ind w:left="0" w:firstLine="0"/>
              <w:rPr>
                <w:rFonts w:ascii="Literata 18pt SemiBold" w:hAnsi="Literata 18pt SemiBold"/>
                <w:b/>
                <w:color w:val="404040" w:themeColor="text1" w:themeTint="BF"/>
                <w:sz w:val="28"/>
                <w:szCs w:val="28"/>
              </w:rPr>
            </w:pPr>
          </w:p>
        </w:tc>
        <w:tc>
          <w:tcPr>
            <w:tcW w:w="70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2EC0" w:rsidRPr="004A72CF" w:rsidRDefault="00502EC0" w:rsidP="00F279A9">
            <w:pPr>
              <w:ind w:left="0" w:firstLine="0"/>
              <w:rPr>
                <w:color w:val="404040" w:themeColor="text1" w:themeTint="BF"/>
              </w:rPr>
            </w:pPr>
          </w:p>
        </w:tc>
      </w:tr>
      <w:tr w:rsidR="00F279A9" w:rsidRPr="00F279A9" w:rsidTr="006C1D71">
        <w:trPr>
          <w:trHeight w:val="817"/>
        </w:trPr>
        <w:tc>
          <w:tcPr>
            <w:tcW w:w="3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6600"/>
          </w:tcPr>
          <w:p w:rsidR="00502EC0" w:rsidRPr="004A72CF" w:rsidRDefault="00227926" w:rsidP="00CA7ACE">
            <w:pPr>
              <w:shd w:val="clear" w:color="auto" w:fill="006600"/>
              <w:tabs>
                <w:tab w:val="center" w:pos="5234"/>
              </w:tabs>
              <w:spacing w:after="58" w:line="259" w:lineRule="auto"/>
              <w:ind w:left="0" w:firstLine="0"/>
              <w:rPr>
                <w:b/>
                <w:color w:val="404040" w:themeColor="text1" w:themeTint="BF"/>
                <w:sz w:val="22"/>
                <w:szCs w:val="28"/>
              </w:rPr>
            </w:pPr>
            <w:r>
              <w:rPr>
                <w:rFonts w:ascii="Literata 18pt" w:eastAsia="Gill Sans MT" w:hAnsi="Literata 18pt" w:cstheme="minorHAnsi"/>
                <w:b/>
                <w:color w:val="FFFFFF" w:themeColor="background1"/>
                <w:sz w:val="22"/>
                <w:szCs w:val="28"/>
              </w:rPr>
              <w:t>Sub</w:t>
            </w:r>
            <w:r w:rsidR="00DE1B8C">
              <w:rPr>
                <w:rFonts w:ascii="Literata 18pt" w:eastAsia="Gill Sans MT" w:hAnsi="Literata 18pt" w:cstheme="minorHAnsi"/>
                <w:b/>
                <w:color w:val="FFFFFF" w:themeColor="background1"/>
                <w:sz w:val="22"/>
                <w:szCs w:val="28"/>
              </w:rPr>
              <w:t>director Regional Zona Altiplano</w:t>
            </w:r>
          </w:p>
        </w:tc>
        <w:tc>
          <w:tcPr>
            <w:tcW w:w="70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2EC0" w:rsidRPr="004A72CF" w:rsidRDefault="00502EC0" w:rsidP="00F279A9">
            <w:pPr>
              <w:ind w:left="0" w:firstLine="0"/>
              <w:jc w:val="both"/>
              <w:rPr>
                <w:color w:val="404040" w:themeColor="text1" w:themeTint="BF"/>
              </w:rPr>
            </w:pPr>
          </w:p>
        </w:tc>
      </w:tr>
      <w:tr w:rsidR="00F279A9" w:rsidRPr="00F279A9" w:rsidTr="006C1D71">
        <w:trPr>
          <w:trHeight w:val="238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</w:tcPr>
          <w:p w:rsidR="00F279A9" w:rsidRPr="004A72CF" w:rsidRDefault="00F279A9" w:rsidP="000B2E0B">
            <w:pPr>
              <w:spacing w:after="0" w:line="259" w:lineRule="auto"/>
              <w:ind w:left="0" w:firstLine="0"/>
              <w:jc w:val="both"/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</w:pPr>
          </w:p>
          <w:p w:rsidR="006B0CBB" w:rsidRPr="004A72CF" w:rsidRDefault="006B0CBB" w:rsidP="000B2E0B">
            <w:pPr>
              <w:spacing w:after="0" w:line="259" w:lineRule="auto"/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 w:rsidRPr="004A72CF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>Formación Académica:</w:t>
            </w:r>
            <w:r w:rsidR="002423FD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 xml:space="preserve"> </w:t>
            </w:r>
            <w:r w:rsidR="00F7621C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 xml:space="preserve"> 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6B0CBB" w:rsidRPr="004A72CF" w:rsidRDefault="006B0CBB" w:rsidP="000B2E0B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456" w:type="dxa"/>
            <w:tcBorders>
              <w:top w:val="nil"/>
              <w:left w:val="nil"/>
              <w:bottom w:val="nil"/>
              <w:right w:val="nil"/>
            </w:tcBorders>
          </w:tcPr>
          <w:p w:rsidR="00F279A9" w:rsidRPr="004A72CF" w:rsidRDefault="00F279A9" w:rsidP="000B2E0B">
            <w:pPr>
              <w:ind w:left="0" w:firstLine="0"/>
              <w:jc w:val="both"/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</w:pPr>
          </w:p>
          <w:p w:rsidR="002423FD" w:rsidRPr="004A72CF" w:rsidRDefault="006B0CBB" w:rsidP="000B2E0B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 w:rsidRPr="004A72CF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>Experiencia laboral:</w:t>
            </w:r>
            <w:r w:rsidR="00F7621C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:rsidR="006B0CBB" w:rsidRPr="004A72CF" w:rsidRDefault="006B0CBB" w:rsidP="000B2E0B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</w:tcPr>
          <w:p w:rsidR="00F279A9" w:rsidRPr="004A72CF" w:rsidRDefault="00F279A9" w:rsidP="000B2E0B">
            <w:pPr>
              <w:spacing w:after="0" w:line="259" w:lineRule="auto"/>
              <w:ind w:left="0" w:firstLine="0"/>
              <w:jc w:val="both"/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</w:pPr>
          </w:p>
          <w:p w:rsidR="002423FD" w:rsidRPr="004A72CF" w:rsidRDefault="006B0CBB" w:rsidP="000B2E0B">
            <w:pPr>
              <w:spacing w:after="0" w:line="259" w:lineRule="auto"/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 w:rsidRPr="004A72CF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>Cursos recibidos:</w:t>
            </w:r>
          </w:p>
        </w:tc>
      </w:tr>
      <w:tr w:rsidR="00F279A9" w:rsidRPr="00F279A9" w:rsidTr="006C1D71">
        <w:trPr>
          <w:trHeight w:val="817"/>
        </w:trPr>
        <w:tc>
          <w:tcPr>
            <w:tcW w:w="33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64168" w:rsidRDefault="00364168" w:rsidP="000B2E0B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364168">
              <w:rPr>
                <w:rFonts w:ascii="Literata 18pt Light" w:hAnsi="Literata 18pt Light"/>
                <w:color w:val="3B3838" w:themeColor="background2" w:themeShade="40"/>
              </w:rPr>
              <w:t xml:space="preserve">Licenciatura como Abogado en la </w:t>
            </w:r>
            <w:r w:rsidR="00DE1B8C">
              <w:rPr>
                <w:rFonts w:ascii="Literata 18pt Light" w:hAnsi="Literata 18pt Light"/>
                <w:color w:val="3B3838" w:themeColor="background2" w:themeShade="40"/>
              </w:rPr>
              <w:t>Universidad Cuauhtémoc Campus San Luis Potosí</w:t>
            </w:r>
            <w:r w:rsidRPr="00364168">
              <w:rPr>
                <w:rFonts w:ascii="Literata 18pt Light" w:hAnsi="Literata 18pt Light"/>
                <w:color w:val="3B3838" w:themeColor="background2" w:themeShade="40"/>
              </w:rPr>
              <w:t xml:space="preserve">, de </w:t>
            </w:r>
            <w:r w:rsidR="00DE1B8C">
              <w:rPr>
                <w:rFonts w:ascii="Literata 18pt Light" w:hAnsi="Literata 18pt Light"/>
                <w:color w:val="3B3838" w:themeColor="background2" w:themeShade="40"/>
              </w:rPr>
              <w:t>2012-2016</w:t>
            </w:r>
            <w:r w:rsidRPr="00364168">
              <w:rPr>
                <w:rFonts w:ascii="Literata 18pt Light" w:hAnsi="Literata 18pt Light"/>
                <w:color w:val="3B3838" w:themeColor="background2" w:themeShade="40"/>
              </w:rPr>
              <w:t>.</w:t>
            </w:r>
          </w:p>
          <w:p w:rsidR="00364168" w:rsidRPr="00364168" w:rsidRDefault="00364168" w:rsidP="000B2E0B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4877D8" w:rsidRPr="00C33316" w:rsidRDefault="004877D8" w:rsidP="000B2E0B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C2444E" w:rsidRPr="00C2444E" w:rsidRDefault="00C2444E" w:rsidP="000B2E0B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294985" w:rsidRPr="00C33316" w:rsidRDefault="00294985" w:rsidP="000B2E0B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Pr="004A72CF" w:rsidRDefault="004877D8" w:rsidP="000B2E0B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45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33316" w:rsidRDefault="00C33316" w:rsidP="000B2E0B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C33316">
              <w:rPr>
                <w:rFonts w:ascii="Literata 18pt Light" w:hAnsi="Literata 18pt Light"/>
                <w:color w:val="3B3838" w:themeColor="background2" w:themeShade="40"/>
              </w:rPr>
              <w:t xml:space="preserve">Septiembre 2013 - abril del 2014 – Servicio Social en la Central de Actuarios del Poder Judicial Del Estado de San Luis Potosí. </w:t>
            </w:r>
          </w:p>
          <w:p w:rsidR="00C33316" w:rsidRDefault="00C33316" w:rsidP="000B2E0B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C33316" w:rsidRDefault="00C33316" w:rsidP="000B2E0B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C33316">
              <w:rPr>
                <w:rFonts w:ascii="Literata 18pt Light" w:hAnsi="Literata 18pt Light"/>
                <w:color w:val="3B3838" w:themeColor="background2" w:themeShade="40"/>
              </w:rPr>
              <w:t xml:space="preserve">Agosto 2014 - febrero del 2016 – Trabajador Administrativo en el CETIS 125, en área de Prefectura, y auxiliar de Manteamiento General en el horario matutino y vespertino. </w:t>
            </w:r>
          </w:p>
          <w:p w:rsidR="00C33316" w:rsidRDefault="00C33316" w:rsidP="000B2E0B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C33316" w:rsidRDefault="00C33316" w:rsidP="000B2E0B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C33316">
              <w:rPr>
                <w:rFonts w:ascii="Literata 18pt Light" w:hAnsi="Literata 18pt Light"/>
                <w:color w:val="3B3838" w:themeColor="background2" w:themeShade="40"/>
              </w:rPr>
              <w:t xml:space="preserve">Marzo 2016 - Julio del 2016 – Servicio Social en el área de Titulación del CETIS 125, gestionando tramites, administrativos, titulación y papeleo ante la Secretaria de Educación Pública (SEP). </w:t>
            </w:r>
          </w:p>
          <w:p w:rsidR="00C33316" w:rsidRDefault="00C33316" w:rsidP="000B2E0B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C33316" w:rsidRDefault="00C33316" w:rsidP="000B2E0B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C33316">
              <w:rPr>
                <w:rFonts w:ascii="Literata 18pt Light" w:hAnsi="Literata 18pt Light"/>
                <w:color w:val="3B3838" w:themeColor="background2" w:themeShade="40"/>
              </w:rPr>
              <w:t xml:space="preserve">Agosto 2016 - junio del 2017 – Auxiliar Jurídico del Despacho Eguía &amp; Asociados a cargo del Magistrado en retiro Lic. Álvaro Eguía Romero. </w:t>
            </w:r>
          </w:p>
          <w:p w:rsidR="00C33316" w:rsidRDefault="00C33316" w:rsidP="000B2E0B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C33316" w:rsidRDefault="00C33316" w:rsidP="000B2E0B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C33316">
              <w:rPr>
                <w:rFonts w:ascii="Literata 18pt Light" w:hAnsi="Literata 18pt Light"/>
                <w:color w:val="3B3838" w:themeColor="background2" w:themeShade="40"/>
              </w:rPr>
              <w:t xml:space="preserve">Junio 2017 - marzo del 2018 - Oficial Judicial adscrito a la Tercera Región Judicial del Estado con sede en Rio verde, dentro del </w:t>
            </w:r>
            <w:r w:rsidRPr="00C33316">
              <w:rPr>
                <w:rFonts w:ascii="Literata 18pt Light" w:hAnsi="Literata 18pt Light"/>
                <w:color w:val="3B3838" w:themeColor="background2" w:themeShade="40"/>
              </w:rPr>
              <w:lastRenderedPageBreak/>
              <w:t xml:space="preserve">Sistema Penal Acusatorio y Oral del Supremo Tribunal de Justicia del Estado. </w:t>
            </w:r>
          </w:p>
          <w:p w:rsidR="00C33316" w:rsidRDefault="00C33316" w:rsidP="000B2E0B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C33316" w:rsidRDefault="00C33316" w:rsidP="000B2E0B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C33316">
              <w:rPr>
                <w:rFonts w:ascii="Literata 18pt Light" w:hAnsi="Literata 18pt Light"/>
                <w:color w:val="3B3838" w:themeColor="background2" w:themeShade="40"/>
              </w:rPr>
              <w:t xml:space="preserve">Marzo 2018 – febrero del 2020 - Auxiliar de Causa, adscrito al Centro Integral de Justicia Penal con Sede en San Luis Potosí, con especial énfasis en el área de Amparo. </w:t>
            </w:r>
          </w:p>
          <w:p w:rsidR="00C33316" w:rsidRDefault="00C33316" w:rsidP="000B2E0B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4877D8" w:rsidRPr="004A72CF" w:rsidRDefault="00C33316" w:rsidP="003C5E33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 w:rsidRPr="00C33316">
              <w:rPr>
                <w:rFonts w:ascii="Literata 18pt Light" w:hAnsi="Literata 18pt Light"/>
                <w:color w:val="3B3838" w:themeColor="background2" w:themeShade="40"/>
              </w:rPr>
              <w:t xml:space="preserve">Marzo del 2020 – </w:t>
            </w:r>
            <w:r>
              <w:rPr>
                <w:rFonts w:ascii="Literata 18pt Light" w:hAnsi="Literata 18pt Light"/>
                <w:color w:val="3B3838" w:themeColor="background2" w:themeShade="40"/>
              </w:rPr>
              <w:t>Octubre del 2021</w:t>
            </w:r>
            <w:r w:rsidRPr="00C33316">
              <w:rPr>
                <w:rFonts w:ascii="Literata 18pt Light" w:hAnsi="Literata 18pt Light"/>
                <w:color w:val="3B3838" w:themeColor="background2" w:themeShade="40"/>
              </w:rPr>
              <w:t xml:space="preserve"> – Operador de Sala, Adscrito Centro Integral de Justicia Penal con Sede en la Primera Región Judicial del Estado, S.L.P., en funciones de Encargado de </w:t>
            </w:r>
            <w:r w:rsidR="003C5E33">
              <w:rPr>
                <w:rFonts w:ascii="Literata 18pt Light" w:hAnsi="Literata 18pt Light"/>
                <w:color w:val="3B3838" w:themeColor="background2" w:themeShade="40"/>
              </w:rPr>
              <w:t>S</w:t>
            </w:r>
            <w:r w:rsidRPr="00C33316">
              <w:rPr>
                <w:rFonts w:ascii="Literata 18pt Light" w:hAnsi="Literata 18pt Light"/>
                <w:color w:val="3B3838" w:themeColor="background2" w:themeShade="40"/>
              </w:rPr>
              <w:t>ala del Tribunal Especializado Justicia Penal para Adolescentes del Estado de San Luis Potosí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Pr="004A72CF" w:rsidRDefault="004877D8" w:rsidP="000B2E0B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37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33316" w:rsidRDefault="00C33316" w:rsidP="000B2E0B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C33316">
              <w:rPr>
                <w:rFonts w:ascii="Literata 18pt Light" w:hAnsi="Literata 18pt Light"/>
                <w:color w:val="3B3838" w:themeColor="background2" w:themeShade="40"/>
              </w:rPr>
              <w:t xml:space="preserve">22 y 23 de mayo del 2014 – 1er. Foro Nacional de Jóvenes estudiantes de Derecho, impartido por la Universidad Autónoma de San Luis Potosí. </w:t>
            </w:r>
          </w:p>
          <w:p w:rsidR="00C33316" w:rsidRDefault="00C33316" w:rsidP="000B2E0B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C33316" w:rsidRDefault="00C33316" w:rsidP="000B2E0B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C33316">
              <w:rPr>
                <w:rFonts w:ascii="Literata 18pt Light" w:hAnsi="Literata 18pt Light"/>
                <w:color w:val="3B3838" w:themeColor="background2" w:themeShade="40"/>
              </w:rPr>
              <w:t>22 al 24 de abril del 2016 – “1° foro Nacional de Mediación Privada”, impartido por el Colegio de Mediadores de San Luis Potosí.</w:t>
            </w:r>
          </w:p>
          <w:p w:rsidR="00C33316" w:rsidRDefault="00C33316" w:rsidP="000B2E0B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C33316" w:rsidRDefault="00C33316" w:rsidP="000B2E0B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C33316">
              <w:rPr>
                <w:rFonts w:ascii="Literata 18pt Light" w:hAnsi="Literata 18pt Light"/>
                <w:color w:val="3B3838" w:themeColor="background2" w:themeShade="40"/>
              </w:rPr>
              <w:t xml:space="preserve"> 9 y 10 de diciembre del 2016 – Curso “Audiencia Inicial” – impartido por el Despacho Eguia&amp;Asociados y el Instituto de Capacitación Policial y Profesional a cargo del Mtro. Marco Polo Méndez Alonso.</w:t>
            </w:r>
          </w:p>
          <w:p w:rsidR="00C33316" w:rsidRDefault="00C33316" w:rsidP="000B2E0B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C33316" w:rsidRDefault="00C33316" w:rsidP="000B2E0B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C33316">
              <w:rPr>
                <w:rFonts w:ascii="Literata 18pt Light" w:hAnsi="Literata 18pt Light"/>
                <w:color w:val="3B3838" w:themeColor="background2" w:themeShade="40"/>
              </w:rPr>
              <w:t xml:space="preserve">20, 21, 27 y 28 – Curso “Divorcio Incausado y alienación Parental”, impartido por el Instituto de Capacitación Jurídica Integral de San Luis S.C. (ICAJUR). </w:t>
            </w:r>
          </w:p>
          <w:p w:rsidR="003C5E33" w:rsidRDefault="003C5E33" w:rsidP="000B2E0B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CE7391" w:rsidRPr="00364168" w:rsidRDefault="00CE7391" w:rsidP="00CE7391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>
              <w:rPr>
                <w:rFonts w:ascii="Literata 18pt Light" w:hAnsi="Literata 18pt Light"/>
                <w:color w:val="3B3838" w:themeColor="background2" w:themeShade="40"/>
              </w:rPr>
              <w:t>Diplomado en Criminología y Criminalística, impartida por el área de especialidades de la Universidad Cuauhtémoc, Campus, S.L.P., de 2016-2017</w:t>
            </w:r>
            <w:r>
              <w:rPr>
                <w:rFonts w:ascii="Literata 18pt Light" w:hAnsi="Literata 18pt Light"/>
                <w:color w:val="3B3838" w:themeColor="background2" w:themeShade="40"/>
              </w:rPr>
              <w:t xml:space="preserve"> </w:t>
            </w:r>
            <w:bookmarkStart w:id="0" w:name="_GoBack"/>
            <w:bookmarkEnd w:id="0"/>
            <w:r>
              <w:rPr>
                <w:rFonts w:ascii="Literata 18pt Light" w:hAnsi="Literata 18pt Light"/>
                <w:color w:val="3B3838" w:themeColor="background2" w:themeShade="40"/>
              </w:rPr>
              <w:t xml:space="preserve"> </w:t>
            </w:r>
          </w:p>
          <w:p w:rsidR="00CE7391" w:rsidRDefault="00CE7391" w:rsidP="000B2E0B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CE7391" w:rsidRDefault="00CE7391" w:rsidP="000B2E0B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C33316" w:rsidRDefault="00C33316" w:rsidP="000B2E0B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C33316">
              <w:rPr>
                <w:rFonts w:ascii="Literata 18pt Light" w:hAnsi="Literata 18pt Light"/>
                <w:color w:val="3B3838" w:themeColor="background2" w:themeShade="40"/>
              </w:rPr>
              <w:t xml:space="preserve">3 al 8 de diciembre del 2018 – Curso “Destrezas de Litigio Oral”, impartido por el Instituto Nacional de Ciencias Penales (INACIPE) y el Poder Judicial del Estado de San Luis Potosí. </w:t>
            </w:r>
          </w:p>
          <w:p w:rsidR="00C33316" w:rsidRDefault="00C33316" w:rsidP="000B2E0B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C33316" w:rsidRDefault="00C33316" w:rsidP="000B2E0B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C33316">
              <w:rPr>
                <w:rFonts w:ascii="Literata 18pt Light" w:hAnsi="Literata 18pt Light"/>
                <w:color w:val="3B3838" w:themeColor="background2" w:themeShade="40"/>
              </w:rPr>
              <w:t xml:space="preserve">20 al 24 de mayo del 2019 – Curso en “Derechos Humanos Internacionales, Resoluciones Orales y Valoración de Prueba”, impartido por la Universidad de Ottawa, Canadá, en conjunto con los Poderes Judiciales del Estado de México, Chiapas y San Luis Potosí. </w:t>
            </w:r>
          </w:p>
          <w:p w:rsidR="00C33316" w:rsidRDefault="00C33316" w:rsidP="000B2E0B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C33316" w:rsidRDefault="00C33316" w:rsidP="000B2E0B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C33316">
              <w:rPr>
                <w:rFonts w:ascii="Literata 18pt Light" w:hAnsi="Literata 18pt Light"/>
                <w:color w:val="3B3838" w:themeColor="background2" w:themeShade="40"/>
              </w:rPr>
              <w:t xml:space="preserve">Octubre 21, 22, 23 Y 24 de octubre del 2019 - Jornada de Derechos Humanos </w:t>
            </w:r>
          </w:p>
          <w:p w:rsidR="00C33316" w:rsidRDefault="00C33316" w:rsidP="000B2E0B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C33316" w:rsidRDefault="00C33316" w:rsidP="000B2E0B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C33316">
              <w:rPr>
                <w:rFonts w:ascii="Literata 18pt Light" w:hAnsi="Literata 18pt Light"/>
                <w:color w:val="3B3838" w:themeColor="background2" w:themeShade="40"/>
              </w:rPr>
              <w:t xml:space="preserve">“Las Personas Indígenas en la Suprema Corte”. </w:t>
            </w:r>
          </w:p>
          <w:p w:rsidR="00C33316" w:rsidRDefault="00C33316" w:rsidP="000B2E0B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C33316" w:rsidRDefault="00C33316" w:rsidP="000B2E0B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C33316">
              <w:rPr>
                <w:rFonts w:ascii="Literata 18pt Light" w:hAnsi="Literata 18pt Light"/>
                <w:color w:val="3B3838" w:themeColor="background2" w:themeShade="40"/>
              </w:rPr>
              <w:t xml:space="preserve">Agosto - noviembre 2019 – Diplomado en Materia de Amparo impartido por la Suprema Corte de Justicia de la Nación por medio de la Casa De La Cultura Jurídica "Ministro Antonio Rocha Cordero". </w:t>
            </w:r>
          </w:p>
          <w:p w:rsidR="00C33316" w:rsidRDefault="00C33316" w:rsidP="000B2E0B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C33316" w:rsidRDefault="00C33316" w:rsidP="000B2E0B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C33316">
              <w:rPr>
                <w:rFonts w:ascii="Literata 18pt Light" w:hAnsi="Literata 18pt Light"/>
                <w:color w:val="3B3838" w:themeColor="background2" w:themeShade="40"/>
              </w:rPr>
              <w:t xml:space="preserve"> Agosto 2020 – Curso virtual de “Convencionalidad y el Juicio de Amparo” impartida por el Mtro. Carlos Morales Sánchez, expedido por la Benemérita Universidad de </w:t>
            </w:r>
            <w:r w:rsidRPr="00C33316">
              <w:rPr>
                <w:rFonts w:ascii="Literata 18pt Light" w:hAnsi="Literata 18pt Light"/>
                <w:color w:val="3B3838" w:themeColor="background2" w:themeShade="40"/>
              </w:rPr>
              <w:lastRenderedPageBreak/>
              <w:t>Oaxaca (BUO).</w:t>
            </w:r>
          </w:p>
          <w:p w:rsidR="00C33316" w:rsidRDefault="00C33316" w:rsidP="000B2E0B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C33316" w:rsidRDefault="00C33316" w:rsidP="000B2E0B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C33316">
              <w:rPr>
                <w:rFonts w:ascii="Literata 18pt Light" w:hAnsi="Literata 18pt Light"/>
                <w:color w:val="3B3838" w:themeColor="background2" w:themeShade="40"/>
              </w:rPr>
              <w:t xml:space="preserve"> Julio 2020 – Participación en el simposio “Mecanismos de Solución de Controversias, prevención del delito y Cultura de la Paz” – impartida por la Universidad Autónoma de San Luis potosí a través de la Facultad de Derecho “Abogado Ponciano Arriaga Leija” en conjunto con la COMFAMASC A.C. </w:t>
            </w:r>
          </w:p>
          <w:p w:rsidR="00C33316" w:rsidRDefault="00C33316" w:rsidP="000B2E0B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C33316" w:rsidRDefault="00C33316" w:rsidP="000B2E0B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C33316">
              <w:rPr>
                <w:rFonts w:ascii="Literata 18pt Light" w:hAnsi="Literata 18pt Light"/>
                <w:color w:val="3B3838" w:themeColor="background2" w:themeShade="40"/>
              </w:rPr>
              <w:t>3, 17 y 31 de mayo 2021 – Curso Mecanismos Alternos de Solución de Controversias – Impartido por el Instituto de Estudios Judiciales, Promoción y Desarrollo de los Derechos Humanos del Consejo de la Judicatura de San Luis Potosí.</w:t>
            </w:r>
          </w:p>
          <w:p w:rsidR="00C33316" w:rsidRDefault="00C33316" w:rsidP="000B2E0B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C33316" w:rsidRDefault="00C33316" w:rsidP="000B2E0B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C33316">
              <w:rPr>
                <w:rFonts w:ascii="Literata 18pt Light" w:hAnsi="Literata 18pt Light"/>
                <w:color w:val="3B3838" w:themeColor="background2" w:themeShade="40"/>
              </w:rPr>
              <w:t xml:space="preserve">15 enero del 2021 – Curso “Autoría mediata por aparatos Organizados de Poder”, impartida por el Dr. Ernesto López Saure, en el marco de ciclos de cursos “De Penalistas a Penalistas” por la Benemérita Universidad de Oaxaca. </w:t>
            </w:r>
          </w:p>
          <w:p w:rsidR="00C33316" w:rsidRDefault="00C33316" w:rsidP="000B2E0B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C33316" w:rsidRDefault="00C33316" w:rsidP="000B2E0B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C33316">
              <w:rPr>
                <w:rFonts w:ascii="Literata 18pt Light" w:hAnsi="Literata 18pt Light"/>
                <w:color w:val="3B3838" w:themeColor="background2" w:themeShade="40"/>
              </w:rPr>
              <w:t xml:space="preserve">25 de junio del 2021 – Participación en el Conversatorio “Los nuevos paradigmas del derecho de Ejecución Penal” impartido por el Mtro. Luis Raúl Hernández Avendaño, por la Benemérita Universidad de Oaxaca. </w:t>
            </w:r>
          </w:p>
          <w:p w:rsidR="00C33316" w:rsidRDefault="00C33316" w:rsidP="000B2E0B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6C1D71" w:rsidRPr="000B2E0B" w:rsidRDefault="00C33316" w:rsidP="000B2E0B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C33316">
              <w:rPr>
                <w:rFonts w:ascii="Literata 18pt Light" w:hAnsi="Literata 18pt Light"/>
                <w:color w:val="3B3838" w:themeColor="background2" w:themeShade="40"/>
              </w:rPr>
              <w:t>15 julio 2021 – Conferencia Magistral “Medios de Control Constitucional en México: La acción de Inconstitucionalidad. Su rediseño” impartida por el Mtro. Juan Pablo Gómez Fierro, Juez del Juzgado Segundo de Distrito en Materia Administrativa Especializado en “Competencia Económica, Radiodifusión y Telecomunicaciones”</w:t>
            </w:r>
          </w:p>
        </w:tc>
      </w:tr>
    </w:tbl>
    <w:p w:rsidR="00A9552B" w:rsidRPr="006B0CBB" w:rsidRDefault="00A9552B" w:rsidP="00A9552B">
      <w:pPr>
        <w:ind w:left="0" w:firstLine="0"/>
      </w:pPr>
    </w:p>
    <w:sectPr w:rsidR="00A9552B" w:rsidRPr="006B0CBB" w:rsidSect="006B0CBB">
      <w:headerReference w:type="default" r:id="rId7"/>
      <w:footerReference w:type="default" r:id="rId8"/>
      <w:pgSz w:w="12240" w:h="15840" w:code="1"/>
      <w:pgMar w:top="1985" w:right="825" w:bottom="709" w:left="720" w:header="142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1D87" w:rsidRDefault="00161D87" w:rsidP="00B809E0">
      <w:pPr>
        <w:spacing w:after="0"/>
      </w:pPr>
      <w:r>
        <w:separator/>
      </w:r>
    </w:p>
  </w:endnote>
  <w:endnote w:type="continuationSeparator" w:id="0">
    <w:p w:rsidR="00161D87" w:rsidRDefault="00161D87" w:rsidP="00B809E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 18pt SemiBold">
    <w:altName w:val="Times New Roman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Literata 18pt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Literata 18pt Light">
    <w:altName w:val="Times New Roman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79A9" w:rsidRDefault="00F279A9" w:rsidP="00B809E0">
    <w:pPr>
      <w:pStyle w:val="Piedepgina"/>
      <w:jc w:val="both"/>
      <w:rPr>
        <w:rFonts w:eastAsia="Times New Roman"/>
        <w:i/>
        <w:color w:val="FFFFFF" w:themeColor="background1"/>
        <w:sz w:val="16"/>
        <w:szCs w:val="16"/>
        <w:highlight w:val="black"/>
      </w:rPr>
    </w:pPr>
    <w:r>
      <w:rPr>
        <w:i/>
        <w:noProof/>
      </w:rPr>
      <w:drawing>
        <wp:inline distT="0" distB="0" distL="0" distR="0" wp14:anchorId="72485E21" wp14:editId="5D5007C8">
          <wp:extent cx="6734175" cy="150495"/>
          <wp:effectExtent l="0" t="0" r="9525" b="1905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inea horizonta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35760" cy="1505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B809E0" w:rsidRPr="00F279A9" w:rsidRDefault="00B809E0" w:rsidP="006C1D71">
    <w:pPr>
      <w:pStyle w:val="Piedepgina"/>
      <w:shd w:val="clear" w:color="auto" w:fill="006600"/>
      <w:jc w:val="both"/>
      <w:rPr>
        <w:rFonts w:ascii="Literata 18pt" w:hAnsi="Literata 18pt"/>
        <w:i/>
      </w:rPr>
    </w:pP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Ley de Transparencia y Acceso a la Información Pública del Estado de San Luis Potosí, aprobada el 04 de mayo de 2016. Última reforma public</w:t>
    </w:r>
    <w:r w:rsidR="005634FB">
      <w:rPr>
        <w:rFonts w:ascii="Literata 18pt" w:eastAsia="Times New Roman" w:hAnsi="Literata 18pt"/>
        <w:i/>
        <w:color w:val="FFFFFF" w:themeColor="background1"/>
        <w:sz w:val="16"/>
        <w:szCs w:val="16"/>
      </w:rPr>
      <w:t>ada en el Periódico Oficial el 0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 xml:space="preserve">5 de </w:t>
    </w:r>
    <w:r w:rsidR="005634FB">
      <w:rPr>
        <w:rFonts w:ascii="Literata 18pt" w:eastAsia="Times New Roman" w:hAnsi="Literata 18pt"/>
        <w:i/>
        <w:color w:val="FFFFFF" w:themeColor="background1"/>
        <w:sz w:val="16"/>
        <w:szCs w:val="16"/>
      </w:rPr>
      <w:t>junio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 xml:space="preserve"> de 20</w:t>
    </w:r>
    <w:r w:rsidR="00B422AB"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2</w:t>
    </w:r>
    <w:r w:rsidR="005634FB">
      <w:rPr>
        <w:rFonts w:ascii="Literata 18pt" w:eastAsia="Times New Roman" w:hAnsi="Literata 18pt"/>
        <w:i/>
        <w:color w:val="FFFFFF" w:themeColor="background1"/>
        <w:sz w:val="16"/>
        <w:szCs w:val="16"/>
      </w:rPr>
      <w:t>1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1D87" w:rsidRDefault="00161D87" w:rsidP="00B809E0">
      <w:pPr>
        <w:spacing w:after="0"/>
      </w:pPr>
      <w:r>
        <w:separator/>
      </w:r>
    </w:p>
  </w:footnote>
  <w:footnote w:type="continuationSeparator" w:id="0">
    <w:p w:rsidR="00161D87" w:rsidRDefault="00161D87" w:rsidP="00B809E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151D" w:rsidRDefault="0056151D">
    <w:pPr>
      <w:pStyle w:val="Encabezado"/>
    </w:pPr>
  </w:p>
  <w:p w:rsidR="00F279A9" w:rsidRDefault="00F279A9">
    <w:pPr>
      <w:pStyle w:val="Encabezado"/>
    </w:pPr>
  </w:p>
  <w:p w:rsidR="00F279A9" w:rsidRDefault="00F279A9">
    <w:pPr>
      <w:pStyle w:val="Encabezado"/>
    </w:pPr>
    <w:r>
      <w:rPr>
        <w:noProof/>
      </w:rPr>
      <w:drawing>
        <wp:inline distT="0" distB="0" distL="0" distR="0" wp14:anchorId="3D4C889C" wp14:editId="3C21AD3A">
          <wp:extent cx="4081280" cy="810770"/>
          <wp:effectExtent l="0" t="0" r="0" b="889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fondo blanc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81280" cy="8107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81155C"/>
    <w:multiLevelType w:val="hybridMultilevel"/>
    <w:tmpl w:val="BD1086DE"/>
    <w:lvl w:ilvl="0" w:tplc="D7E2BB02">
      <w:numFmt w:val="bullet"/>
      <w:lvlText w:val="-"/>
      <w:lvlJc w:val="left"/>
      <w:pPr>
        <w:ind w:left="915" w:hanging="360"/>
      </w:pPr>
      <w:rPr>
        <w:rFonts w:ascii="Calibri" w:eastAsia="Calibri" w:hAnsi="Calibri" w:cs="Calibri" w:hint="default"/>
      </w:rPr>
    </w:lvl>
    <w:lvl w:ilvl="1" w:tplc="080A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54E"/>
    <w:rsid w:val="00004530"/>
    <w:rsid w:val="000046B2"/>
    <w:rsid w:val="000801E7"/>
    <w:rsid w:val="000B2E0B"/>
    <w:rsid w:val="000C0326"/>
    <w:rsid w:val="00121D89"/>
    <w:rsid w:val="00156E33"/>
    <w:rsid w:val="00161D87"/>
    <w:rsid w:val="00192B72"/>
    <w:rsid w:val="00210F4C"/>
    <w:rsid w:val="0021397A"/>
    <w:rsid w:val="00227926"/>
    <w:rsid w:val="002423FD"/>
    <w:rsid w:val="00254BC1"/>
    <w:rsid w:val="00287816"/>
    <w:rsid w:val="00290043"/>
    <w:rsid w:val="00294985"/>
    <w:rsid w:val="002C5AE1"/>
    <w:rsid w:val="002C7F01"/>
    <w:rsid w:val="002E79C3"/>
    <w:rsid w:val="003531AE"/>
    <w:rsid w:val="0036015E"/>
    <w:rsid w:val="003607BA"/>
    <w:rsid w:val="00364168"/>
    <w:rsid w:val="0036693C"/>
    <w:rsid w:val="00385AA6"/>
    <w:rsid w:val="00390BE5"/>
    <w:rsid w:val="00391FC6"/>
    <w:rsid w:val="003C5E33"/>
    <w:rsid w:val="004328E2"/>
    <w:rsid w:val="00462144"/>
    <w:rsid w:val="004877D8"/>
    <w:rsid w:val="004A72CF"/>
    <w:rsid w:val="004D2565"/>
    <w:rsid w:val="004E5356"/>
    <w:rsid w:val="00502EC0"/>
    <w:rsid w:val="00514B22"/>
    <w:rsid w:val="00531CC1"/>
    <w:rsid w:val="0056151D"/>
    <w:rsid w:val="005634FB"/>
    <w:rsid w:val="0057475C"/>
    <w:rsid w:val="00590DEC"/>
    <w:rsid w:val="005E024D"/>
    <w:rsid w:val="00605AA0"/>
    <w:rsid w:val="00613E29"/>
    <w:rsid w:val="00633475"/>
    <w:rsid w:val="006435AE"/>
    <w:rsid w:val="00651381"/>
    <w:rsid w:val="00662921"/>
    <w:rsid w:val="00674BEB"/>
    <w:rsid w:val="006B0CBB"/>
    <w:rsid w:val="006B4CDC"/>
    <w:rsid w:val="006C1D71"/>
    <w:rsid w:val="006C3C8D"/>
    <w:rsid w:val="006C5521"/>
    <w:rsid w:val="00714C3D"/>
    <w:rsid w:val="00760E60"/>
    <w:rsid w:val="00761F0A"/>
    <w:rsid w:val="00781D6A"/>
    <w:rsid w:val="007C111A"/>
    <w:rsid w:val="00877A3F"/>
    <w:rsid w:val="008801ED"/>
    <w:rsid w:val="009008A3"/>
    <w:rsid w:val="00933E39"/>
    <w:rsid w:val="00941745"/>
    <w:rsid w:val="00951906"/>
    <w:rsid w:val="00993892"/>
    <w:rsid w:val="00997E87"/>
    <w:rsid w:val="009A73F2"/>
    <w:rsid w:val="00A713DA"/>
    <w:rsid w:val="00A723C6"/>
    <w:rsid w:val="00A9552B"/>
    <w:rsid w:val="00AB0327"/>
    <w:rsid w:val="00B422AB"/>
    <w:rsid w:val="00B809E0"/>
    <w:rsid w:val="00B857D3"/>
    <w:rsid w:val="00BC5314"/>
    <w:rsid w:val="00BE3284"/>
    <w:rsid w:val="00C23DC5"/>
    <w:rsid w:val="00C2444E"/>
    <w:rsid w:val="00C33316"/>
    <w:rsid w:val="00C46794"/>
    <w:rsid w:val="00C4754E"/>
    <w:rsid w:val="00CA5E0B"/>
    <w:rsid w:val="00CA7ACE"/>
    <w:rsid w:val="00CC2319"/>
    <w:rsid w:val="00CD0358"/>
    <w:rsid w:val="00CD4B15"/>
    <w:rsid w:val="00CE7391"/>
    <w:rsid w:val="00D16B13"/>
    <w:rsid w:val="00D3193B"/>
    <w:rsid w:val="00D676FA"/>
    <w:rsid w:val="00DB10E4"/>
    <w:rsid w:val="00DC41F3"/>
    <w:rsid w:val="00DE1B8C"/>
    <w:rsid w:val="00DE4872"/>
    <w:rsid w:val="00DE6918"/>
    <w:rsid w:val="00E178DF"/>
    <w:rsid w:val="00EC1758"/>
    <w:rsid w:val="00F212D6"/>
    <w:rsid w:val="00F279A9"/>
    <w:rsid w:val="00F7621C"/>
    <w:rsid w:val="00F83B4C"/>
    <w:rsid w:val="00F93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6FB7926-C4A9-4ED2-9877-17627924B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" w:line="240" w:lineRule="auto"/>
      <w:ind w:left="118" w:hanging="10"/>
    </w:pPr>
    <w:rPr>
      <w:rFonts w:ascii="Calibri" w:eastAsia="Calibri" w:hAnsi="Calibri" w:cs="Calibri"/>
      <w:color w:val="80808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E4872"/>
    <w:pPr>
      <w:ind w:left="720"/>
      <w:contextualSpacing/>
    </w:pPr>
  </w:style>
  <w:style w:type="table" w:styleId="Tablaconcuadrcula">
    <w:name w:val="Table Grid"/>
    <w:basedOn w:val="Tablanormal"/>
    <w:uiPriority w:val="39"/>
    <w:rsid w:val="00613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styleId="Piedepgina">
    <w:name w:val="footer"/>
    <w:basedOn w:val="Normal"/>
    <w:link w:val="Piedepgina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E1B8C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E1B8C"/>
    <w:rPr>
      <w:rFonts w:ascii="Tahoma" w:eastAsia="Calibri" w:hAnsi="Tahoma" w:cs="Tahoma"/>
      <w:color w:val="80808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696</Words>
  <Characters>3828</Characters>
  <Application>Microsoft Office Word</Application>
  <DocSecurity>0</DocSecurity>
  <Lines>31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Cuenta Microsoft</cp:lastModifiedBy>
  <cp:revision>8</cp:revision>
  <dcterms:created xsi:type="dcterms:W3CDTF">2021-12-03T18:15:00Z</dcterms:created>
  <dcterms:modified xsi:type="dcterms:W3CDTF">2021-12-09T18:05:00Z</dcterms:modified>
</cp:coreProperties>
</file>