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7A02" w:rsidRDefault="002012E8" w:rsidP="002012E8">
      <w:pPr>
        <w:spacing w:after="0" w:line="276" w:lineRule="auto"/>
        <w:jc w:val="both"/>
        <w:rPr>
          <w:rFonts w:ascii="Arial" w:eastAsia="Calibri" w:hAnsi="Arial" w:cs="Arial"/>
          <w:b/>
          <w:lang w:val="es-MX"/>
        </w:rPr>
      </w:pPr>
      <w:r w:rsidRPr="00FE10DF">
        <w:rPr>
          <w:rFonts w:ascii="Arial" w:eastAsia="Calibri" w:hAnsi="Arial" w:cs="Arial"/>
          <w:b/>
          <w:lang w:val="es-MX"/>
        </w:rPr>
        <w:t>DEMZ-</w:t>
      </w:r>
      <w:r w:rsidR="00026B9E">
        <w:rPr>
          <w:rFonts w:ascii="Arial" w:eastAsia="Calibri" w:hAnsi="Arial" w:cs="Arial"/>
          <w:b/>
          <w:lang w:val="es-MX"/>
        </w:rPr>
        <w:t>1208</w:t>
      </w:r>
      <w:r>
        <w:rPr>
          <w:rFonts w:ascii="Arial" w:eastAsia="Calibri" w:hAnsi="Arial" w:cs="Arial"/>
          <w:b/>
          <w:lang w:val="es-MX"/>
        </w:rPr>
        <w:t xml:space="preserve">/2022. </w:t>
      </w:r>
      <w:r w:rsidR="00026B9E">
        <w:rPr>
          <w:rFonts w:ascii="Arial" w:eastAsia="Calibri" w:hAnsi="Arial" w:cs="Arial"/>
          <w:b/>
          <w:lang w:val="es-MX"/>
        </w:rPr>
        <w:t>TITULAR DEL MUNICIPIO DE AQUISMON</w:t>
      </w:r>
    </w:p>
    <w:p w:rsidR="002012E8" w:rsidRDefault="00BD369C" w:rsidP="002012E8">
      <w:pPr>
        <w:spacing w:after="0" w:line="276" w:lineRule="auto"/>
        <w:jc w:val="both"/>
        <w:rPr>
          <w:rFonts w:ascii="Arial" w:eastAsia="Calibri" w:hAnsi="Arial" w:cs="Arial"/>
          <w:b/>
          <w:lang w:val="es-MX"/>
        </w:rPr>
      </w:pPr>
      <w:r w:rsidRPr="00FE10DF">
        <w:rPr>
          <w:rFonts w:ascii="Arial" w:eastAsia="Calibri" w:hAnsi="Arial" w:cs="Arial"/>
          <w:b/>
          <w:lang w:val="es-MX"/>
        </w:rPr>
        <w:t>PRESENTE. -</w:t>
      </w:r>
    </w:p>
    <w:p w:rsidR="00217971" w:rsidRDefault="00217971" w:rsidP="002012E8">
      <w:pPr>
        <w:spacing w:after="0" w:line="276" w:lineRule="auto"/>
        <w:jc w:val="both"/>
        <w:rPr>
          <w:rFonts w:ascii="Arial" w:eastAsia="Calibri" w:hAnsi="Arial" w:cs="Arial"/>
          <w:b/>
          <w:lang w:val="es-MX"/>
        </w:rPr>
      </w:pPr>
    </w:p>
    <w:p w:rsidR="00217971" w:rsidRDefault="00217971" w:rsidP="002012E8">
      <w:pPr>
        <w:spacing w:after="0" w:line="276" w:lineRule="auto"/>
        <w:jc w:val="both"/>
        <w:rPr>
          <w:rFonts w:ascii="Arial" w:eastAsia="Calibri" w:hAnsi="Arial" w:cs="Arial"/>
          <w:b/>
          <w:lang w:val="es-MX"/>
        </w:rPr>
      </w:pPr>
    </w:p>
    <w:p w:rsidR="004B7A02" w:rsidRDefault="00217971" w:rsidP="00217971">
      <w:pPr>
        <w:spacing w:after="0" w:line="276" w:lineRule="auto"/>
        <w:jc w:val="both"/>
        <w:rPr>
          <w:rFonts w:ascii="Arial" w:eastAsia="Calibri" w:hAnsi="Arial" w:cs="Arial"/>
          <w:b/>
          <w:lang w:val="es-MX"/>
        </w:rPr>
      </w:pPr>
      <w:r w:rsidRPr="00FE10DF">
        <w:rPr>
          <w:rFonts w:ascii="Arial" w:eastAsia="Calibri" w:hAnsi="Arial" w:cs="Arial"/>
          <w:b/>
          <w:lang w:val="es-MX"/>
        </w:rPr>
        <w:t>DEMZ-</w:t>
      </w:r>
      <w:r w:rsidR="00026B9E">
        <w:rPr>
          <w:rFonts w:ascii="Arial" w:eastAsia="Calibri" w:hAnsi="Arial" w:cs="Arial"/>
          <w:b/>
          <w:lang w:val="es-MX"/>
        </w:rPr>
        <w:t>1209</w:t>
      </w:r>
      <w:r>
        <w:rPr>
          <w:rFonts w:ascii="Arial" w:eastAsia="Calibri" w:hAnsi="Arial" w:cs="Arial"/>
          <w:b/>
          <w:lang w:val="es-MX"/>
        </w:rPr>
        <w:t xml:space="preserve">/2022. </w:t>
      </w:r>
      <w:r w:rsidR="00026B9E">
        <w:rPr>
          <w:rFonts w:ascii="Arial" w:eastAsia="Calibri" w:hAnsi="Arial" w:cs="Arial"/>
          <w:b/>
          <w:lang w:val="es-MX"/>
        </w:rPr>
        <w:t>TITULAR DE LA UNIDAD DE TRANSPARENCIA DEL MUNICIPIO DE AQUISMON.</w:t>
      </w:r>
    </w:p>
    <w:p w:rsidR="00217971" w:rsidRPr="00FE10DF" w:rsidRDefault="00ED2ED7" w:rsidP="00217971">
      <w:pPr>
        <w:spacing w:after="0" w:line="276" w:lineRule="auto"/>
        <w:jc w:val="both"/>
        <w:rPr>
          <w:rFonts w:ascii="Arial" w:eastAsia="Calibri" w:hAnsi="Arial" w:cs="Arial"/>
          <w:b/>
          <w:lang w:val="es-MX"/>
        </w:rPr>
      </w:pPr>
      <w:r w:rsidRPr="00FE10DF">
        <w:rPr>
          <w:rFonts w:ascii="Arial" w:eastAsia="Calibri" w:hAnsi="Arial" w:cs="Arial"/>
          <w:b/>
          <w:lang w:val="es-MX"/>
        </w:rPr>
        <w:t>PRESENTE. -</w:t>
      </w:r>
    </w:p>
    <w:p w:rsidR="00217971" w:rsidRPr="00FE10DF" w:rsidRDefault="00217971" w:rsidP="002012E8">
      <w:pPr>
        <w:spacing w:after="0" w:line="276" w:lineRule="auto"/>
        <w:jc w:val="both"/>
        <w:rPr>
          <w:rFonts w:ascii="Arial" w:eastAsia="Calibri" w:hAnsi="Arial" w:cs="Arial"/>
          <w:b/>
          <w:lang w:val="es-MX"/>
        </w:rPr>
      </w:pPr>
    </w:p>
    <w:p w:rsidR="002012E8" w:rsidRDefault="002012E8" w:rsidP="00E22421">
      <w:pPr>
        <w:spacing w:after="0" w:line="276" w:lineRule="auto"/>
        <w:jc w:val="both"/>
        <w:rPr>
          <w:rFonts w:ascii="Arial" w:eastAsia="Calibri" w:hAnsi="Arial" w:cs="Arial"/>
          <w:b/>
          <w:lang w:val="es-MX"/>
        </w:rPr>
      </w:pPr>
    </w:p>
    <w:p w:rsidR="002012E8" w:rsidRDefault="002012E8" w:rsidP="00E22421">
      <w:pPr>
        <w:spacing w:after="0" w:line="276" w:lineRule="auto"/>
        <w:jc w:val="both"/>
        <w:rPr>
          <w:rFonts w:ascii="Arial" w:eastAsia="Calibri" w:hAnsi="Arial" w:cs="Arial"/>
          <w:b/>
          <w:lang w:val="es-MX"/>
        </w:rPr>
      </w:pPr>
    </w:p>
    <w:p w:rsidR="002012E8" w:rsidRDefault="002012E8" w:rsidP="00E22421">
      <w:pPr>
        <w:spacing w:after="0" w:line="276" w:lineRule="auto"/>
        <w:jc w:val="both"/>
        <w:rPr>
          <w:rFonts w:ascii="Arial" w:eastAsia="Calibri" w:hAnsi="Arial" w:cs="Arial"/>
          <w:b/>
          <w:lang w:val="es-MX"/>
        </w:rPr>
      </w:pPr>
    </w:p>
    <w:p w:rsidR="00E22421" w:rsidRPr="00FE10DF" w:rsidRDefault="00E22421" w:rsidP="005A47D6">
      <w:pPr>
        <w:spacing w:after="200" w:line="276" w:lineRule="auto"/>
        <w:jc w:val="both"/>
        <w:rPr>
          <w:rFonts w:ascii="Arial" w:eastAsia="Calibri" w:hAnsi="Arial" w:cs="Arial"/>
          <w:b/>
          <w:lang w:val="es-MX"/>
        </w:rPr>
      </w:pPr>
    </w:p>
    <w:p w:rsidR="00BD369C" w:rsidRPr="00ED2ED7" w:rsidRDefault="005A47D6" w:rsidP="00BD369C">
      <w:pPr>
        <w:spacing w:after="200" w:line="360" w:lineRule="auto"/>
        <w:jc w:val="both"/>
        <w:rPr>
          <w:rFonts w:ascii="Arial" w:eastAsia="Calibri" w:hAnsi="Arial" w:cs="Arial"/>
          <w:lang w:val="es-MX"/>
        </w:rPr>
      </w:pPr>
      <w:r w:rsidRPr="00FE10DF">
        <w:rPr>
          <w:rFonts w:ascii="Arial" w:eastAsia="Calibri" w:hAnsi="Arial" w:cs="Arial"/>
          <w:lang w:val="es-MX"/>
        </w:rPr>
        <w:t>Por medio del presente hágase del con</w:t>
      </w:r>
      <w:r w:rsidR="007B53A2" w:rsidRPr="00FE10DF">
        <w:rPr>
          <w:rFonts w:ascii="Arial" w:eastAsia="Calibri" w:hAnsi="Arial" w:cs="Arial"/>
          <w:lang w:val="es-MX"/>
        </w:rPr>
        <w:t xml:space="preserve">ocimiento que en </w:t>
      </w:r>
      <w:r w:rsidR="00F31BC0">
        <w:rPr>
          <w:rFonts w:ascii="Arial" w:eastAsia="Calibri" w:hAnsi="Arial" w:cs="Arial"/>
          <w:lang w:val="es-MX"/>
        </w:rPr>
        <w:t xml:space="preserve">15 quince </w:t>
      </w:r>
      <w:r w:rsidR="007F50CF">
        <w:rPr>
          <w:rFonts w:ascii="Arial" w:eastAsia="Calibri" w:hAnsi="Arial" w:cs="Arial"/>
          <w:lang w:val="es-MX"/>
        </w:rPr>
        <w:t xml:space="preserve">de </w:t>
      </w:r>
      <w:r w:rsidR="004E590D">
        <w:rPr>
          <w:rFonts w:ascii="Arial" w:eastAsia="Calibri" w:hAnsi="Arial" w:cs="Arial"/>
          <w:lang w:val="es-MX"/>
        </w:rPr>
        <w:t>julio</w:t>
      </w:r>
      <w:r w:rsidR="0063445C">
        <w:rPr>
          <w:rFonts w:ascii="Arial" w:eastAsia="Calibri" w:hAnsi="Arial" w:cs="Arial"/>
          <w:lang w:val="es-MX"/>
        </w:rPr>
        <w:t xml:space="preserve"> </w:t>
      </w:r>
      <w:r w:rsidR="00E22421" w:rsidRPr="00FE10DF">
        <w:rPr>
          <w:rFonts w:ascii="Arial" w:eastAsia="Calibri" w:hAnsi="Arial" w:cs="Arial"/>
          <w:lang w:val="es-MX"/>
        </w:rPr>
        <w:t>de 2022</w:t>
      </w:r>
      <w:r w:rsidR="00FE10DF" w:rsidRPr="00FE10DF">
        <w:rPr>
          <w:rFonts w:ascii="Arial" w:eastAsia="Calibri" w:hAnsi="Arial" w:cs="Arial"/>
          <w:lang w:val="es-MX"/>
        </w:rPr>
        <w:t xml:space="preserve"> dos mil veintidós</w:t>
      </w:r>
      <w:r w:rsidRPr="00FE10DF">
        <w:rPr>
          <w:rFonts w:ascii="Arial" w:eastAsia="Calibri" w:hAnsi="Arial" w:cs="Arial"/>
          <w:lang w:val="es-MX"/>
        </w:rPr>
        <w:t xml:space="preserve">, se dictó un proveído dentro de los autos que integran el recurso </w:t>
      </w:r>
    </w:p>
    <w:p w:rsidR="00ED2ED7" w:rsidRDefault="00ED2ED7" w:rsidP="00ED2ED7">
      <w:pPr>
        <w:tabs>
          <w:tab w:val="left" w:pos="6840"/>
        </w:tabs>
        <w:spacing w:line="360" w:lineRule="auto"/>
        <w:ind w:firstLine="708"/>
        <w:outlineLvl w:val="5"/>
        <w:rPr>
          <w:rFonts w:ascii="Arial" w:hAnsi="Arial" w:cs="Arial"/>
          <w:i/>
          <w:color w:val="44546A" w:themeColor="text2"/>
          <w:sz w:val="20"/>
          <w:szCs w:val="20"/>
        </w:rPr>
      </w:pPr>
    </w:p>
    <w:p w:rsidR="00026B9E" w:rsidRPr="00026B9E" w:rsidRDefault="00026B9E" w:rsidP="00026B9E">
      <w:pPr>
        <w:tabs>
          <w:tab w:val="left" w:pos="6840"/>
        </w:tabs>
        <w:spacing w:line="360" w:lineRule="auto"/>
        <w:ind w:firstLine="708"/>
        <w:outlineLvl w:val="5"/>
        <w:rPr>
          <w:rFonts w:ascii="Arial" w:hAnsi="Arial" w:cs="Arial"/>
          <w:i/>
          <w:color w:val="44546A" w:themeColor="text2"/>
          <w:sz w:val="20"/>
          <w:szCs w:val="20"/>
        </w:rPr>
      </w:pPr>
      <w:r w:rsidRPr="00026B9E">
        <w:rPr>
          <w:rFonts w:ascii="Arial" w:hAnsi="Arial" w:cs="Arial"/>
          <w:i/>
          <w:color w:val="44546A" w:themeColor="text2"/>
          <w:sz w:val="20"/>
          <w:szCs w:val="20"/>
        </w:rPr>
        <w:t xml:space="preserve">“San Luis Potosí, San Luis Potosí, a </w:t>
      </w:r>
      <w:r w:rsidR="00F31BC0">
        <w:rPr>
          <w:rFonts w:ascii="Arial" w:hAnsi="Arial" w:cs="Arial"/>
          <w:i/>
          <w:color w:val="44546A" w:themeColor="text2"/>
          <w:sz w:val="20"/>
          <w:szCs w:val="20"/>
        </w:rPr>
        <w:t>15 quince</w:t>
      </w:r>
      <w:r w:rsidRPr="00026B9E">
        <w:rPr>
          <w:rFonts w:ascii="Arial" w:hAnsi="Arial" w:cs="Arial"/>
          <w:i/>
          <w:color w:val="44546A" w:themeColor="text2"/>
          <w:sz w:val="20"/>
          <w:szCs w:val="20"/>
        </w:rPr>
        <w:t xml:space="preserve"> de julio de 202 dos mil </w:t>
      </w:r>
      <w:r w:rsidR="00F31BC0" w:rsidRPr="00026B9E">
        <w:rPr>
          <w:rFonts w:ascii="Arial" w:hAnsi="Arial" w:cs="Arial"/>
          <w:i/>
          <w:color w:val="44546A" w:themeColor="text2"/>
          <w:sz w:val="20"/>
          <w:szCs w:val="20"/>
        </w:rPr>
        <w:t>veintidós</w:t>
      </w:r>
      <w:bookmarkStart w:id="0" w:name="_GoBack"/>
      <w:bookmarkEnd w:id="0"/>
      <w:r w:rsidRPr="00026B9E">
        <w:rPr>
          <w:rFonts w:ascii="Arial" w:hAnsi="Arial" w:cs="Arial"/>
          <w:i/>
          <w:color w:val="44546A" w:themeColor="text2"/>
          <w:sz w:val="20"/>
          <w:szCs w:val="20"/>
        </w:rPr>
        <w:t>.</w:t>
      </w:r>
    </w:p>
    <w:p w:rsidR="00026B9E" w:rsidRPr="00026B9E" w:rsidRDefault="00026B9E" w:rsidP="00026B9E">
      <w:pPr>
        <w:tabs>
          <w:tab w:val="left" w:pos="6840"/>
        </w:tabs>
        <w:spacing w:line="360" w:lineRule="auto"/>
        <w:ind w:firstLine="708"/>
        <w:outlineLvl w:val="5"/>
        <w:rPr>
          <w:rFonts w:ascii="Arial" w:hAnsi="Arial" w:cs="Arial"/>
          <w:i/>
          <w:color w:val="44546A" w:themeColor="text2"/>
          <w:sz w:val="20"/>
          <w:szCs w:val="20"/>
        </w:rPr>
      </w:pPr>
    </w:p>
    <w:p w:rsidR="00026B9E" w:rsidRPr="00026B9E" w:rsidRDefault="00026B9E" w:rsidP="00026B9E">
      <w:pPr>
        <w:spacing w:line="360" w:lineRule="auto"/>
        <w:jc w:val="both"/>
        <w:rPr>
          <w:rFonts w:ascii="Arial" w:hAnsi="Arial" w:cs="Arial"/>
          <w:i/>
          <w:color w:val="44546A" w:themeColor="text2"/>
          <w:sz w:val="20"/>
          <w:szCs w:val="20"/>
        </w:rPr>
      </w:pPr>
    </w:p>
    <w:p w:rsidR="00026B9E" w:rsidRPr="00026B9E" w:rsidRDefault="00026B9E" w:rsidP="00026B9E">
      <w:pPr>
        <w:spacing w:line="360" w:lineRule="auto"/>
        <w:ind w:firstLine="708"/>
        <w:jc w:val="both"/>
        <w:rPr>
          <w:rFonts w:ascii="Arial" w:hAnsi="Arial" w:cs="Arial"/>
          <w:i/>
          <w:color w:val="44546A" w:themeColor="text2"/>
          <w:sz w:val="20"/>
          <w:szCs w:val="20"/>
        </w:rPr>
      </w:pPr>
      <w:r w:rsidRPr="00026B9E">
        <w:rPr>
          <w:rFonts w:ascii="Arial" w:hAnsi="Arial" w:cs="Arial"/>
          <w:i/>
          <w:color w:val="44546A" w:themeColor="text2"/>
          <w:sz w:val="20"/>
          <w:szCs w:val="20"/>
        </w:rPr>
        <w:t xml:space="preserve">Visto el estado que guardan los presentes autos y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Pr="00026B9E">
        <w:rPr>
          <w:rFonts w:ascii="Arial" w:hAnsi="Arial" w:cs="Arial"/>
          <w:b/>
          <w:i/>
          <w:color w:val="44546A" w:themeColor="text2"/>
          <w:sz w:val="20"/>
          <w:szCs w:val="20"/>
        </w:rPr>
        <w:t>RR-271/2019-1.</w:t>
      </w:r>
    </w:p>
    <w:p w:rsidR="00026B9E" w:rsidRPr="00026B9E" w:rsidRDefault="00026B9E" w:rsidP="00026B9E">
      <w:pPr>
        <w:spacing w:line="360" w:lineRule="auto"/>
        <w:ind w:firstLine="708"/>
        <w:jc w:val="both"/>
        <w:rPr>
          <w:rFonts w:ascii="Arial" w:hAnsi="Arial" w:cs="Arial"/>
          <w:i/>
          <w:color w:val="44546A" w:themeColor="text2"/>
          <w:sz w:val="20"/>
          <w:szCs w:val="20"/>
        </w:rPr>
      </w:pPr>
    </w:p>
    <w:p w:rsidR="00026B9E" w:rsidRPr="00026B9E" w:rsidRDefault="00026B9E" w:rsidP="00026B9E">
      <w:pPr>
        <w:spacing w:line="360" w:lineRule="auto"/>
        <w:ind w:firstLine="708"/>
        <w:jc w:val="both"/>
        <w:rPr>
          <w:rFonts w:ascii="Arial" w:hAnsi="Arial" w:cs="Arial"/>
          <w:i/>
          <w:color w:val="44546A" w:themeColor="text2"/>
          <w:sz w:val="20"/>
          <w:szCs w:val="20"/>
        </w:rPr>
      </w:pPr>
      <w:r w:rsidRPr="00026B9E">
        <w:rPr>
          <w:rFonts w:ascii="Arial" w:hAnsi="Arial" w:cs="Arial"/>
          <w:i/>
          <w:color w:val="44546A" w:themeColor="text2"/>
          <w:sz w:val="20"/>
          <w:szCs w:val="20"/>
        </w:rPr>
        <w:t>En primer término, resulta necesario insertar los efectos dictados en la resolución:</w:t>
      </w:r>
    </w:p>
    <w:p w:rsidR="00026B9E" w:rsidRPr="00026B9E" w:rsidRDefault="00026B9E" w:rsidP="00026B9E">
      <w:pPr>
        <w:pStyle w:val="corte4fondo"/>
        <w:tabs>
          <w:tab w:val="left" w:pos="567"/>
        </w:tabs>
        <w:spacing w:line="240" w:lineRule="auto"/>
        <w:rPr>
          <w:rFonts w:cs="Arial"/>
          <w:i/>
          <w:color w:val="44546A" w:themeColor="text2"/>
          <w:sz w:val="20"/>
          <w:szCs w:val="20"/>
        </w:rPr>
      </w:pPr>
    </w:p>
    <w:p w:rsidR="00026B9E" w:rsidRPr="00026B9E" w:rsidRDefault="00026B9E" w:rsidP="00026B9E">
      <w:pPr>
        <w:pStyle w:val="corte4fondo"/>
        <w:tabs>
          <w:tab w:val="left" w:pos="567"/>
        </w:tabs>
        <w:spacing w:line="240" w:lineRule="auto"/>
        <w:rPr>
          <w:rFonts w:cs="Arial"/>
          <w:i/>
          <w:color w:val="44546A" w:themeColor="text2"/>
          <w:sz w:val="20"/>
          <w:szCs w:val="20"/>
        </w:rPr>
      </w:pPr>
      <w:r w:rsidRPr="00026B9E">
        <w:rPr>
          <w:rFonts w:cs="Arial"/>
          <w:i/>
          <w:color w:val="44546A" w:themeColor="text2"/>
          <w:sz w:val="20"/>
          <w:szCs w:val="20"/>
        </w:rPr>
        <w:t>“[…]</w:t>
      </w:r>
    </w:p>
    <w:p w:rsidR="00026B9E" w:rsidRPr="00026B9E" w:rsidRDefault="00026B9E" w:rsidP="00026B9E">
      <w:pPr>
        <w:pStyle w:val="corte4fondo"/>
        <w:tabs>
          <w:tab w:val="left" w:pos="567"/>
        </w:tabs>
        <w:ind w:left="680"/>
        <w:rPr>
          <w:rFonts w:cs="Arial"/>
          <w:b/>
          <w:i/>
          <w:color w:val="44546A" w:themeColor="text2"/>
          <w:sz w:val="20"/>
          <w:szCs w:val="20"/>
        </w:rPr>
      </w:pPr>
      <w:r w:rsidRPr="00026B9E">
        <w:rPr>
          <w:rFonts w:cs="Arial"/>
          <w:b/>
          <w:i/>
          <w:color w:val="44546A" w:themeColor="text2"/>
          <w:sz w:val="20"/>
          <w:szCs w:val="20"/>
        </w:rPr>
        <w:t>6.1. Sentido y efectos de esta resolución.</w:t>
      </w:r>
    </w:p>
    <w:p w:rsidR="00026B9E" w:rsidRPr="00026B9E" w:rsidRDefault="00026B9E" w:rsidP="00026B9E">
      <w:pPr>
        <w:pStyle w:val="corte4fondo"/>
        <w:tabs>
          <w:tab w:val="left" w:pos="567"/>
        </w:tabs>
        <w:ind w:left="680"/>
        <w:rPr>
          <w:rFonts w:cs="Arial"/>
          <w:i/>
          <w:color w:val="44546A" w:themeColor="text2"/>
          <w:sz w:val="20"/>
          <w:szCs w:val="20"/>
        </w:rPr>
      </w:pPr>
      <w:r w:rsidRPr="00026B9E">
        <w:rPr>
          <w:rFonts w:cs="Arial"/>
          <w:i/>
          <w:color w:val="44546A" w:themeColor="text2"/>
          <w:sz w:val="20"/>
          <w:szCs w:val="20"/>
        </w:rPr>
        <w:t xml:space="preserve">Por las consideraciones expuestas, esta Comisión Estatal de Garantía de Acceso a la Información Pública de conformidad con el artículo 164 de la Ley de Transparencia y Acceso a la Información Pública del Estado, APLICA EL PRINCIPIO DE AFIRMATIVA </w:t>
      </w:r>
      <w:proofErr w:type="gramStart"/>
      <w:r w:rsidRPr="00026B9E">
        <w:rPr>
          <w:rFonts w:cs="Arial"/>
          <w:i/>
          <w:color w:val="44546A" w:themeColor="text2"/>
          <w:sz w:val="20"/>
          <w:szCs w:val="20"/>
        </w:rPr>
        <w:t>FICTA  y</w:t>
      </w:r>
      <w:proofErr w:type="gramEnd"/>
      <w:r w:rsidRPr="00026B9E">
        <w:rPr>
          <w:rFonts w:cs="Arial"/>
          <w:i/>
          <w:color w:val="44546A" w:themeColor="text2"/>
          <w:sz w:val="20"/>
          <w:szCs w:val="20"/>
        </w:rPr>
        <w:t xml:space="preserve"> conmina al sujeto obligado para que:</w:t>
      </w:r>
    </w:p>
    <w:p w:rsidR="00026B9E" w:rsidRPr="00026B9E" w:rsidRDefault="00026B9E" w:rsidP="00026B9E">
      <w:pPr>
        <w:pStyle w:val="corte4fondo"/>
        <w:tabs>
          <w:tab w:val="left" w:pos="567"/>
        </w:tabs>
        <w:ind w:left="680"/>
        <w:rPr>
          <w:rFonts w:cs="Arial"/>
          <w:i/>
          <w:color w:val="44546A" w:themeColor="text2"/>
          <w:sz w:val="20"/>
          <w:szCs w:val="20"/>
        </w:rPr>
      </w:pPr>
      <w:r w:rsidRPr="00026B9E">
        <w:rPr>
          <w:rFonts w:cs="Arial"/>
          <w:i/>
          <w:color w:val="44546A" w:themeColor="text2"/>
          <w:sz w:val="20"/>
          <w:szCs w:val="20"/>
        </w:rPr>
        <w:t xml:space="preserve">6.1.1.  Proporcione al particular la información relativa a los formatos alojados en la plataforma estatal de transparencia, relativa al artículo 84, fracción XXXI de la ley de transparencia, de los meses, noviembre y diciembre 2018 dos mil dieciocho […]” </w:t>
      </w:r>
    </w:p>
    <w:p w:rsidR="00026B9E" w:rsidRPr="00026B9E" w:rsidRDefault="00026B9E" w:rsidP="00026B9E">
      <w:pPr>
        <w:spacing w:line="360" w:lineRule="auto"/>
        <w:jc w:val="both"/>
        <w:rPr>
          <w:rFonts w:ascii="Arial" w:hAnsi="Arial" w:cs="Arial"/>
          <w:i/>
          <w:color w:val="44546A" w:themeColor="text2"/>
          <w:sz w:val="20"/>
          <w:szCs w:val="20"/>
        </w:rPr>
      </w:pPr>
    </w:p>
    <w:p w:rsidR="00026B9E" w:rsidRPr="00026B9E" w:rsidRDefault="00026B9E" w:rsidP="00026B9E">
      <w:pPr>
        <w:spacing w:line="360" w:lineRule="auto"/>
        <w:ind w:firstLine="708"/>
        <w:jc w:val="both"/>
        <w:rPr>
          <w:rFonts w:ascii="Arial" w:hAnsi="Arial" w:cs="Arial"/>
          <w:i/>
          <w:color w:val="44546A" w:themeColor="text2"/>
          <w:sz w:val="20"/>
          <w:szCs w:val="20"/>
        </w:rPr>
      </w:pPr>
      <w:r w:rsidRPr="00026B9E">
        <w:rPr>
          <w:rFonts w:ascii="Arial" w:hAnsi="Arial" w:cs="Arial"/>
          <w:i/>
          <w:color w:val="44546A" w:themeColor="text2"/>
          <w:sz w:val="20"/>
          <w:szCs w:val="20"/>
        </w:rPr>
        <w:lastRenderedPageBreak/>
        <w:t>Derivado de lo anterior, y de una revisión a las constancias que integran el recurso de revisión en que se actúa, se advierte ha transcurrido el termino otorgado para el cumplimiento a la resolución en mérito, sin que a la fecha conste en autos que los aludidos servidores públicos comparecieran al respecto, pues de una búsqueda exhaustiva realizada en el Libro de Registro que para tal efecto se lleva en la Oficial a de Partes de esta Comisión, no obra registro de promoción alguna en la que en efecto hubiesen comparecido para dar cumplimiento a la resolución de mérito.</w:t>
      </w:r>
    </w:p>
    <w:p w:rsidR="00026B9E" w:rsidRPr="00026B9E" w:rsidRDefault="00026B9E" w:rsidP="00026B9E">
      <w:pPr>
        <w:spacing w:line="360" w:lineRule="auto"/>
        <w:jc w:val="both"/>
        <w:rPr>
          <w:rFonts w:ascii="Arial" w:hAnsi="Arial" w:cs="Arial"/>
          <w:i/>
          <w:color w:val="44546A" w:themeColor="text2"/>
          <w:sz w:val="20"/>
          <w:szCs w:val="20"/>
        </w:rPr>
      </w:pPr>
    </w:p>
    <w:p w:rsidR="00026B9E" w:rsidRPr="00026B9E" w:rsidRDefault="00026B9E" w:rsidP="00026B9E">
      <w:pPr>
        <w:spacing w:line="360" w:lineRule="auto"/>
        <w:ind w:firstLine="708"/>
        <w:jc w:val="both"/>
        <w:rPr>
          <w:rFonts w:ascii="Arial" w:hAnsi="Arial" w:cs="Arial"/>
          <w:i/>
          <w:color w:val="44546A" w:themeColor="text2"/>
          <w:sz w:val="20"/>
          <w:szCs w:val="20"/>
        </w:rPr>
      </w:pPr>
      <w:r w:rsidRPr="00026B9E">
        <w:rPr>
          <w:rFonts w:ascii="Arial" w:hAnsi="Arial" w:cs="Arial"/>
          <w:i/>
          <w:color w:val="44546A" w:themeColor="text2"/>
          <w:sz w:val="20"/>
          <w:szCs w:val="20"/>
        </w:rPr>
        <w:t xml:space="preserve">En las condiciones anotadas, de la revisión al citado recurso de revisión se desprende que el sujeto obligado no acredita el cumplimiento a la resolución de </w:t>
      </w:r>
      <w:proofErr w:type="spellStart"/>
      <w:r w:rsidRPr="00026B9E">
        <w:rPr>
          <w:rFonts w:ascii="Arial" w:hAnsi="Arial" w:cs="Arial"/>
          <w:i/>
          <w:color w:val="44546A" w:themeColor="text2"/>
          <w:sz w:val="20"/>
          <w:szCs w:val="20"/>
        </w:rPr>
        <w:t>merito</w:t>
      </w:r>
      <w:proofErr w:type="spellEnd"/>
      <w:r w:rsidRPr="00026B9E">
        <w:rPr>
          <w:rFonts w:ascii="Arial" w:hAnsi="Arial" w:cs="Arial"/>
          <w:i/>
          <w:color w:val="44546A" w:themeColor="text2"/>
          <w:sz w:val="20"/>
          <w:szCs w:val="20"/>
        </w:rPr>
        <w:t>.</w:t>
      </w:r>
    </w:p>
    <w:p w:rsidR="00026B9E" w:rsidRPr="00026B9E" w:rsidRDefault="00026B9E" w:rsidP="00026B9E">
      <w:pPr>
        <w:spacing w:line="360" w:lineRule="auto"/>
        <w:ind w:firstLine="708"/>
        <w:jc w:val="both"/>
        <w:rPr>
          <w:rFonts w:ascii="AvantGarde Bk BT" w:hAnsi="AvantGarde Bk BT" w:cs="Arial"/>
          <w:i/>
          <w:color w:val="44546A" w:themeColor="text2"/>
          <w:sz w:val="20"/>
          <w:szCs w:val="20"/>
        </w:rPr>
      </w:pPr>
    </w:p>
    <w:p w:rsidR="00026B9E" w:rsidRPr="00026B9E" w:rsidRDefault="00026B9E" w:rsidP="00026B9E">
      <w:pPr>
        <w:spacing w:line="360" w:lineRule="auto"/>
        <w:ind w:firstLine="680"/>
        <w:jc w:val="both"/>
        <w:rPr>
          <w:rFonts w:ascii="Arial" w:hAnsi="Arial" w:cs="Arial"/>
          <w:i/>
          <w:color w:val="44546A" w:themeColor="text2"/>
          <w:sz w:val="20"/>
          <w:szCs w:val="20"/>
          <w:lang w:val="es-MX"/>
        </w:rPr>
      </w:pPr>
      <w:r w:rsidRPr="00026B9E">
        <w:rPr>
          <w:rFonts w:ascii="Arial" w:hAnsi="Arial" w:cs="Arial"/>
          <w:i/>
          <w:color w:val="44546A" w:themeColor="text2"/>
          <w:sz w:val="20"/>
          <w:szCs w:val="20"/>
        </w:rPr>
        <w:t xml:space="preserve">Consecuentemente, </w:t>
      </w:r>
      <w:r w:rsidRPr="00026B9E">
        <w:rPr>
          <w:rFonts w:ascii="Arial" w:hAnsi="Arial" w:cs="Arial"/>
          <w:i/>
          <w:color w:val="44546A" w:themeColor="text2"/>
          <w:sz w:val="20"/>
          <w:szCs w:val="20"/>
          <w:u w:val="single"/>
        </w:rPr>
        <w:t>este organismo garante no cuenta con los elementos suficientes para analizar si el sujeto obligado dio o no cumplimiento a la ya citada resolución</w:t>
      </w:r>
      <w:r w:rsidRPr="00026B9E">
        <w:rPr>
          <w:rFonts w:ascii="Arial" w:hAnsi="Arial" w:cs="Arial"/>
          <w:i/>
          <w:color w:val="44546A" w:themeColor="text2"/>
          <w:sz w:val="20"/>
          <w:szCs w:val="20"/>
        </w:rPr>
        <w:t xml:space="preserve"> y por tanto la resolución se encuentra incumplida.</w:t>
      </w:r>
    </w:p>
    <w:p w:rsidR="00026B9E" w:rsidRPr="00026B9E" w:rsidRDefault="00026B9E" w:rsidP="00026B9E">
      <w:pPr>
        <w:spacing w:line="360" w:lineRule="auto"/>
        <w:jc w:val="both"/>
        <w:rPr>
          <w:rFonts w:ascii="Arial" w:hAnsi="Arial" w:cs="Arial"/>
          <w:i/>
          <w:color w:val="44546A" w:themeColor="text2"/>
          <w:sz w:val="20"/>
          <w:szCs w:val="20"/>
        </w:rPr>
      </w:pPr>
    </w:p>
    <w:p w:rsidR="00026B9E" w:rsidRPr="00026B9E" w:rsidRDefault="00026B9E" w:rsidP="00026B9E">
      <w:pPr>
        <w:spacing w:line="360" w:lineRule="auto"/>
        <w:ind w:firstLine="708"/>
        <w:jc w:val="both"/>
        <w:rPr>
          <w:rFonts w:ascii="Arial" w:hAnsi="Arial" w:cs="Arial"/>
          <w:i/>
          <w:color w:val="44546A" w:themeColor="text2"/>
          <w:sz w:val="20"/>
          <w:szCs w:val="20"/>
        </w:rPr>
      </w:pPr>
      <w:r w:rsidRPr="00026B9E">
        <w:rPr>
          <w:rFonts w:ascii="Arial" w:hAnsi="Arial" w:cs="Arial"/>
          <w:i/>
          <w:color w:val="44546A" w:themeColor="text2"/>
          <w:sz w:val="20"/>
          <w:szCs w:val="20"/>
        </w:rPr>
        <w:t>Bajo este contexto, resulta pertinente transcribir lo dispuesto por la Ley de transparencia señala en sus artículos 183 y 184 lo siguiente:</w:t>
      </w:r>
    </w:p>
    <w:p w:rsidR="00026B9E" w:rsidRPr="00026B9E" w:rsidRDefault="00026B9E" w:rsidP="00026B9E">
      <w:pPr>
        <w:spacing w:line="360" w:lineRule="auto"/>
        <w:jc w:val="both"/>
        <w:rPr>
          <w:rFonts w:ascii="Arial" w:hAnsi="Arial" w:cs="Arial"/>
          <w:b/>
          <w:i/>
          <w:color w:val="44546A" w:themeColor="text2"/>
          <w:sz w:val="20"/>
          <w:szCs w:val="20"/>
        </w:rPr>
      </w:pPr>
    </w:p>
    <w:p w:rsidR="00026B9E" w:rsidRPr="00026B9E" w:rsidRDefault="00026B9E" w:rsidP="00026B9E">
      <w:pPr>
        <w:spacing w:line="360" w:lineRule="auto"/>
        <w:ind w:left="680"/>
        <w:jc w:val="both"/>
        <w:rPr>
          <w:rFonts w:ascii="Arial" w:hAnsi="Arial" w:cs="Arial"/>
          <w:b/>
          <w:i/>
          <w:color w:val="44546A" w:themeColor="text2"/>
          <w:sz w:val="20"/>
          <w:szCs w:val="20"/>
          <w:u w:val="single"/>
        </w:rPr>
      </w:pPr>
      <w:r w:rsidRPr="00026B9E">
        <w:rPr>
          <w:rFonts w:ascii="Arial" w:hAnsi="Arial" w:cs="Arial"/>
          <w:b/>
          <w:i/>
          <w:color w:val="44546A" w:themeColor="text2"/>
          <w:sz w:val="20"/>
          <w:szCs w:val="20"/>
        </w:rPr>
        <w:t>“ARTÍCULO 183.</w:t>
      </w:r>
      <w:r w:rsidRPr="00026B9E">
        <w:rPr>
          <w:rFonts w:ascii="Arial" w:hAnsi="Arial" w:cs="Arial"/>
          <w:i/>
          <w:color w:val="44546A" w:themeColor="text2"/>
          <w:sz w:val="20"/>
          <w:szCs w:val="20"/>
        </w:rPr>
        <w:t xml:space="preserve"> Los sujetos obligados, a través de la Unidad de Transparencia, </w:t>
      </w:r>
      <w:r w:rsidRPr="00026B9E">
        <w:rPr>
          <w:rFonts w:ascii="Arial" w:hAnsi="Arial" w:cs="Arial"/>
          <w:b/>
          <w:i/>
          <w:color w:val="44546A" w:themeColor="text2"/>
          <w:sz w:val="20"/>
          <w:szCs w:val="20"/>
          <w:u w:val="single"/>
        </w:rPr>
        <w:t>darán estricto cumplimiento a las resoluciones de la CEGAIP y deberán informar a estos sobre su cumplimiento.”</w:t>
      </w:r>
    </w:p>
    <w:p w:rsidR="00026B9E" w:rsidRPr="00026B9E" w:rsidRDefault="00026B9E" w:rsidP="00026B9E">
      <w:pPr>
        <w:spacing w:line="360" w:lineRule="auto"/>
        <w:ind w:left="680"/>
        <w:jc w:val="both"/>
        <w:rPr>
          <w:rFonts w:ascii="Arial" w:hAnsi="Arial" w:cs="Arial"/>
          <w:b/>
          <w:i/>
          <w:color w:val="44546A" w:themeColor="text2"/>
          <w:sz w:val="20"/>
          <w:szCs w:val="20"/>
        </w:rPr>
      </w:pPr>
    </w:p>
    <w:p w:rsidR="00026B9E" w:rsidRPr="00026B9E" w:rsidRDefault="00026B9E" w:rsidP="00026B9E">
      <w:pPr>
        <w:spacing w:line="360" w:lineRule="auto"/>
        <w:ind w:left="680"/>
        <w:jc w:val="both"/>
        <w:rPr>
          <w:rFonts w:ascii="Arial" w:hAnsi="Arial" w:cs="Arial"/>
          <w:i/>
          <w:color w:val="44546A" w:themeColor="text2"/>
          <w:sz w:val="20"/>
          <w:szCs w:val="20"/>
        </w:rPr>
      </w:pPr>
      <w:r w:rsidRPr="00026B9E">
        <w:rPr>
          <w:rFonts w:ascii="Arial" w:hAnsi="Arial" w:cs="Arial"/>
          <w:b/>
          <w:i/>
          <w:color w:val="44546A" w:themeColor="text2"/>
          <w:sz w:val="20"/>
          <w:szCs w:val="20"/>
        </w:rPr>
        <w:t>“ARTÍCULO 184.</w:t>
      </w:r>
      <w:r w:rsidRPr="00026B9E">
        <w:rPr>
          <w:rFonts w:ascii="Arial" w:hAnsi="Arial" w:cs="Arial"/>
          <w:i/>
          <w:color w:val="44546A" w:themeColor="text2"/>
          <w:sz w:val="20"/>
          <w:szCs w:val="20"/>
        </w:rPr>
        <w:t xml:space="preserve"> Transcurrido el plazo señalado en el artículo anterior, el sujeto obligado deberá informar a la CEGAIP sobre el cumplimento de la resolución.</w:t>
      </w:r>
    </w:p>
    <w:p w:rsidR="00026B9E" w:rsidRPr="00026B9E" w:rsidRDefault="00026B9E" w:rsidP="00026B9E">
      <w:pPr>
        <w:spacing w:line="360" w:lineRule="auto"/>
        <w:ind w:left="680"/>
        <w:jc w:val="both"/>
        <w:rPr>
          <w:rFonts w:ascii="Arial" w:hAnsi="Arial" w:cs="Arial"/>
          <w:i/>
          <w:color w:val="44546A" w:themeColor="text2"/>
          <w:sz w:val="20"/>
          <w:szCs w:val="20"/>
        </w:rPr>
      </w:pPr>
    </w:p>
    <w:p w:rsidR="00026B9E" w:rsidRPr="00026B9E" w:rsidRDefault="00026B9E" w:rsidP="00026B9E">
      <w:pPr>
        <w:spacing w:line="360" w:lineRule="auto"/>
        <w:ind w:left="680"/>
        <w:jc w:val="both"/>
        <w:rPr>
          <w:rFonts w:ascii="Arial" w:hAnsi="Arial" w:cs="Arial"/>
          <w:i/>
          <w:color w:val="44546A" w:themeColor="text2"/>
          <w:sz w:val="20"/>
          <w:szCs w:val="20"/>
        </w:rPr>
      </w:pPr>
      <w:r w:rsidRPr="00026B9E">
        <w:rPr>
          <w:rFonts w:ascii="Arial" w:hAnsi="Arial" w:cs="Arial"/>
          <w:i/>
          <w:color w:val="44546A" w:themeColor="text2"/>
          <w:sz w:val="20"/>
          <w:szCs w:val="20"/>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rsidR="00026B9E" w:rsidRPr="00026B9E" w:rsidRDefault="00026B9E" w:rsidP="00026B9E">
      <w:pPr>
        <w:spacing w:line="360" w:lineRule="auto"/>
        <w:ind w:left="680" w:firstLine="708"/>
        <w:jc w:val="both"/>
        <w:rPr>
          <w:rFonts w:ascii="Arial" w:hAnsi="Arial" w:cs="Arial"/>
          <w:i/>
          <w:color w:val="44546A" w:themeColor="text2"/>
          <w:sz w:val="20"/>
          <w:szCs w:val="20"/>
        </w:rPr>
      </w:pPr>
    </w:p>
    <w:p w:rsidR="00026B9E" w:rsidRPr="00026B9E" w:rsidRDefault="00026B9E" w:rsidP="00026B9E">
      <w:pPr>
        <w:spacing w:line="360" w:lineRule="auto"/>
        <w:ind w:firstLine="709"/>
        <w:jc w:val="both"/>
        <w:rPr>
          <w:rFonts w:ascii="Arial" w:hAnsi="Arial" w:cs="Arial"/>
          <w:i/>
          <w:color w:val="44546A" w:themeColor="text2"/>
          <w:sz w:val="20"/>
          <w:szCs w:val="20"/>
        </w:rPr>
      </w:pPr>
      <w:r w:rsidRPr="00026B9E">
        <w:rPr>
          <w:rFonts w:ascii="Arial" w:hAnsi="Arial" w:cs="Arial"/>
          <w:i/>
          <w:color w:val="44546A" w:themeColor="text2"/>
          <w:sz w:val="20"/>
          <w:szCs w:val="20"/>
        </w:rPr>
        <w:t xml:space="preserve">Así las cosas, </w:t>
      </w:r>
      <w:r w:rsidRPr="00026B9E">
        <w:rPr>
          <w:rFonts w:ascii="Arial" w:hAnsi="Arial" w:cs="Arial"/>
          <w:b/>
          <w:i/>
          <w:color w:val="44546A" w:themeColor="text2"/>
          <w:sz w:val="20"/>
          <w:szCs w:val="20"/>
          <w:u w:val="single"/>
        </w:rPr>
        <w:t>se tiene por incumplida la resolución del Recurso de Revisión 271/2019-1;</w:t>
      </w:r>
      <w:r w:rsidRPr="00026B9E">
        <w:rPr>
          <w:rFonts w:ascii="Arial" w:hAnsi="Arial" w:cs="Arial"/>
          <w:i/>
          <w:color w:val="44546A" w:themeColor="text2"/>
          <w:sz w:val="20"/>
          <w:szCs w:val="20"/>
        </w:rPr>
        <w:t xml:space="preserve"> ya que no se cumple con lo establecido en el resolutivo en análisis, en virtud </w:t>
      </w:r>
      <w:r w:rsidRPr="00026B9E">
        <w:rPr>
          <w:rFonts w:ascii="Arial" w:hAnsi="Arial" w:cs="Arial"/>
          <w:i/>
          <w:color w:val="44546A" w:themeColor="text2"/>
          <w:sz w:val="20"/>
          <w:szCs w:val="20"/>
        </w:rPr>
        <w:lastRenderedPageBreak/>
        <w:t>de que como ha quedado visto en el presente acuerdo, el sujeto obligado no rindió informe mediante el cual acredite el cumplimiento a la resolución de mérito, y en consecuencia, se conmina al sujeto obligado a que:</w:t>
      </w:r>
    </w:p>
    <w:p w:rsidR="00026B9E" w:rsidRPr="00026B9E" w:rsidRDefault="00026B9E" w:rsidP="00026B9E">
      <w:pPr>
        <w:spacing w:line="360" w:lineRule="auto"/>
        <w:ind w:firstLine="709"/>
        <w:jc w:val="both"/>
        <w:rPr>
          <w:rFonts w:ascii="Arial" w:hAnsi="Arial" w:cs="Arial"/>
          <w:i/>
          <w:color w:val="44546A" w:themeColor="text2"/>
          <w:sz w:val="20"/>
          <w:szCs w:val="20"/>
        </w:rPr>
      </w:pPr>
    </w:p>
    <w:p w:rsidR="00026B9E" w:rsidRPr="00026B9E" w:rsidRDefault="00026B9E" w:rsidP="00026B9E">
      <w:pPr>
        <w:pStyle w:val="Prrafodelista"/>
        <w:numPr>
          <w:ilvl w:val="0"/>
          <w:numId w:val="2"/>
        </w:numPr>
        <w:spacing w:line="360" w:lineRule="auto"/>
        <w:jc w:val="both"/>
        <w:rPr>
          <w:rFonts w:cs="Arial"/>
          <w:i/>
          <w:color w:val="44546A" w:themeColor="text2"/>
          <w:sz w:val="20"/>
        </w:rPr>
      </w:pPr>
      <w:r w:rsidRPr="00026B9E">
        <w:rPr>
          <w:rFonts w:cs="Arial"/>
          <w:i/>
          <w:color w:val="44546A" w:themeColor="text2"/>
          <w:sz w:val="20"/>
        </w:rPr>
        <w:t>Proporcione al particular la información relativa a los formatos alojados en la plataforma estatal de transparencia, relativa al artículo 84, fracción XXXI de la ley de transparencia, de los meses, noviembre y diciembre 2018 dos mil dieciocho.</w:t>
      </w:r>
    </w:p>
    <w:p w:rsidR="00026B9E" w:rsidRPr="00026B9E" w:rsidRDefault="00026B9E" w:rsidP="00026B9E">
      <w:pPr>
        <w:pStyle w:val="Prrafodelista"/>
        <w:numPr>
          <w:ilvl w:val="0"/>
          <w:numId w:val="2"/>
        </w:numPr>
        <w:spacing w:line="360" w:lineRule="auto"/>
        <w:jc w:val="both"/>
        <w:rPr>
          <w:rFonts w:cs="Arial"/>
          <w:i/>
          <w:color w:val="44546A" w:themeColor="text2"/>
          <w:sz w:val="20"/>
        </w:rPr>
      </w:pPr>
      <w:r w:rsidRPr="00026B9E">
        <w:rPr>
          <w:rFonts w:cs="Arial"/>
          <w:i/>
          <w:color w:val="44546A" w:themeColor="text2"/>
          <w:sz w:val="20"/>
        </w:rPr>
        <w:t>En la inteligencia de que de lo contrario será acreedor</w:t>
      </w:r>
      <w:r w:rsidRPr="00026B9E">
        <w:rPr>
          <w:rFonts w:cs="Arial"/>
          <w:b/>
          <w:i/>
          <w:color w:val="44546A" w:themeColor="text2"/>
          <w:sz w:val="20"/>
        </w:rPr>
        <w:t xml:space="preserve"> </w:t>
      </w:r>
      <w:r w:rsidRPr="00026B9E">
        <w:rPr>
          <w:rFonts w:cs="Arial"/>
          <w:i/>
          <w:color w:val="44546A" w:themeColor="text2"/>
          <w:sz w:val="20"/>
        </w:rPr>
        <w:t xml:space="preserve">a la medida de apremio consistente en una </w:t>
      </w:r>
      <w:r w:rsidRPr="00026B9E">
        <w:rPr>
          <w:rFonts w:cs="Arial"/>
          <w:b/>
          <w:i/>
          <w:color w:val="44546A" w:themeColor="text2"/>
          <w:sz w:val="20"/>
          <w:u w:val="single"/>
        </w:rPr>
        <w:t>MULTA</w:t>
      </w:r>
      <w:r w:rsidRPr="00026B9E">
        <w:rPr>
          <w:rFonts w:cs="Arial"/>
          <w:i/>
          <w:color w:val="44546A" w:themeColor="text2"/>
          <w:sz w:val="20"/>
        </w:rPr>
        <w:t>, de conformidad con el artículo 190 fracción II y 197 fracción XV de la Ley de Transparencia y Acceso a la Información Pública del Estado.</w:t>
      </w:r>
    </w:p>
    <w:p w:rsidR="00026B9E" w:rsidRPr="00026B9E" w:rsidRDefault="00026B9E" w:rsidP="00026B9E">
      <w:pPr>
        <w:pStyle w:val="Prrafodelista"/>
        <w:numPr>
          <w:ilvl w:val="0"/>
          <w:numId w:val="2"/>
        </w:numPr>
        <w:spacing w:line="360" w:lineRule="auto"/>
        <w:jc w:val="both"/>
        <w:rPr>
          <w:rFonts w:cs="Arial"/>
          <w:i/>
          <w:color w:val="44546A" w:themeColor="text2"/>
          <w:sz w:val="20"/>
        </w:rPr>
      </w:pPr>
      <w:r w:rsidRPr="00026B9E">
        <w:rPr>
          <w:rFonts w:cs="Arial"/>
          <w:i/>
          <w:color w:val="44546A" w:themeColor="text2"/>
          <w:sz w:val="20"/>
        </w:rPr>
        <w:t>Deberá Remitir a este Órgano Garante, además del Informe de cumplimiento y la gestión para la obtención de la información en las áreas correspondientes, así como, la notificación al recurrente de la totalidad de lo conminado, a través del medio que señalo para tal efecto, para que sea llevado a cabo el estudio correspondiente.</w:t>
      </w:r>
    </w:p>
    <w:p w:rsidR="00026B9E" w:rsidRPr="00026B9E" w:rsidRDefault="00026B9E" w:rsidP="00026B9E">
      <w:pPr>
        <w:spacing w:line="360" w:lineRule="auto"/>
        <w:jc w:val="both"/>
        <w:rPr>
          <w:rFonts w:ascii="Arial" w:hAnsi="Arial" w:cs="Arial"/>
          <w:i/>
          <w:color w:val="44546A" w:themeColor="text2"/>
          <w:sz w:val="20"/>
          <w:szCs w:val="20"/>
        </w:rPr>
      </w:pPr>
    </w:p>
    <w:p w:rsidR="00026B9E" w:rsidRPr="00026B9E" w:rsidRDefault="00026B9E" w:rsidP="00026B9E">
      <w:pPr>
        <w:spacing w:line="360" w:lineRule="auto"/>
        <w:ind w:firstLine="680"/>
        <w:jc w:val="both"/>
        <w:rPr>
          <w:rFonts w:ascii="Arial" w:hAnsi="Arial" w:cs="Arial"/>
          <w:b/>
          <w:i/>
          <w:color w:val="44546A" w:themeColor="text2"/>
          <w:sz w:val="20"/>
          <w:szCs w:val="20"/>
        </w:rPr>
      </w:pPr>
      <w:r w:rsidRPr="00026B9E">
        <w:rPr>
          <w:rFonts w:ascii="Arial" w:hAnsi="Arial" w:cs="Arial"/>
          <w:i/>
          <w:color w:val="44546A" w:themeColor="text2"/>
          <w:sz w:val="20"/>
          <w:szCs w:val="20"/>
        </w:rPr>
        <w:t xml:space="preserve">En virtud de las consideraciones expuestas, y con fundamento en lo dispuesto por el artículo 185 de la Ley de Transparencia, así como en el lineamiento vigésimo primero de los Lineamientos para la Recepción, Substanciación, Resolución y Cumplimiento de los Recursos de Revisión que lleva este cuerpo colegiado, </w:t>
      </w:r>
      <w:r w:rsidRPr="00026B9E">
        <w:rPr>
          <w:rFonts w:ascii="Arial" w:hAnsi="Arial" w:cs="Arial"/>
          <w:b/>
          <w:i/>
          <w:color w:val="44546A" w:themeColor="text2"/>
          <w:sz w:val="20"/>
          <w:szCs w:val="20"/>
          <w:u w:val="single"/>
        </w:rPr>
        <w:t>se requiere al Titular del Municipio de Aquismón, en su carácter de superior jerárquico del Titular de la Unidad de Transparencia, para que dentro del término de 03 tres días hábiles contados a partir del día siguiente en que se practique la respectiva notificación, acompañe las constancias necesarias que acrediten el cumplimiento dado a la resolución dictada dentro del recurso de revisión en que se actúa</w:t>
      </w:r>
      <w:r w:rsidRPr="00026B9E">
        <w:rPr>
          <w:rFonts w:ascii="Arial" w:hAnsi="Arial" w:cs="Arial"/>
          <w:i/>
          <w:color w:val="44546A" w:themeColor="text2"/>
          <w:sz w:val="20"/>
          <w:szCs w:val="20"/>
        </w:rPr>
        <w:t xml:space="preserve">, tomando en cuenta las consideraciones contenidas en el presente proveído, </w:t>
      </w:r>
      <w:r w:rsidRPr="00026B9E">
        <w:rPr>
          <w:rFonts w:ascii="Arial" w:hAnsi="Arial" w:cs="Arial"/>
          <w:b/>
          <w:i/>
          <w:color w:val="44546A" w:themeColor="text2"/>
          <w:sz w:val="20"/>
          <w:szCs w:val="20"/>
          <w:u w:val="single"/>
        </w:rPr>
        <w:t>apercibido</w:t>
      </w:r>
      <w:r w:rsidRPr="00026B9E">
        <w:rPr>
          <w:rFonts w:ascii="Arial" w:hAnsi="Arial" w:cs="Arial"/>
          <w:i/>
          <w:color w:val="44546A" w:themeColor="text2"/>
          <w:sz w:val="20"/>
          <w:szCs w:val="20"/>
        </w:rPr>
        <w:t xml:space="preserve"> de que de no hacerlo, se impondrá en su contra la medida de apremio consistente en una </w:t>
      </w:r>
      <w:r w:rsidRPr="00026B9E">
        <w:rPr>
          <w:rFonts w:ascii="Arial" w:hAnsi="Arial" w:cs="Arial"/>
          <w:b/>
          <w:i/>
          <w:color w:val="44546A" w:themeColor="text2"/>
          <w:sz w:val="20"/>
          <w:szCs w:val="20"/>
          <w:u w:val="single"/>
        </w:rPr>
        <w:t>MULTA</w:t>
      </w:r>
      <w:r w:rsidRPr="00026B9E">
        <w:rPr>
          <w:rFonts w:ascii="Arial" w:hAnsi="Arial" w:cs="Arial"/>
          <w:i/>
          <w:color w:val="44546A" w:themeColor="text2"/>
          <w:sz w:val="20"/>
          <w:szCs w:val="20"/>
        </w:rPr>
        <w:t xml:space="preserve">, de conformidad con el artículo 190 fracción II y 197 fracción XV de la Ley de Transparencia y Acceso a la Información Pública del Estado. </w:t>
      </w:r>
    </w:p>
    <w:p w:rsidR="00026B9E" w:rsidRPr="00026B9E" w:rsidRDefault="00026B9E" w:rsidP="00026B9E">
      <w:pPr>
        <w:spacing w:line="360" w:lineRule="auto"/>
        <w:ind w:firstLine="680"/>
        <w:jc w:val="both"/>
        <w:rPr>
          <w:rFonts w:ascii="Arial" w:hAnsi="Arial" w:cs="Arial"/>
          <w:i/>
          <w:color w:val="44546A" w:themeColor="text2"/>
          <w:sz w:val="20"/>
          <w:szCs w:val="20"/>
          <w:lang w:val="es-MX"/>
        </w:rPr>
      </w:pPr>
    </w:p>
    <w:p w:rsidR="00026B9E" w:rsidRPr="00026B9E" w:rsidRDefault="00026B9E" w:rsidP="00026B9E">
      <w:pPr>
        <w:spacing w:line="360" w:lineRule="auto"/>
        <w:ind w:firstLine="680"/>
        <w:jc w:val="both"/>
        <w:rPr>
          <w:rFonts w:ascii="Arial" w:hAnsi="Arial" w:cs="Arial"/>
          <w:i/>
          <w:color w:val="44546A" w:themeColor="text2"/>
          <w:sz w:val="20"/>
          <w:szCs w:val="20"/>
        </w:rPr>
      </w:pPr>
      <w:r w:rsidRPr="00026B9E">
        <w:rPr>
          <w:rFonts w:ascii="Arial" w:hAnsi="Arial" w:cs="Arial"/>
          <w:i/>
          <w:color w:val="44546A" w:themeColor="text2"/>
          <w:sz w:val="20"/>
          <w:szCs w:val="20"/>
        </w:rPr>
        <w:t xml:space="preserve">De igual modo, </w:t>
      </w:r>
      <w:r w:rsidRPr="00026B9E">
        <w:rPr>
          <w:rFonts w:ascii="Arial" w:hAnsi="Arial" w:cs="Arial"/>
          <w:b/>
          <w:i/>
          <w:color w:val="44546A" w:themeColor="text2"/>
          <w:sz w:val="20"/>
          <w:szCs w:val="20"/>
          <w:u w:val="single"/>
        </w:rPr>
        <w:t xml:space="preserve">se requiere al Titular del Municipio de Aquismón , para que en el mismo término concedido en el párrafo anterior, con fundamento en los Lineamientos que Determinan el Trámite Interno de las Medidas de Apremio Establecidas en la Ley de Transparencia y Acceso a la Información Pública del Estado, específicamente en los Lineamientos Cuarto, inciso b) y Octavo, remita a esta Comisión la información necesaria para efecto de determinar sus circunstancias </w:t>
      </w:r>
      <w:r w:rsidRPr="00026B9E">
        <w:rPr>
          <w:rFonts w:ascii="Arial" w:hAnsi="Arial" w:cs="Arial"/>
          <w:b/>
          <w:i/>
          <w:color w:val="44546A" w:themeColor="text2"/>
          <w:sz w:val="20"/>
          <w:szCs w:val="20"/>
          <w:u w:val="single"/>
        </w:rPr>
        <w:lastRenderedPageBreak/>
        <w:t>económicas, esto en términos de los artículos 189 fracción IV y 192 de la Ley de la materia; apercibido de que en caso de no proporcionarla, la multa se cuantificará con base en los elementos establecidos en el artículo 192 de la Ley</w:t>
      </w:r>
      <w:r w:rsidRPr="00026B9E">
        <w:rPr>
          <w:rFonts w:ascii="Arial" w:hAnsi="Arial" w:cs="Arial"/>
          <w:i/>
          <w:color w:val="44546A" w:themeColor="text2"/>
          <w:sz w:val="20"/>
          <w:szCs w:val="20"/>
        </w:rPr>
        <w:t>:</w:t>
      </w:r>
    </w:p>
    <w:p w:rsidR="00026B9E" w:rsidRPr="00026B9E" w:rsidRDefault="00026B9E" w:rsidP="00026B9E">
      <w:pPr>
        <w:spacing w:line="360" w:lineRule="auto"/>
        <w:ind w:firstLine="680"/>
        <w:jc w:val="both"/>
        <w:rPr>
          <w:rFonts w:ascii="Arial" w:hAnsi="Arial" w:cs="Arial"/>
          <w:b/>
          <w:i/>
          <w:color w:val="44546A" w:themeColor="text2"/>
          <w:sz w:val="20"/>
          <w:szCs w:val="20"/>
          <w:u w:val="single"/>
        </w:rPr>
      </w:pPr>
    </w:p>
    <w:p w:rsidR="00026B9E" w:rsidRPr="00026B9E" w:rsidRDefault="00026B9E" w:rsidP="00026B9E">
      <w:pPr>
        <w:spacing w:line="360" w:lineRule="auto"/>
        <w:ind w:left="680"/>
        <w:jc w:val="both"/>
        <w:rPr>
          <w:rFonts w:ascii="Arial" w:hAnsi="Arial" w:cs="Arial"/>
          <w:i/>
          <w:color w:val="44546A" w:themeColor="text2"/>
          <w:sz w:val="20"/>
          <w:szCs w:val="20"/>
        </w:rPr>
      </w:pPr>
      <w:r w:rsidRPr="00026B9E">
        <w:rPr>
          <w:rFonts w:ascii="Arial" w:hAnsi="Arial" w:cs="Arial"/>
          <w:i/>
          <w:color w:val="44546A" w:themeColor="text2"/>
          <w:sz w:val="20"/>
          <w:szCs w:val="20"/>
        </w:rPr>
        <w:t>“</w:t>
      </w:r>
      <w:r w:rsidRPr="00026B9E">
        <w:rPr>
          <w:rFonts w:ascii="Arial" w:hAnsi="Arial" w:cs="Arial"/>
          <w:b/>
          <w:i/>
          <w:color w:val="44546A" w:themeColor="text2"/>
          <w:sz w:val="20"/>
          <w:szCs w:val="20"/>
        </w:rPr>
        <w:t>ARTÍCULO 192.</w:t>
      </w:r>
      <w:r w:rsidRPr="00026B9E">
        <w:rPr>
          <w:rFonts w:ascii="Arial" w:hAnsi="Arial" w:cs="Arial"/>
          <w:i/>
          <w:color w:val="44546A" w:themeColor="text2"/>
          <w:sz w:val="20"/>
          <w:szCs w:val="20"/>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rsidR="00026B9E" w:rsidRPr="00026B9E" w:rsidRDefault="00026B9E" w:rsidP="00026B9E">
      <w:pPr>
        <w:spacing w:line="360" w:lineRule="auto"/>
        <w:ind w:firstLine="709"/>
        <w:jc w:val="both"/>
        <w:rPr>
          <w:rFonts w:ascii="Arial" w:hAnsi="Arial" w:cs="Arial"/>
          <w:i/>
          <w:color w:val="44546A" w:themeColor="text2"/>
          <w:sz w:val="20"/>
          <w:szCs w:val="20"/>
        </w:rPr>
      </w:pPr>
    </w:p>
    <w:p w:rsidR="00026B9E" w:rsidRPr="00026B9E" w:rsidRDefault="00026B9E" w:rsidP="00026B9E">
      <w:pPr>
        <w:spacing w:line="360" w:lineRule="auto"/>
        <w:ind w:firstLine="680"/>
        <w:jc w:val="both"/>
        <w:rPr>
          <w:rFonts w:ascii="Arial" w:hAnsi="Arial" w:cs="Arial"/>
          <w:i/>
          <w:color w:val="44546A" w:themeColor="text2"/>
          <w:sz w:val="20"/>
          <w:szCs w:val="20"/>
        </w:rPr>
      </w:pPr>
      <w:r w:rsidRPr="00026B9E">
        <w:rPr>
          <w:rFonts w:ascii="Arial" w:hAnsi="Arial" w:cs="Arial"/>
          <w:i/>
          <w:color w:val="44546A" w:themeColor="text2"/>
          <w:sz w:val="20"/>
          <w:szCs w:val="20"/>
        </w:rPr>
        <w:t>Así lo proveyó y firma el Comisionado ponente de la Comisión Estatal de Garantía de Acceso a la Información Pública Licenciado David Enrique Menchaca Zúñiga, que actúa con Licenciada Rosa María Motilla García, Secretaria de Pleno de esta Comisión.</w:t>
      </w:r>
      <w:bookmarkStart w:id="1" w:name="_Hlk487626562"/>
      <w:r w:rsidRPr="00026B9E">
        <w:rPr>
          <w:rFonts w:ascii="Arial" w:hAnsi="Arial" w:cs="Arial"/>
          <w:i/>
          <w:color w:val="44546A" w:themeColor="text2"/>
          <w:sz w:val="20"/>
          <w:szCs w:val="20"/>
        </w:rPr>
        <w:t xml:space="preserve"> </w:t>
      </w:r>
      <w:r w:rsidRPr="00026B9E">
        <w:rPr>
          <w:rFonts w:ascii="Arial" w:hAnsi="Arial" w:cs="Arial"/>
          <w:b/>
          <w:i/>
          <w:color w:val="44546A" w:themeColor="text2"/>
          <w:sz w:val="20"/>
          <w:szCs w:val="20"/>
        </w:rPr>
        <w:t>Notifíquese por lista y personalmente a las partes.</w:t>
      </w:r>
      <w:bookmarkEnd w:id="1"/>
      <w:r w:rsidRPr="00026B9E">
        <w:rPr>
          <w:rFonts w:ascii="Arial" w:hAnsi="Arial" w:cs="Arial"/>
          <w:i/>
          <w:color w:val="44546A" w:themeColor="text2"/>
          <w:sz w:val="20"/>
          <w:szCs w:val="20"/>
        </w:rPr>
        <w:t>”</w:t>
      </w:r>
    </w:p>
    <w:p w:rsidR="00ED2ED7" w:rsidRPr="00ED2ED7" w:rsidRDefault="00ED2ED7" w:rsidP="00ED2ED7">
      <w:pPr>
        <w:rPr>
          <w:rFonts w:ascii="Arial" w:hAnsi="Arial" w:cs="Arial"/>
          <w:i/>
          <w:color w:val="44546A" w:themeColor="text2"/>
          <w:sz w:val="16"/>
          <w:szCs w:val="16"/>
          <w:vertAlign w:val="superscript"/>
        </w:rPr>
      </w:pPr>
      <w:r w:rsidRPr="00ED2ED7">
        <w:rPr>
          <w:rFonts w:ascii="Arial" w:hAnsi="Arial" w:cs="Arial"/>
          <w:i/>
          <w:color w:val="44546A" w:themeColor="text2"/>
          <w:sz w:val="16"/>
          <w:szCs w:val="16"/>
          <w:vertAlign w:val="superscript"/>
        </w:rPr>
        <w:t>HVI.</w:t>
      </w:r>
    </w:p>
    <w:p w:rsidR="00BD4366" w:rsidRPr="00AD3AA3" w:rsidRDefault="00BD4366" w:rsidP="00AD3AA3">
      <w:pPr>
        <w:spacing w:line="360" w:lineRule="auto"/>
        <w:ind w:firstLine="567"/>
        <w:jc w:val="both"/>
        <w:rPr>
          <w:rFonts w:ascii="Arial" w:hAnsi="Arial" w:cs="Arial"/>
          <w:i/>
          <w:color w:val="44546A" w:themeColor="text2"/>
          <w:sz w:val="20"/>
          <w:szCs w:val="20"/>
        </w:rPr>
      </w:pPr>
    </w:p>
    <w:p w:rsidR="00FE10DF" w:rsidRDefault="00BD4366" w:rsidP="00BD4366">
      <w:pPr>
        <w:tabs>
          <w:tab w:val="left" w:pos="932"/>
        </w:tabs>
        <w:spacing w:after="200" w:line="276" w:lineRule="auto"/>
        <w:jc w:val="both"/>
        <w:rPr>
          <w:rFonts w:ascii="Arial" w:eastAsia="Calibri" w:hAnsi="Arial" w:cs="Arial"/>
          <w:sz w:val="20"/>
          <w:szCs w:val="18"/>
          <w:lang w:val="es-MX"/>
        </w:rPr>
      </w:pPr>
      <w:r w:rsidRPr="00FE10DF">
        <w:rPr>
          <w:rFonts w:ascii="Arial" w:eastAsia="Calibri" w:hAnsi="Arial" w:cs="Arial"/>
          <w:sz w:val="20"/>
          <w:szCs w:val="18"/>
          <w:lang w:val="es-MX"/>
        </w:rPr>
        <w:t xml:space="preserve">         </w:t>
      </w:r>
    </w:p>
    <w:p w:rsidR="00BD4366" w:rsidRPr="00FE10DF" w:rsidRDefault="00BD4366" w:rsidP="00BD4366">
      <w:pPr>
        <w:tabs>
          <w:tab w:val="left" w:pos="932"/>
        </w:tabs>
        <w:spacing w:after="200" w:line="276" w:lineRule="auto"/>
        <w:jc w:val="both"/>
        <w:rPr>
          <w:rFonts w:ascii="Arial" w:eastAsia="Calibri" w:hAnsi="Arial" w:cs="Arial"/>
          <w:szCs w:val="18"/>
          <w:lang w:val="es-MX"/>
        </w:rPr>
      </w:pPr>
      <w:r w:rsidRPr="00FE10DF">
        <w:rPr>
          <w:rFonts w:ascii="Arial" w:eastAsia="Calibri" w:hAnsi="Arial" w:cs="Arial"/>
          <w:szCs w:val="18"/>
          <w:lang w:val="es-MX"/>
        </w:rPr>
        <w:t xml:space="preserve">    Lo que transcribo a Usted para su conocimiento y efectos legales consiguientes en vía de notificación del auto inserto.</w:t>
      </w:r>
    </w:p>
    <w:p w:rsidR="00BD4366" w:rsidRPr="00FE10DF" w:rsidRDefault="00BD4366" w:rsidP="00BD4366">
      <w:pPr>
        <w:spacing w:after="0" w:line="240" w:lineRule="auto"/>
        <w:jc w:val="center"/>
        <w:rPr>
          <w:rFonts w:ascii="Arial" w:eastAsia="Times New Roman" w:hAnsi="Arial" w:cs="Arial"/>
          <w:b/>
          <w:szCs w:val="24"/>
          <w:lang w:val="es-MX" w:eastAsia="es-ES"/>
        </w:rPr>
      </w:pPr>
      <w:r w:rsidRPr="00FE10DF">
        <w:rPr>
          <w:rFonts w:ascii="Arial" w:eastAsia="Times New Roman" w:hAnsi="Arial" w:cs="Arial"/>
          <w:b/>
          <w:szCs w:val="24"/>
          <w:lang w:val="es-MX" w:eastAsia="es-ES"/>
        </w:rPr>
        <w:t>Atentamente.</w:t>
      </w:r>
    </w:p>
    <w:p w:rsidR="00BD4366" w:rsidRPr="00FE10DF" w:rsidRDefault="00BD4366" w:rsidP="00BD4366">
      <w:pPr>
        <w:spacing w:after="0" w:line="240" w:lineRule="auto"/>
        <w:rPr>
          <w:rFonts w:ascii="Arial" w:eastAsia="Times New Roman" w:hAnsi="Arial" w:cs="Arial"/>
          <w:b/>
          <w:szCs w:val="24"/>
          <w:lang w:val="es-MX" w:eastAsia="es-ES"/>
        </w:rPr>
      </w:pPr>
    </w:p>
    <w:p w:rsidR="00BD4366" w:rsidRPr="00FE10DF" w:rsidRDefault="00BD4366" w:rsidP="00BD4366">
      <w:pPr>
        <w:spacing w:after="0" w:line="240" w:lineRule="auto"/>
        <w:rPr>
          <w:rFonts w:ascii="Arial" w:eastAsia="Times New Roman" w:hAnsi="Arial" w:cs="Arial"/>
          <w:b/>
          <w:szCs w:val="24"/>
          <w:lang w:val="es-MX" w:eastAsia="es-ES"/>
        </w:rPr>
      </w:pPr>
    </w:p>
    <w:p w:rsidR="00BD4366" w:rsidRPr="00FE10DF" w:rsidRDefault="00BD4366" w:rsidP="00FE10DF">
      <w:pPr>
        <w:spacing w:after="0" w:line="276" w:lineRule="auto"/>
        <w:jc w:val="center"/>
        <w:rPr>
          <w:rFonts w:ascii="Arial" w:eastAsia="Calibri" w:hAnsi="Arial" w:cs="Arial"/>
          <w:b/>
          <w:lang w:val="es-MX"/>
        </w:rPr>
      </w:pPr>
      <w:r w:rsidRPr="00FE10DF">
        <w:rPr>
          <w:rFonts w:ascii="Arial" w:eastAsia="Calibri" w:hAnsi="Arial" w:cs="Arial"/>
          <w:b/>
          <w:lang w:val="es-MX"/>
        </w:rPr>
        <w:t>Javier Pérez Limón</w:t>
      </w:r>
    </w:p>
    <w:p w:rsidR="00BD4366" w:rsidRPr="00FE10DF" w:rsidRDefault="00BD4366" w:rsidP="00FE10DF">
      <w:pPr>
        <w:spacing w:after="0"/>
        <w:jc w:val="center"/>
        <w:rPr>
          <w:lang w:val="es-MX"/>
        </w:rPr>
      </w:pPr>
      <w:r w:rsidRPr="00FE10DF">
        <w:rPr>
          <w:rFonts w:ascii="Arial" w:eastAsia="Calibri" w:hAnsi="Arial" w:cs="Arial"/>
          <w:b/>
          <w:lang w:val="es-MX"/>
        </w:rPr>
        <w:t>Notificador</w:t>
      </w:r>
    </w:p>
    <w:p w:rsidR="00BD4366" w:rsidRPr="00E94495" w:rsidRDefault="00BD4366" w:rsidP="00BD4366">
      <w:pPr>
        <w:rPr>
          <w:lang w:val="es-MX"/>
        </w:rPr>
      </w:pPr>
    </w:p>
    <w:p w:rsidR="000A404C" w:rsidRPr="005A47D6" w:rsidRDefault="00AB0E10">
      <w:pPr>
        <w:rPr>
          <w:lang w:val="es-MX"/>
        </w:rPr>
      </w:pPr>
    </w:p>
    <w:sectPr w:rsidR="000A404C" w:rsidRPr="005A47D6" w:rsidSect="002C6B9F">
      <w:headerReference w:type="default" r:id="rId7"/>
      <w:pgSz w:w="12247" w:h="19335" w:code="300"/>
      <w:pgMar w:top="2835" w:right="851" w:bottom="2552"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B0E10" w:rsidRDefault="00AB0E10" w:rsidP="005A47D6">
      <w:pPr>
        <w:spacing w:after="0" w:line="240" w:lineRule="auto"/>
      </w:pPr>
      <w:r>
        <w:separator/>
      </w:r>
    </w:p>
  </w:endnote>
  <w:endnote w:type="continuationSeparator" w:id="0">
    <w:p w:rsidR="00AB0E10" w:rsidRDefault="00AB0E10" w:rsidP="005A47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B0E10" w:rsidRDefault="00AB0E10" w:rsidP="005A47D6">
      <w:pPr>
        <w:spacing w:after="0" w:line="240" w:lineRule="auto"/>
      </w:pPr>
      <w:r>
        <w:separator/>
      </w:r>
    </w:p>
  </w:footnote>
  <w:footnote w:type="continuationSeparator" w:id="0">
    <w:p w:rsidR="00AB0E10" w:rsidRDefault="00AB0E10" w:rsidP="005A47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10DF" w:rsidRPr="00FE10DF" w:rsidRDefault="00E5298F" w:rsidP="00FE10DF">
    <w:pPr>
      <w:pStyle w:val="Piedepgina"/>
      <w:rPr>
        <w:i/>
      </w:rPr>
    </w:pPr>
    <w:r>
      <w:rPr>
        <w:rFonts w:ascii="Arial" w:hAnsi="Arial" w:cs="Arial"/>
        <w:i/>
        <w:color w:val="222222"/>
        <w:shd w:val="clear" w:color="auto" w:fill="FFFFFF"/>
      </w:rPr>
      <w:tab/>
      <w:t xml:space="preserve">                  </w:t>
    </w:r>
    <w:r w:rsidR="00FE10DF" w:rsidRPr="00FE10DF">
      <w:rPr>
        <w:rFonts w:ascii="Arial" w:hAnsi="Arial" w:cs="Arial"/>
        <w:i/>
        <w:color w:val="222222"/>
        <w:shd w:val="clear" w:color="auto" w:fill="FFFFFF"/>
      </w:rPr>
      <w:t>2022, AÑO DE LAS Y LOS MIGRANTES DE SAN LUIS POTOSÍ</w:t>
    </w:r>
  </w:p>
  <w:p w:rsidR="005A47D6" w:rsidRPr="005A47D6" w:rsidRDefault="005A47D6">
    <w:pPr>
      <w:pStyle w:val="Encabezado"/>
      <w:rPr>
        <w:rFonts w:ascii="Arial" w:hAnsi="Arial" w:cs="Arial"/>
        <w:b/>
        <w:sz w:val="24"/>
        <w:szCs w:val="24"/>
        <w:lang w:val="es-MX"/>
      </w:rPr>
    </w:pPr>
    <w:r>
      <w:rPr>
        <w:rFonts w:ascii="Arial" w:hAnsi="Arial" w:cs="Arial"/>
        <w:b/>
        <w:sz w:val="24"/>
        <w:szCs w:val="24"/>
        <w:lang w:val="es-MX"/>
      </w:rPr>
      <w:t xml:space="preserve">                                                                                  </w:t>
    </w:r>
    <w:r w:rsidR="00E5298F">
      <w:rPr>
        <w:rFonts w:ascii="Arial" w:hAnsi="Arial" w:cs="Arial"/>
        <w:b/>
        <w:sz w:val="24"/>
        <w:szCs w:val="24"/>
        <w:lang w:val="es-MX"/>
      </w:rPr>
      <w:tab/>
    </w:r>
    <w:r>
      <w:rPr>
        <w:rFonts w:ascii="Arial" w:hAnsi="Arial" w:cs="Arial"/>
        <w:b/>
        <w:sz w:val="24"/>
        <w:szCs w:val="24"/>
        <w:lang w:val="es-MX"/>
      </w:rPr>
      <w:t>RR-</w:t>
    </w:r>
    <w:r w:rsidR="00ED2ED7">
      <w:rPr>
        <w:rFonts w:ascii="Arial" w:hAnsi="Arial" w:cs="Arial"/>
        <w:b/>
        <w:sz w:val="24"/>
        <w:szCs w:val="24"/>
        <w:lang w:val="es-MX"/>
      </w:rPr>
      <w:t>2</w:t>
    </w:r>
    <w:r w:rsidR="00026B9E">
      <w:rPr>
        <w:rFonts w:ascii="Arial" w:hAnsi="Arial" w:cs="Arial"/>
        <w:b/>
        <w:sz w:val="24"/>
        <w:szCs w:val="24"/>
        <w:lang w:val="es-MX"/>
      </w:rPr>
      <w:t>71</w:t>
    </w:r>
    <w:r>
      <w:rPr>
        <w:rFonts w:ascii="Arial" w:hAnsi="Arial" w:cs="Arial"/>
        <w:b/>
        <w:sz w:val="24"/>
        <w:szCs w:val="24"/>
        <w:lang w:val="es-MX"/>
      </w:rPr>
      <w:t>/20</w:t>
    </w:r>
    <w:r w:rsidR="00026B9E">
      <w:rPr>
        <w:rFonts w:ascii="Arial" w:hAnsi="Arial" w:cs="Arial"/>
        <w:b/>
        <w:sz w:val="24"/>
        <w:szCs w:val="24"/>
        <w:lang w:val="es-MX"/>
      </w:rPr>
      <w:t>19</w:t>
    </w:r>
    <w:r>
      <w:rPr>
        <w:rFonts w:ascii="Arial" w:hAnsi="Arial" w:cs="Arial"/>
        <w:b/>
        <w:sz w:val="24"/>
        <w:szCs w:val="24"/>
        <w:lang w:val="es-MX"/>
      </w:rPr>
      <w:t>-1</w:t>
    </w:r>
    <w:r w:rsidR="00ED2ED7">
      <w:rPr>
        <w:rFonts w:ascii="Arial" w:hAnsi="Arial" w:cs="Arial"/>
        <w:b/>
        <w:sz w:val="24"/>
        <w:szCs w:val="24"/>
        <w:lang w:val="es-MX"/>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 w15:restartNumberingAfterBreak="0">
    <w:nsid w:val="588F356F"/>
    <w:multiLevelType w:val="hybridMultilevel"/>
    <w:tmpl w:val="1E02853A"/>
    <w:lvl w:ilvl="0" w:tplc="78B2AD62">
      <w:start w:val="1"/>
      <w:numFmt w:val="lowerLetter"/>
      <w:lvlText w:val="%1)"/>
      <w:lvlJc w:val="left"/>
      <w:pPr>
        <w:ind w:left="1040" w:hanging="360"/>
      </w:pPr>
      <w:rPr>
        <w:rFonts w:hint="default"/>
        <w:b/>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47D6"/>
    <w:rsid w:val="00026B9E"/>
    <w:rsid w:val="000F0B5C"/>
    <w:rsid w:val="00127FA7"/>
    <w:rsid w:val="0014282D"/>
    <w:rsid w:val="00186AC9"/>
    <w:rsid w:val="00187D95"/>
    <w:rsid w:val="00192149"/>
    <w:rsid w:val="001F39C4"/>
    <w:rsid w:val="001F64E6"/>
    <w:rsid w:val="002012E8"/>
    <w:rsid w:val="0021399A"/>
    <w:rsid w:val="00217971"/>
    <w:rsid w:val="00217E18"/>
    <w:rsid w:val="002C6B9F"/>
    <w:rsid w:val="003073AA"/>
    <w:rsid w:val="00336320"/>
    <w:rsid w:val="003427A6"/>
    <w:rsid w:val="003679C1"/>
    <w:rsid w:val="00385A2A"/>
    <w:rsid w:val="003B283A"/>
    <w:rsid w:val="003F0712"/>
    <w:rsid w:val="00405767"/>
    <w:rsid w:val="00461777"/>
    <w:rsid w:val="004B7A02"/>
    <w:rsid w:val="004E590D"/>
    <w:rsid w:val="00525DCB"/>
    <w:rsid w:val="00553665"/>
    <w:rsid w:val="005A47D6"/>
    <w:rsid w:val="005D178C"/>
    <w:rsid w:val="0062064B"/>
    <w:rsid w:val="0063445C"/>
    <w:rsid w:val="006C5C84"/>
    <w:rsid w:val="007753D2"/>
    <w:rsid w:val="007B53A2"/>
    <w:rsid w:val="007F50CF"/>
    <w:rsid w:val="00912C6D"/>
    <w:rsid w:val="00981FD3"/>
    <w:rsid w:val="009A4425"/>
    <w:rsid w:val="009C0FA5"/>
    <w:rsid w:val="00A30CBD"/>
    <w:rsid w:val="00AB0E10"/>
    <w:rsid w:val="00AD3AA3"/>
    <w:rsid w:val="00B47FDB"/>
    <w:rsid w:val="00B579DD"/>
    <w:rsid w:val="00BA592B"/>
    <w:rsid w:val="00BD369C"/>
    <w:rsid w:val="00BD4366"/>
    <w:rsid w:val="00C07FEA"/>
    <w:rsid w:val="00C275C7"/>
    <w:rsid w:val="00C308F1"/>
    <w:rsid w:val="00C523D0"/>
    <w:rsid w:val="00C80C1A"/>
    <w:rsid w:val="00D1597D"/>
    <w:rsid w:val="00DB4FC7"/>
    <w:rsid w:val="00DC7720"/>
    <w:rsid w:val="00E22421"/>
    <w:rsid w:val="00E5298F"/>
    <w:rsid w:val="00ED2ED7"/>
    <w:rsid w:val="00F0110B"/>
    <w:rsid w:val="00F238FB"/>
    <w:rsid w:val="00F31BC0"/>
    <w:rsid w:val="00F802ED"/>
    <w:rsid w:val="00F90264"/>
    <w:rsid w:val="00F9181C"/>
    <w:rsid w:val="00F96BEE"/>
    <w:rsid w:val="00FC4A5E"/>
    <w:rsid w:val="00FE0120"/>
    <w:rsid w:val="00FE10D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9CDBDF"/>
  <w15:docId w15:val="{F5B72182-9E46-47B9-9B9F-F05C8A36D3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47D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A47D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A47D6"/>
  </w:style>
  <w:style w:type="paragraph" w:styleId="Piedepgina">
    <w:name w:val="footer"/>
    <w:basedOn w:val="Normal"/>
    <w:link w:val="PiedepginaCar"/>
    <w:uiPriority w:val="99"/>
    <w:unhideWhenUsed/>
    <w:rsid w:val="005A47D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A47D6"/>
  </w:style>
  <w:style w:type="paragraph" w:styleId="Textodeglobo">
    <w:name w:val="Balloon Text"/>
    <w:basedOn w:val="Normal"/>
    <w:link w:val="TextodegloboCar"/>
    <w:uiPriority w:val="99"/>
    <w:semiHidden/>
    <w:unhideWhenUsed/>
    <w:rsid w:val="0033632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36320"/>
    <w:rPr>
      <w:rFonts w:ascii="Segoe UI" w:hAnsi="Segoe UI" w:cs="Segoe UI"/>
      <w:sz w:val="18"/>
      <w:szCs w:val="18"/>
    </w:rPr>
  </w:style>
  <w:style w:type="paragraph" w:customStyle="1" w:styleId="xmsonormal">
    <w:name w:val="x_msonormal"/>
    <w:basedOn w:val="Normal"/>
    <w:rsid w:val="0063445C"/>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paragraph" w:styleId="Sinespaciado">
    <w:name w:val="No Spacing"/>
    <w:qFormat/>
    <w:rsid w:val="00AD3AA3"/>
    <w:pPr>
      <w:spacing w:after="0" w:line="240" w:lineRule="auto"/>
    </w:pPr>
    <w:rPr>
      <w:rFonts w:ascii="Calibri" w:eastAsia="Calibri" w:hAnsi="Calibri" w:cs="Times New Roman"/>
      <w:lang w:val="es-MX"/>
    </w:rPr>
  </w:style>
  <w:style w:type="paragraph" w:styleId="Prrafodelista">
    <w:name w:val="List Paragraph"/>
    <w:basedOn w:val="Normal"/>
    <w:uiPriority w:val="34"/>
    <w:qFormat/>
    <w:rsid w:val="00BD369C"/>
    <w:pPr>
      <w:spacing w:after="0" w:line="240" w:lineRule="auto"/>
      <w:ind w:left="720"/>
      <w:contextualSpacing/>
    </w:pPr>
    <w:rPr>
      <w:rFonts w:ascii="Arial" w:eastAsia="Times New Roman" w:hAnsi="Arial" w:cs="Times New Roman"/>
      <w:sz w:val="24"/>
      <w:szCs w:val="20"/>
      <w:lang w:eastAsia="es-MX"/>
    </w:rPr>
  </w:style>
  <w:style w:type="character" w:customStyle="1" w:styleId="corte4fondoCar1">
    <w:name w:val="corte4 fondo Car1"/>
    <w:link w:val="corte4fondo"/>
    <w:locked/>
    <w:rsid w:val="00BD369C"/>
    <w:rPr>
      <w:rFonts w:ascii="Arial" w:eastAsia="Times New Roman" w:hAnsi="Arial"/>
      <w:sz w:val="30"/>
    </w:rPr>
  </w:style>
  <w:style w:type="paragraph" w:customStyle="1" w:styleId="corte4fondo">
    <w:name w:val="corte4 fondo"/>
    <w:basedOn w:val="Normal"/>
    <w:link w:val="corte4fondoCar1"/>
    <w:qFormat/>
    <w:rsid w:val="00BD369C"/>
    <w:pPr>
      <w:spacing w:after="0" w:line="360" w:lineRule="auto"/>
      <w:ind w:firstLine="709"/>
      <w:jc w:val="both"/>
    </w:pPr>
    <w:rPr>
      <w:rFonts w:ascii="Arial" w:eastAsia="Times New Roman" w:hAnsi="Arial"/>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1132</Words>
  <Characters>6227</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7345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Leonardo Monsivais</dc:creator>
  <cp:lastModifiedBy>Marcela</cp:lastModifiedBy>
  <cp:revision>5</cp:revision>
  <cp:lastPrinted>2022-06-08T19:27:00Z</cp:lastPrinted>
  <dcterms:created xsi:type="dcterms:W3CDTF">2022-08-01T03:50:00Z</dcterms:created>
  <dcterms:modified xsi:type="dcterms:W3CDTF">2022-08-10T14:17:00Z</dcterms:modified>
</cp:coreProperties>
</file>