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B6FA2" w14:textId="28980ACE" w:rsidR="009E2B2F" w:rsidRDefault="009E2B2F">
      <w:r>
        <w:t>AÚN SE ENCUENTRA EN REVISIÓN LA DOCUMENTACIÓN RECIBIDA POR LO QUE NO SE HA GENERADO LA PUBLICACIÓN EN LA PÁGINA DEL CEEPAC</w:t>
      </w:r>
      <w:r w:rsidR="009B380E">
        <w:t>.</w:t>
      </w:r>
    </w:p>
    <w:p w14:paraId="71B6D6A4" w14:textId="77777777" w:rsidR="009E2B2F" w:rsidRDefault="009E2B2F"/>
    <w:sectPr w:rsidR="009E2B2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B2F"/>
    <w:rsid w:val="009B380E"/>
    <w:rsid w:val="009E2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1B64F"/>
  <w15:chartTrackingRefBased/>
  <w15:docId w15:val="{798FF9F5-D6C0-48A9-ACDE-30ADFFCD1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</Words>
  <Characters>106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CEEPAC SLP</cp:lastModifiedBy>
  <cp:revision>2</cp:revision>
  <dcterms:created xsi:type="dcterms:W3CDTF">2022-07-04T14:09:00Z</dcterms:created>
  <dcterms:modified xsi:type="dcterms:W3CDTF">2022-07-04T14:19:00Z</dcterms:modified>
</cp:coreProperties>
</file>