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RECURSO DE REVISIÓN </w:t>
      </w:r>
      <w:r>
        <w:rPr>
          <w:rFonts w:cs="Arial"/>
          <w:b/>
          <w:color w:val="000000" w:themeColor="text1"/>
          <w:sz w:val="24"/>
          <w:szCs w:val="24"/>
        </w:rPr>
        <w:t>442</w:t>
      </w:r>
      <w:r>
        <w:rPr>
          <w:rFonts w:cs="Arial"/>
          <w:b/>
          <w:color w:val="000000" w:themeColor="text1"/>
          <w:sz w:val="24"/>
          <w:szCs w:val="24"/>
        </w:rPr>
        <w:t>/202</w:t>
      </w:r>
      <w:r>
        <w:rPr>
          <w:rFonts w:cs="Arial"/>
          <w:b/>
          <w:color w:val="000000" w:themeColor="text1"/>
          <w:sz w:val="24"/>
          <w:szCs w:val="24"/>
        </w:rPr>
        <w:t>2</w:t>
      </w:r>
      <w:r>
        <w:rPr>
          <w:rFonts w:cs="Arial"/>
          <w:b/>
          <w:color w:val="000000" w:themeColor="text1"/>
          <w:sz w:val="24"/>
          <w:szCs w:val="24"/>
        </w:rPr>
        <w:t xml:space="preserve">-1 </w:t>
      </w:r>
    </w:p>
    <w:p w:rsidR="005C3F09" w:rsidRDefault="005C3F09">
      <w:pPr>
        <w:pStyle w:val="corte4fondo"/>
        <w:tabs>
          <w:tab w:val="left" w:pos="567"/>
        </w:tabs>
        <w:spacing w:line="240" w:lineRule="auto"/>
        <w:ind w:firstLine="0"/>
        <w:jc w:val="right"/>
        <w:rPr>
          <w:rFonts w:cs="Arial"/>
          <w:color w:val="000000" w:themeColor="text1"/>
          <w:sz w:val="24"/>
          <w:szCs w:val="24"/>
        </w:rPr>
      </w:pPr>
    </w:p>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5C3F09" w:rsidRDefault="005C3F09">
      <w:pPr>
        <w:pStyle w:val="corte4fondo"/>
        <w:tabs>
          <w:tab w:val="left" w:pos="567"/>
        </w:tabs>
        <w:spacing w:line="240" w:lineRule="auto"/>
        <w:ind w:firstLine="0"/>
        <w:jc w:val="right"/>
        <w:rPr>
          <w:rFonts w:cs="Arial"/>
          <w:b/>
          <w:color w:val="000000" w:themeColor="text1"/>
          <w:sz w:val="24"/>
          <w:szCs w:val="24"/>
        </w:rPr>
      </w:pPr>
    </w:p>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5C3F09" w:rsidRDefault="005C3F09">
      <w:pPr>
        <w:pStyle w:val="corte4fondo"/>
        <w:tabs>
          <w:tab w:val="left" w:pos="567"/>
        </w:tabs>
        <w:spacing w:line="240" w:lineRule="auto"/>
        <w:jc w:val="right"/>
        <w:rPr>
          <w:rFonts w:cs="Arial"/>
          <w:b/>
          <w:color w:val="000000" w:themeColor="text1"/>
          <w:sz w:val="24"/>
          <w:szCs w:val="24"/>
        </w:rPr>
      </w:pPr>
    </w:p>
    <w:p w:rsidR="005C3F09" w:rsidRDefault="00724659">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5C3F09" w:rsidRDefault="00724659">
      <w:pPr>
        <w:pStyle w:val="corte4fondo"/>
        <w:tabs>
          <w:tab w:val="left" w:pos="567"/>
        </w:tabs>
        <w:wordWrap w:val="0"/>
        <w:ind w:firstLine="0"/>
        <w:jc w:val="right"/>
        <w:rPr>
          <w:rFonts w:cs="Arial"/>
          <w:b/>
          <w:color w:val="000000" w:themeColor="text1"/>
          <w:sz w:val="24"/>
          <w:szCs w:val="24"/>
        </w:rPr>
      </w:pPr>
      <w:r>
        <w:rPr>
          <w:rFonts w:cs="Arial"/>
          <w:b/>
          <w:color w:val="000000" w:themeColor="text1"/>
          <w:sz w:val="24"/>
          <w:szCs w:val="24"/>
        </w:rPr>
        <w:t>MUNICIPIO DE SAN NICOLAS TOLENTINO</w:t>
      </w:r>
    </w:p>
    <w:p w:rsidR="005C3F09" w:rsidRDefault="005C3F09">
      <w:pPr>
        <w:pStyle w:val="corte4fondo"/>
        <w:tabs>
          <w:tab w:val="left" w:pos="567"/>
        </w:tabs>
        <w:ind w:firstLine="0"/>
        <w:jc w:val="right"/>
        <w:rPr>
          <w:rFonts w:cs="Arial"/>
          <w:b/>
          <w:color w:val="000000" w:themeColor="text1"/>
          <w:sz w:val="24"/>
          <w:szCs w:val="24"/>
        </w:rPr>
      </w:pPr>
    </w:p>
    <w:p w:rsidR="005C3F09" w:rsidRDefault="00724659">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San Luis Potosí, San Luis Potosí. Acuerdo del Pleno de la Comisión Estatal de Garantía de Acceso a la Información Pública, correspondiente a la sesión </w:t>
      </w:r>
      <w:r>
        <w:rPr>
          <w:rFonts w:cs="Arial"/>
          <w:color w:val="000000" w:themeColor="text1"/>
          <w:sz w:val="24"/>
          <w:szCs w:val="24"/>
        </w:rPr>
        <w:t xml:space="preserve">ordinaria </w:t>
      </w:r>
      <w:r>
        <w:rPr>
          <w:rFonts w:cs="Arial"/>
          <w:color w:val="000000" w:themeColor="text1"/>
          <w:sz w:val="24"/>
          <w:szCs w:val="24"/>
        </w:rPr>
        <w:t xml:space="preserve">del </w:t>
      </w:r>
      <w:r>
        <w:rPr>
          <w:rFonts w:cs="Arial"/>
          <w:color w:val="000000" w:themeColor="text1"/>
          <w:sz w:val="24"/>
          <w:szCs w:val="24"/>
        </w:rPr>
        <w:t xml:space="preserve">06 seis </w:t>
      </w:r>
      <w:r>
        <w:rPr>
          <w:rFonts w:cs="Arial"/>
          <w:color w:val="000000" w:themeColor="text1"/>
          <w:sz w:val="24"/>
          <w:szCs w:val="24"/>
        </w:rPr>
        <w:t xml:space="preserve">de </w:t>
      </w:r>
      <w:r>
        <w:rPr>
          <w:rFonts w:cs="Arial"/>
          <w:color w:val="000000" w:themeColor="text1"/>
          <w:sz w:val="24"/>
          <w:szCs w:val="24"/>
        </w:rPr>
        <w:t xml:space="preserve">mayo </w:t>
      </w:r>
      <w:r>
        <w:rPr>
          <w:rFonts w:cs="Arial"/>
          <w:color w:val="000000" w:themeColor="text1"/>
          <w:sz w:val="24"/>
          <w:szCs w:val="24"/>
        </w:rPr>
        <w:t xml:space="preserve">de 2022 dos mil veintidós. </w:t>
      </w:r>
    </w:p>
    <w:p w:rsidR="005C3F09" w:rsidRDefault="005C3F09">
      <w:pPr>
        <w:pStyle w:val="corte4fondo"/>
        <w:tabs>
          <w:tab w:val="left" w:pos="567"/>
        </w:tabs>
        <w:ind w:firstLine="0"/>
        <w:rPr>
          <w:rFonts w:cs="Arial"/>
          <w:color w:val="000000" w:themeColor="text1"/>
          <w:sz w:val="24"/>
          <w:szCs w:val="24"/>
        </w:rPr>
      </w:pPr>
    </w:p>
    <w:p w:rsidR="005C3F09" w:rsidRDefault="00724659">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xml:space="preserve">, para resolver, </w:t>
      </w:r>
      <w:r>
        <w:rPr>
          <w:rFonts w:cs="Arial"/>
          <w:color w:val="000000" w:themeColor="text1"/>
          <w:sz w:val="24"/>
          <w:szCs w:val="24"/>
        </w:rPr>
        <w:t>los autos del recurso de revisión identificado al rubro; y</w:t>
      </w:r>
    </w:p>
    <w:p w:rsidR="005C3F09" w:rsidRDefault="005C3F09">
      <w:pPr>
        <w:pStyle w:val="corte4fondo"/>
        <w:tabs>
          <w:tab w:val="left" w:pos="567"/>
        </w:tabs>
        <w:spacing w:line="240" w:lineRule="auto"/>
        <w:ind w:firstLine="0"/>
        <w:rPr>
          <w:rFonts w:cs="Arial"/>
          <w:color w:val="000000" w:themeColor="text1"/>
          <w:sz w:val="24"/>
          <w:szCs w:val="24"/>
        </w:rPr>
      </w:pPr>
    </w:p>
    <w:p w:rsidR="005C3F09" w:rsidRDefault="00724659">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5C3F09" w:rsidRDefault="005C3F09">
      <w:pPr>
        <w:pStyle w:val="corte4fondo"/>
        <w:tabs>
          <w:tab w:val="left" w:pos="567"/>
        </w:tabs>
        <w:ind w:firstLine="0"/>
        <w:rPr>
          <w:rFonts w:cs="Arial"/>
          <w:color w:val="000000" w:themeColor="text1"/>
          <w:sz w:val="24"/>
          <w:szCs w:val="24"/>
        </w:rPr>
      </w:pPr>
    </w:p>
    <w:p w:rsidR="005C3F09" w:rsidRDefault="00724659">
      <w:pPr>
        <w:pStyle w:val="corte4fondo"/>
        <w:tabs>
          <w:tab w:val="left" w:pos="567"/>
        </w:tabs>
        <w:ind w:firstLine="0"/>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w:t>
      </w:r>
      <w:r>
        <w:rPr>
          <w:rFonts w:cs="Arial"/>
          <w:color w:val="000000" w:themeColor="text1"/>
          <w:sz w:val="24"/>
          <w:szCs w:val="24"/>
        </w:rPr>
        <w:t>22 veintidós de diciembre de</w:t>
      </w:r>
      <w:r>
        <w:rPr>
          <w:rFonts w:cs="Arial"/>
          <w:color w:val="000000" w:themeColor="text1"/>
          <w:sz w:val="24"/>
          <w:szCs w:val="24"/>
        </w:rPr>
        <w:t xml:space="preserve"> 202</w:t>
      </w:r>
      <w:r>
        <w:rPr>
          <w:rFonts w:cs="Arial"/>
          <w:color w:val="000000" w:themeColor="text1"/>
          <w:sz w:val="24"/>
          <w:szCs w:val="24"/>
        </w:rPr>
        <w:t>1</w:t>
      </w:r>
      <w:r>
        <w:rPr>
          <w:rFonts w:cs="Arial"/>
          <w:color w:val="000000" w:themeColor="text1"/>
          <w:sz w:val="24"/>
          <w:szCs w:val="24"/>
        </w:rPr>
        <w:t xml:space="preserve"> </w:t>
      </w:r>
      <w:proofErr w:type="gramStart"/>
      <w:r>
        <w:rPr>
          <w:rFonts w:cs="Arial"/>
          <w:color w:val="000000" w:themeColor="text1"/>
          <w:sz w:val="24"/>
          <w:szCs w:val="24"/>
        </w:rPr>
        <w:t>dos mil veinti</w:t>
      </w:r>
      <w:r>
        <w:rPr>
          <w:rFonts w:cs="Arial"/>
          <w:color w:val="000000" w:themeColor="text1"/>
          <w:sz w:val="24"/>
          <w:szCs w:val="24"/>
        </w:rPr>
        <w:t>uno</w:t>
      </w:r>
      <w:proofErr w:type="gramEnd"/>
      <w:r>
        <w:rPr>
          <w:rFonts w:cs="Arial"/>
          <w:color w:val="000000" w:themeColor="text1"/>
          <w:sz w:val="24"/>
          <w:szCs w:val="24"/>
        </w:rPr>
        <w:t>, el</w:t>
      </w:r>
      <w:r>
        <w:rPr>
          <w:rFonts w:cs="Arial"/>
          <w:color w:val="000000" w:themeColor="text1"/>
          <w:sz w:val="24"/>
          <w:szCs w:val="24"/>
        </w:rPr>
        <w:t xml:space="preserve"> </w:t>
      </w:r>
      <w:r>
        <w:rPr>
          <w:rFonts w:cs="Arial"/>
          <w:b/>
          <w:color w:val="000000" w:themeColor="text1"/>
          <w:sz w:val="24"/>
          <w:szCs w:val="24"/>
        </w:rPr>
        <w:t xml:space="preserve">MUNICIPIO DE SAN NICOLAS TOLENTINO </w:t>
      </w:r>
      <w:r>
        <w:rPr>
          <w:rFonts w:cs="Arial"/>
          <w:color w:val="000000" w:themeColor="text1"/>
          <w:sz w:val="24"/>
          <w:szCs w:val="24"/>
        </w:rPr>
        <w:t xml:space="preserve">recibió una solicitud de </w:t>
      </w:r>
      <w:r>
        <w:rPr>
          <w:rFonts w:cs="Arial"/>
          <w:color w:val="000000" w:themeColor="text1"/>
          <w:sz w:val="24"/>
          <w:szCs w:val="24"/>
        </w:rPr>
        <w:t>información a través de la Plataforma Nacional de Transparencia, misma que quedó registrada con el número de folio 240474622000001.</w:t>
      </w:r>
    </w:p>
    <w:p w:rsidR="005C3F09" w:rsidRDefault="005C3F09">
      <w:pPr>
        <w:pStyle w:val="corte4fondo"/>
        <w:tabs>
          <w:tab w:val="left" w:pos="567"/>
        </w:tabs>
        <w:ind w:left="113" w:firstLine="0"/>
        <w:rPr>
          <w:rFonts w:cs="Arial"/>
          <w:b/>
          <w:color w:val="000000" w:themeColor="text1"/>
          <w:sz w:val="24"/>
          <w:szCs w:val="24"/>
        </w:rPr>
      </w:pPr>
    </w:p>
    <w:p w:rsidR="005C3F09" w:rsidRDefault="00724659">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w:t>
      </w:r>
      <w:r>
        <w:rPr>
          <w:rFonts w:cs="Arial"/>
          <w:color w:val="000000" w:themeColor="text1"/>
          <w:sz w:val="24"/>
          <w:szCs w:val="24"/>
        </w:rPr>
        <w:t>28 dos de enero</w:t>
      </w:r>
      <w:r>
        <w:rPr>
          <w:rFonts w:cs="Arial"/>
          <w:color w:val="000000" w:themeColor="text1"/>
          <w:sz w:val="24"/>
          <w:szCs w:val="24"/>
        </w:rPr>
        <w:t xml:space="preserve"> de 202</w:t>
      </w:r>
      <w:r>
        <w:rPr>
          <w:rFonts w:cs="Arial"/>
          <w:color w:val="000000" w:themeColor="text1"/>
          <w:sz w:val="24"/>
          <w:szCs w:val="24"/>
        </w:rPr>
        <w:t>2</w:t>
      </w:r>
      <w:r>
        <w:rPr>
          <w:rFonts w:cs="Arial"/>
          <w:color w:val="000000" w:themeColor="text1"/>
          <w:sz w:val="24"/>
          <w:szCs w:val="24"/>
        </w:rPr>
        <w:t xml:space="preserve"> dos mil </w:t>
      </w:r>
      <w:r>
        <w:rPr>
          <w:rFonts w:cs="Arial"/>
          <w:color w:val="000000" w:themeColor="text1"/>
          <w:sz w:val="24"/>
          <w:szCs w:val="24"/>
        </w:rPr>
        <w:t>veintidós,</w:t>
      </w:r>
      <w:r>
        <w:rPr>
          <w:rFonts w:cs="Arial"/>
          <w:color w:val="000000" w:themeColor="text1"/>
          <w:sz w:val="24"/>
          <w:szCs w:val="24"/>
        </w:rPr>
        <w:t xml:space="preserve"> el solicitante de la información interpuso el recurso de revisión en contra de la falta de respuesta a su solicitud de información.</w:t>
      </w:r>
    </w:p>
    <w:p w:rsidR="005C3F09" w:rsidRDefault="005C3F09">
      <w:pPr>
        <w:pStyle w:val="corte4fondo"/>
        <w:tabs>
          <w:tab w:val="left" w:pos="567"/>
        </w:tabs>
        <w:ind w:left="680" w:firstLine="0"/>
        <w:rPr>
          <w:rFonts w:cs="Arial"/>
          <w:color w:val="000000" w:themeColor="text1"/>
          <w:sz w:val="24"/>
          <w:szCs w:val="24"/>
        </w:rPr>
      </w:pPr>
    </w:p>
    <w:p w:rsidR="005C3F09" w:rsidRDefault="00724659">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w:t>
      </w:r>
      <w:r>
        <w:rPr>
          <w:rFonts w:cs="Arial"/>
          <w:color w:val="000000" w:themeColor="text1"/>
          <w:sz w:val="24"/>
          <w:szCs w:val="24"/>
        </w:rPr>
        <w:t>te auto del</w:t>
      </w:r>
      <w:r>
        <w:rPr>
          <w:rFonts w:cs="Arial"/>
          <w:color w:val="000000" w:themeColor="text1"/>
          <w:sz w:val="24"/>
          <w:szCs w:val="24"/>
        </w:rPr>
        <w:t xml:space="preserve"> 31 treinta y uno de enero d</w:t>
      </w:r>
      <w:r>
        <w:rPr>
          <w:rFonts w:cs="Arial"/>
          <w:color w:val="000000" w:themeColor="text1"/>
          <w:sz w:val="24"/>
          <w:szCs w:val="24"/>
        </w:rPr>
        <w:t>e 202</w:t>
      </w:r>
      <w:r>
        <w:rPr>
          <w:rFonts w:cs="Arial"/>
          <w:color w:val="000000" w:themeColor="text1"/>
          <w:sz w:val="24"/>
          <w:szCs w:val="24"/>
        </w:rPr>
        <w:t>2</w:t>
      </w:r>
      <w:r>
        <w:rPr>
          <w:rFonts w:cs="Arial"/>
          <w:color w:val="000000" w:themeColor="text1"/>
          <w:sz w:val="24"/>
          <w:szCs w:val="24"/>
        </w:rPr>
        <w:t xml:space="preserve"> dos mil </w:t>
      </w:r>
      <w:r>
        <w:rPr>
          <w:rFonts w:cs="Arial"/>
          <w:color w:val="000000" w:themeColor="text1"/>
          <w:sz w:val="24"/>
          <w:szCs w:val="24"/>
        </w:rPr>
        <w:t>veintidós</w:t>
      </w:r>
      <w:r>
        <w:rPr>
          <w:rFonts w:cs="Arial"/>
          <w:color w:val="000000" w:themeColor="text1"/>
          <w:sz w:val="24"/>
          <w:szCs w:val="24"/>
        </w:rPr>
        <w:t xml:space="preserve"> la presidencia de esta Comisión de Transparencia tuvo por recibido el recurso de revisión, </w:t>
      </w:r>
      <w:proofErr w:type="gramStart"/>
      <w:r>
        <w:rPr>
          <w:rFonts w:cs="Arial"/>
          <w:color w:val="000000" w:themeColor="text1"/>
          <w:sz w:val="24"/>
          <w:szCs w:val="24"/>
        </w:rPr>
        <w:t>que</w:t>
      </w:r>
      <w:proofErr w:type="gramEnd"/>
      <w:r>
        <w:rPr>
          <w:rFonts w:cs="Arial"/>
          <w:color w:val="000000" w:themeColor="text1"/>
          <w:sz w:val="24"/>
          <w:szCs w:val="24"/>
        </w:rPr>
        <w:t xml:space="preserve"> por razón de turno, tocó conocer a la Ponencia Uno a cargo del Licenciado David Enrique Menchaca </w:t>
      </w:r>
      <w:r>
        <w:rPr>
          <w:rFonts w:cs="Arial"/>
          <w:color w:val="000000" w:themeColor="text1"/>
          <w:sz w:val="24"/>
          <w:szCs w:val="24"/>
        </w:rPr>
        <w:t>Zúñiga para que procediera, previo su análisis, a su admisión o desechamiento según fuera el caso.</w:t>
      </w:r>
    </w:p>
    <w:p w:rsidR="005C3F09" w:rsidRDefault="005C3F09">
      <w:pPr>
        <w:pStyle w:val="corte4fondo"/>
        <w:tabs>
          <w:tab w:val="left" w:pos="567"/>
        </w:tabs>
        <w:ind w:left="113" w:firstLine="680"/>
        <w:rPr>
          <w:rFonts w:cs="Arial"/>
          <w:color w:val="000000" w:themeColor="text1"/>
          <w:sz w:val="24"/>
          <w:szCs w:val="24"/>
        </w:rPr>
      </w:pPr>
    </w:p>
    <w:p w:rsidR="005C3F09" w:rsidRDefault="00724659">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w:t>
      </w:r>
      <w:r>
        <w:rPr>
          <w:rFonts w:cs="Arial"/>
          <w:color w:val="000000" w:themeColor="text1"/>
          <w:sz w:val="24"/>
          <w:szCs w:val="24"/>
        </w:rPr>
        <w:t>16 dieciséis</w:t>
      </w:r>
      <w:r>
        <w:rPr>
          <w:rFonts w:cs="Arial"/>
          <w:color w:val="000000" w:themeColor="text1"/>
          <w:sz w:val="24"/>
          <w:szCs w:val="24"/>
        </w:rPr>
        <w:t xml:space="preserve"> de </w:t>
      </w:r>
      <w:r>
        <w:rPr>
          <w:rFonts w:cs="Arial"/>
          <w:color w:val="000000" w:themeColor="text1"/>
          <w:sz w:val="24"/>
          <w:szCs w:val="24"/>
        </w:rPr>
        <w:t>febrero</w:t>
      </w:r>
      <w:r>
        <w:rPr>
          <w:rFonts w:cs="Arial"/>
          <w:color w:val="000000" w:themeColor="text1"/>
          <w:sz w:val="24"/>
          <w:szCs w:val="24"/>
        </w:rPr>
        <w:t xml:space="preserve"> de 202</w:t>
      </w:r>
      <w:r>
        <w:rPr>
          <w:rFonts w:cs="Arial"/>
          <w:color w:val="000000" w:themeColor="text1"/>
          <w:sz w:val="24"/>
          <w:szCs w:val="24"/>
        </w:rPr>
        <w:t>2</w:t>
      </w:r>
      <w:r>
        <w:rPr>
          <w:rFonts w:cs="Arial"/>
          <w:color w:val="000000" w:themeColor="text1"/>
          <w:sz w:val="24"/>
          <w:szCs w:val="24"/>
        </w:rPr>
        <w:t xml:space="preserve"> dos mil veinti</w:t>
      </w:r>
      <w:r>
        <w:rPr>
          <w:rFonts w:cs="Arial"/>
          <w:color w:val="000000" w:themeColor="text1"/>
          <w:sz w:val="24"/>
          <w:szCs w:val="24"/>
        </w:rPr>
        <w:t>dós</w:t>
      </w:r>
      <w:r>
        <w:rPr>
          <w:rFonts w:cs="Arial"/>
          <w:color w:val="000000" w:themeColor="text1"/>
          <w:sz w:val="24"/>
          <w:szCs w:val="24"/>
        </w:rPr>
        <w:t xml:space="preserve"> el Comisionado Ponente:</w:t>
      </w:r>
    </w:p>
    <w:p w:rsidR="005C3F09" w:rsidRDefault="005C3F09">
      <w:pPr>
        <w:pStyle w:val="corte4fondo"/>
        <w:tabs>
          <w:tab w:val="left" w:pos="567"/>
        </w:tabs>
        <w:ind w:left="113"/>
        <w:rPr>
          <w:rFonts w:cs="Arial"/>
          <w:color w:val="000000" w:themeColor="text1"/>
          <w:sz w:val="24"/>
          <w:szCs w:val="24"/>
        </w:rPr>
      </w:pPr>
    </w:p>
    <w:p w:rsidR="005C3F09" w:rsidRDefault="00724659">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Admitió en tiempo y forma el medio </w:t>
      </w:r>
      <w:r>
        <w:rPr>
          <w:rFonts w:cs="Arial"/>
          <w:color w:val="000000" w:themeColor="text1"/>
          <w:sz w:val="24"/>
          <w:szCs w:val="24"/>
        </w:rPr>
        <w:t>de impugnación en atención a la hipótesis establecida en la fracción VI del artículo 167, de la Ley de la materia.</w:t>
      </w:r>
    </w:p>
    <w:p w:rsidR="005C3F09" w:rsidRDefault="00724659">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w:t>
      </w:r>
      <w:r>
        <w:rPr>
          <w:rFonts w:cs="Arial"/>
          <w:b/>
          <w:color w:val="000000" w:themeColor="text1"/>
          <w:sz w:val="24"/>
          <w:szCs w:val="24"/>
        </w:rPr>
        <w:t>442</w:t>
      </w:r>
      <w:r>
        <w:rPr>
          <w:rFonts w:cs="Arial"/>
          <w:b/>
          <w:color w:val="000000" w:themeColor="text1"/>
          <w:sz w:val="24"/>
          <w:szCs w:val="24"/>
        </w:rPr>
        <w:t>/202</w:t>
      </w:r>
      <w:r>
        <w:rPr>
          <w:rFonts w:cs="Arial"/>
          <w:b/>
          <w:color w:val="000000" w:themeColor="text1"/>
          <w:sz w:val="24"/>
          <w:szCs w:val="24"/>
        </w:rPr>
        <w:t>2</w:t>
      </w:r>
      <w:r w:rsidR="00C52816">
        <w:rPr>
          <w:rFonts w:cs="Arial"/>
          <w:b/>
          <w:color w:val="000000" w:themeColor="text1"/>
          <w:sz w:val="24"/>
          <w:szCs w:val="24"/>
        </w:rPr>
        <w:t>-1.</w:t>
      </w:r>
    </w:p>
    <w:p w:rsidR="005C3F09" w:rsidRDefault="00724659">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Tuvo como ente obligado al </w:t>
      </w:r>
      <w:r>
        <w:rPr>
          <w:rFonts w:cs="Arial"/>
          <w:b/>
          <w:bCs/>
          <w:color w:val="000000" w:themeColor="text1"/>
          <w:sz w:val="24"/>
          <w:szCs w:val="24"/>
        </w:rPr>
        <w:t>MUNICIPIO DE SAN NICOLAS TOLENTINO</w:t>
      </w:r>
      <w:r>
        <w:rPr>
          <w:rFonts w:cs="Arial"/>
          <w:b/>
          <w:bCs/>
          <w:color w:val="000000" w:themeColor="text1"/>
          <w:sz w:val="24"/>
          <w:szCs w:val="24"/>
        </w:rPr>
        <w:t>,</w:t>
      </w:r>
      <w:r>
        <w:rPr>
          <w:rFonts w:cs="Arial"/>
          <w:b/>
          <w:color w:val="000000" w:themeColor="text1"/>
          <w:sz w:val="24"/>
          <w:szCs w:val="24"/>
        </w:rPr>
        <w:t xml:space="preserve"> por conducto de su TITULAR y de su TITULAR DE LA UNIDAD DE TRANSPARENCIA. </w:t>
      </w:r>
    </w:p>
    <w:p w:rsidR="005C3F09" w:rsidRDefault="00724659">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Se puso a disposición de las partes el expediente para que en un plazo máximo de 7 siete días manifestaran lo que a su derecho conviniera </w:t>
      </w:r>
      <w:r>
        <w:rPr>
          <w:rFonts w:cs="Arial"/>
          <w:color w:val="000000" w:themeColor="text1"/>
          <w:sz w:val="24"/>
          <w:szCs w:val="24"/>
        </w:rPr>
        <w:t>–ofrecer pruebas, alegar y para que rindiera un informe acerca de la información solicitada en cuanto a:</w:t>
      </w:r>
    </w:p>
    <w:p w:rsidR="005C3F09" w:rsidRDefault="00724659">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5C3F09" w:rsidRDefault="00724659">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5C3F09" w:rsidRDefault="00724659">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 xml:space="preserve">Si tiene la obligación de generar, o si la obtuvo; y </w:t>
      </w:r>
      <w:r>
        <w:rPr>
          <w:rFonts w:cs="Arial"/>
          <w:color w:val="000000" w:themeColor="text1"/>
          <w:sz w:val="24"/>
          <w:szCs w:val="24"/>
        </w:rPr>
        <w:t>para el caso que manifieste no contar con la obligación de generarla o poseerla, fundar y motivar las circunstancias que lo acrediten.</w:t>
      </w:r>
    </w:p>
    <w:p w:rsidR="005C3F09" w:rsidRDefault="00724659">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5C3F09" w:rsidRDefault="00724659">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w:t>
      </w:r>
      <w:r>
        <w:rPr>
          <w:rFonts w:cs="Arial"/>
          <w:color w:val="000000" w:themeColor="text1"/>
          <w:sz w:val="24"/>
          <w:szCs w:val="24"/>
        </w:rPr>
        <w:t>ón de derecho de acceso a la información.</w:t>
      </w:r>
    </w:p>
    <w:p w:rsidR="005C3F09" w:rsidRDefault="00724659">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w:t>
      </w:r>
      <w:r>
        <w:rPr>
          <w:rFonts w:cs="Arial"/>
          <w:color w:val="000000" w:themeColor="text1"/>
          <w:sz w:val="24"/>
          <w:szCs w:val="24"/>
        </w:rPr>
        <w:t>, fracción I, de la Ley de Transparencia y Acceso a la Información Pública del Estado.</w:t>
      </w:r>
    </w:p>
    <w:p w:rsidR="005C3F09" w:rsidRDefault="00724659">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w:t>
      </w:r>
      <w:r>
        <w:rPr>
          <w:rFonts w:cs="Arial"/>
          <w:color w:val="000000" w:themeColor="text1"/>
          <w:sz w:val="24"/>
          <w:szCs w:val="24"/>
        </w:rPr>
        <w:t>a como tales; para que señalaran personas y domicilio para oír y recibir notificaciones en esta ciudad y se les informó que una vez que fuera decretado el cierre de instrucción no se atendería la información que fuese enviada.</w:t>
      </w:r>
    </w:p>
    <w:p w:rsidR="005C3F09" w:rsidRDefault="00724659">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w:t>
      </w:r>
      <w:r>
        <w:rPr>
          <w:rFonts w:cs="Arial"/>
          <w:color w:val="000000" w:themeColor="text1"/>
          <w:sz w:val="24"/>
          <w:szCs w:val="24"/>
        </w:rPr>
        <w:t>lazo para resolver este recurso de revisión en virtud de la distancia territorial del sujeto obligado.</w:t>
      </w:r>
    </w:p>
    <w:p w:rsidR="005C3F09" w:rsidRDefault="005C3F09">
      <w:pPr>
        <w:pStyle w:val="corte4fondo"/>
        <w:tabs>
          <w:tab w:val="left" w:pos="567"/>
        </w:tabs>
        <w:ind w:firstLine="0"/>
        <w:rPr>
          <w:rFonts w:cs="Arial"/>
          <w:color w:val="000000" w:themeColor="text1"/>
          <w:sz w:val="24"/>
          <w:szCs w:val="24"/>
        </w:rPr>
      </w:pPr>
    </w:p>
    <w:p w:rsidR="005C3F09" w:rsidRDefault="00724659">
      <w:pPr>
        <w:pStyle w:val="corte4fondo"/>
        <w:tabs>
          <w:tab w:val="left" w:pos="567"/>
        </w:tabs>
        <w:rPr>
          <w:rFonts w:cs="Arial"/>
          <w:color w:val="000000" w:themeColor="text1"/>
          <w:sz w:val="24"/>
          <w:szCs w:val="24"/>
        </w:rPr>
      </w:pPr>
      <w:r>
        <w:rPr>
          <w:rFonts w:cs="Arial"/>
          <w:b/>
          <w:color w:val="000000" w:themeColor="text1"/>
          <w:sz w:val="24"/>
          <w:szCs w:val="24"/>
        </w:rPr>
        <w:lastRenderedPageBreak/>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w:t>
      </w:r>
      <w:r>
        <w:rPr>
          <w:rFonts w:cs="Arial"/>
          <w:color w:val="000000" w:themeColor="text1"/>
          <w:sz w:val="24"/>
          <w:szCs w:val="24"/>
        </w:rPr>
        <w:t>22 veintidós de abril</w:t>
      </w:r>
      <w:r>
        <w:rPr>
          <w:rFonts w:cs="Arial"/>
          <w:color w:val="000000" w:themeColor="text1"/>
          <w:sz w:val="24"/>
          <w:szCs w:val="24"/>
        </w:rPr>
        <w:t xml:space="preserve"> de 2022 dos mil veintidós el ponente:</w:t>
      </w:r>
    </w:p>
    <w:p w:rsidR="005C3F09" w:rsidRDefault="005C3F09">
      <w:pPr>
        <w:pStyle w:val="corte4fondo"/>
        <w:tabs>
          <w:tab w:val="left" w:pos="567"/>
        </w:tabs>
        <w:rPr>
          <w:rFonts w:cs="Arial"/>
          <w:color w:val="000000" w:themeColor="text1"/>
          <w:sz w:val="24"/>
          <w:szCs w:val="24"/>
        </w:rPr>
      </w:pPr>
    </w:p>
    <w:p w:rsidR="005C3F09" w:rsidRDefault="00724659">
      <w:pPr>
        <w:pStyle w:val="corte4fondo"/>
        <w:numPr>
          <w:ilvl w:val="0"/>
          <w:numId w:val="2"/>
        </w:numPr>
        <w:tabs>
          <w:tab w:val="left" w:pos="567"/>
        </w:tabs>
        <w:rPr>
          <w:rFonts w:cs="Arial"/>
          <w:sz w:val="24"/>
          <w:szCs w:val="24"/>
        </w:rPr>
      </w:pPr>
      <w:r>
        <w:rPr>
          <w:rFonts w:cs="Arial"/>
          <w:color w:val="000000" w:themeColor="text1"/>
          <w:sz w:val="24"/>
          <w:szCs w:val="24"/>
        </w:rPr>
        <w:t xml:space="preserve">Tuvo </w:t>
      </w:r>
      <w:r>
        <w:rPr>
          <w:rFonts w:cs="Arial"/>
          <w:color w:val="000000" w:themeColor="text1"/>
          <w:sz w:val="24"/>
          <w:szCs w:val="24"/>
        </w:rPr>
        <w:t>a</w:t>
      </w:r>
      <w:r w:rsidR="00C52816">
        <w:rPr>
          <w:rFonts w:cs="Arial"/>
          <w:color w:val="000000" w:themeColor="text1"/>
          <w:sz w:val="24"/>
          <w:szCs w:val="24"/>
        </w:rPr>
        <w:t xml:space="preserve">l sujeto obligado por omiso en </w:t>
      </w:r>
      <w:r>
        <w:rPr>
          <w:rFonts w:cs="Arial"/>
          <w:color w:val="000000" w:themeColor="text1"/>
          <w:sz w:val="24"/>
          <w:szCs w:val="24"/>
        </w:rPr>
        <w:t>manifestar en tiempo y forma lo que a su derecho convino y en ofrecer las pruebas o alegatos correspondientes.</w:t>
      </w:r>
    </w:p>
    <w:p w:rsidR="005C3F09" w:rsidRDefault="005C3F09">
      <w:pPr>
        <w:pStyle w:val="corte4fondo"/>
        <w:tabs>
          <w:tab w:val="left" w:pos="567"/>
        </w:tabs>
        <w:ind w:left="680" w:firstLine="0"/>
        <w:rPr>
          <w:rFonts w:cs="Arial"/>
          <w:sz w:val="24"/>
          <w:szCs w:val="24"/>
        </w:rPr>
      </w:pPr>
    </w:p>
    <w:p w:rsidR="005C3F09" w:rsidRDefault="00724659" w:rsidP="00C52816">
      <w:pPr>
        <w:pStyle w:val="corte4fondo"/>
        <w:tabs>
          <w:tab w:val="left" w:pos="567"/>
        </w:tabs>
        <w:ind w:firstLine="680"/>
        <w:rPr>
          <w:rFonts w:cs="Arial"/>
          <w:sz w:val="24"/>
          <w:szCs w:val="24"/>
        </w:rPr>
      </w:pPr>
      <w:r>
        <w:rPr>
          <w:rFonts w:cs="Arial"/>
          <w:sz w:val="24"/>
          <w:szCs w:val="24"/>
        </w:rPr>
        <w:t>Para concluir, el ponente declaró cerrado el periodo de instrucciones y procedió a elaborar el proyecto de resolución respectivo</w:t>
      </w:r>
    </w:p>
    <w:p w:rsidR="005C3F09" w:rsidRDefault="005C3F09">
      <w:pPr>
        <w:pStyle w:val="corte4fondo"/>
        <w:tabs>
          <w:tab w:val="left" w:pos="567"/>
        </w:tabs>
        <w:ind w:left="1040" w:firstLine="0"/>
        <w:rPr>
          <w:rFonts w:cs="Arial"/>
          <w:sz w:val="24"/>
          <w:szCs w:val="24"/>
          <w:highlight w:val="yellow"/>
        </w:rPr>
      </w:pPr>
    </w:p>
    <w:p w:rsidR="005C3F09" w:rsidRDefault="00724659">
      <w:pPr>
        <w:pStyle w:val="corte4fondo"/>
        <w:tabs>
          <w:tab w:val="left" w:pos="567"/>
        </w:tabs>
        <w:ind w:left="1040" w:firstLine="0"/>
        <w:jc w:val="center"/>
        <w:rPr>
          <w:rFonts w:cs="Arial"/>
          <w:b/>
          <w:sz w:val="24"/>
          <w:szCs w:val="24"/>
        </w:rPr>
      </w:pPr>
      <w:r>
        <w:rPr>
          <w:rFonts w:cs="Arial"/>
          <w:b/>
          <w:sz w:val="24"/>
          <w:szCs w:val="24"/>
        </w:rPr>
        <w:t>CONSIDERANDO</w:t>
      </w:r>
    </w:p>
    <w:p w:rsidR="005C3F09" w:rsidRDefault="005C3F09">
      <w:pPr>
        <w:pStyle w:val="corte4fondo"/>
        <w:tabs>
          <w:tab w:val="left" w:pos="567"/>
        </w:tabs>
        <w:jc w:val="center"/>
        <w:rPr>
          <w:rFonts w:cs="Arial"/>
          <w:b/>
          <w:sz w:val="24"/>
          <w:szCs w:val="24"/>
        </w:rPr>
      </w:pPr>
    </w:p>
    <w:p w:rsidR="005C3F09" w:rsidRDefault="00724659">
      <w:pPr>
        <w:pStyle w:val="corte4fondo"/>
        <w:tabs>
          <w:tab w:val="left" w:pos="567"/>
        </w:tabs>
        <w:rPr>
          <w:rFonts w:cs="Arial"/>
          <w:sz w:val="24"/>
          <w:szCs w:val="24"/>
        </w:rPr>
      </w:pPr>
      <w:r>
        <w:rPr>
          <w:rFonts w:cs="Arial"/>
          <w:b/>
          <w:sz w:val="24"/>
          <w:szCs w:val="24"/>
        </w:rPr>
        <w:t>PRIMERO. Competencia.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w:t>
      </w:r>
      <w:r>
        <w:rPr>
          <w:rFonts w:cs="Arial"/>
          <w:sz w:val="24"/>
          <w:szCs w:val="24"/>
        </w:rPr>
        <w:t xml:space="preserve">fracción III, párrafo tercero, de la Constitución Política del Estado Libre y Soberano de San Luis Potosí; 27, primer párrafo, 34, fracciones I y II, 35, fracción I, y 175 de la Ley de Transparencia y Acceso a la Información Pública de este Estado. </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b/>
          <w:sz w:val="24"/>
          <w:szCs w:val="24"/>
        </w:rPr>
        <w:t>SEGUN</w:t>
      </w:r>
      <w:r>
        <w:rPr>
          <w:rFonts w:cs="Arial"/>
          <w:b/>
          <w:sz w:val="24"/>
          <w:szCs w:val="24"/>
        </w:rPr>
        <w:t>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w:t>
      </w:r>
      <w:r>
        <w:rPr>
          <w:rFonts w:cs="Arial"/>
          <w:sz w:val="24"/>
          <w:szCs w:val="24"/>
        </w:rPr>
        <w:t xml:space="preserve">a la información pública. </w:t>
      </w:r>
    </w:p>
    <w:p w:rsidR="005C3F09" w:rsidRDefault="005C3F09">
      <w:pPr>
        <w:pStyle w:val="corte4fondo"/>
        <w:tabs>
          <w:tab w:val="left" w:pos="567"/>
        </w:tabs>
        <w:rPr>
          <w:rFonts w:cs="Arial"/>
          <w:sz w:val="24"/>
          <w:szCs w:val="24"/>
        </w:rPr>
      </w:pPr>
    </w:p>
    <w:p w:rsidR="005C3F09" w:rsidRDefault="00724659">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le pudiera deparar per</w:t>
      </w:r>
      <w:r>
        <w:rPr>
          <w:rFonts w:cs="Arial"/>
          <w:sz w:val="24"/>
          <w:szCs w:val="24"/>
        </w:rPr>
        <w:t>juicio la respuesta.</w:t>
      </w:r>
    </w:p>
    <w:p w:rsidR="005C3F09" w:rsidRDefault="005C3F09">
      <w:pPr>
        <w:pStyle w:val="corte4fondo"/>
        <w:tabs>
          <w:tab w:val="left" w:pos="567"/>
        </w:tabs>
        <w:ind w:firstLine="0"/>
        <w:rPr>
          <w:rFonts w:cs="Arial"/>
          <w:color w:val="FF0000"/>
          <w:sz w:val="24"/>
          <w:szCs w:val="24"/>
        </w:rPr>
      </w:pPr>
    </w:p>
    <w:p w:rsidR="005C3F09" w:rsidRDefault="00724659">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 la Información Públi</w:t>
      </w:r>
      <w:r>
        <w:rPr>
          <w:rFonts w:cs="Arial"/>
          <w:sz w:val="24"/>
          <w:szCs w:val="24"/>
        </w:rPr>
        <w:t>ca del Estado, como se expone a continuación:</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ind w:left="680" w:firstLine="0"/>
        <w:rPr>
          <w:rFonts w:cs="Arial"/>
          <w:sz w:val="24"/>
          <w:szCs w:val="24"/>
        </w:rPr>
      </w:pPr>
      <w:r>
        <w:rPr>
          <w:rFonts w:cs="Arial"/>
          <w:sz w:val="24"/>
          <w:szCs w:val="24"/>
        </w:rPr>
        <w:lastRenderedPageBreak/>
        <w:t xml:space="preserve">• El </w:t>
      </w:r>
      <w:r>
        <w:rPr>
          <w:rFonts w:cs="Arial"/>
          <w:sz w:val="24"/>
          <w:szCs w:val="24"/>
        </w:rPr>
        <w:t>22</w:t>
      </w:r>
      <w:r>
        <w:rPr>
          <w:rFonts w:cs="Arial"/>
          <w:color w:val="000000" w:themeColor="text1"/>
          <w:sz w:val="24"/>
          <w:szCs w:val="24"/>
        </w:rPr>
        <w:t xml:space="preserve"> veintidós de diciembre </w:t>
      </w:r>
      <w:r>
        <w:rPr>
          <w:rFonts w:cs="Arial"/>
          <w:color w:val="000000" w:themeColor="text1"/>
          <w:sz w:val="24"/>
          <w:szCs w:val="24"/>
        </w:rPr>
        <w:t>de 202</w:t>
      </w:r>
      <w:r>
        <w:rPr>
          <w:rFonts w:cs="Arial"/>
          <w:color w:val="000000" w:themeColor="text1"/>
          <w:sz w:val="24"/>
          <w:szCs w:val="24"/>
        </w:rPr>
        <w:t>1</w:t>
      </w:r>
      <w:r>
        <w:rPr>
          <w:rFonts w:cs="Arial"/>
          <w:color w:val="000000" w:themeColor="text1"/>
          <w:sz w:val="24"/>
          <w:szCs w:val="24"/>
        </w:rPr>
        <w:t xml:space="preserve"> </w:t>
      </w:r>
      <w:proofErr w:type="gramStart"/>
      <w:r>
        <w:rPr>
          <w:rFonts w:cs="Arial"/>
          <w:color w:val="000000" w:themeColor="text1"/>
          <w:sz w:val="24"/>
          <w:szCs w:val="24"/>
        </w:rPr>
        <w:t>dos</w:t>
      </w:r>
      <w:r>
        <w:rPr>
          <w:rFonts w:cs="Arial"/>
          <w:color w:val="000000" w:themeColor="text1"/>
          <w:sz w:val="24"/>
          <w:szCs w:val="24"/>
        </w:rPr>
        <w:t xml:space="preserve"> </w:t>
      </w:r>
      <w:r>
        <w:rPr>
          <w:rFonts w:cs="Arial"/>
          <w:color w:val="000000" w:themeColor="text1"/>
          <w:sz w:val="24"/>
          <w:szCs w:val="24"/>
        </w:rPr>
        <w:t>mil</w:t>
      </w:r>
      <w:r>
        <w:rPr>
          <w:rFonts w:cs="Arial"/>
          <w:color w:val="000000" w:themeColor="text1"/>
          <w:sz w:val="24"/>
          <w:szCs w:val="24"/>
        </w:rPr>
        <w:t xml:space="preserve"> veintiuno</w:t>
      </w:r>
      <w:proofErr w:type="gramEnd"/>
      <w:r>
        <w:rPr>
          <w:rFonts w:cs="Arial"/>
          <w:sz w:val="24"/>
          <w:szCs w:val="24"/>
        </w:rPr>
        <w:t>, el sujeto obligado recibió la solicitud de información.</w:t>
      </w:r>
    </w:p>
    <w:p w:rsidR="005C3F09" w:rsidRDefault="00724659">
      <w:pPr>
        <w:pStyle w:val="corte4fondo"/>
        <w:tabs>
          <w:tab w:val="left" w:pos="567"/>
        </w:tabs>
        <w:ind w:left="680" w:firstLine="0"/>
        <w:rPr>
          <w:rFonts w:cs="Arial"/>
          <w:sz w:val="24"/>
          <w:szCs w:val="24"/>
        </w:rPr>
      </w:pPr>
      <w:bookmarkStart w:id="0" w:name="_Hlk19698327"/>
      <w:r>
        <w:rPr>
          <w:rFonts w:cs="Arial"/>
          <w:sz w:val="24"/>
          <w:szCs w:val="24"/>
        </w:rPr>
        <w:t>•</w:t>
      </w:r>
      <w:bookmarkEnd w:id="0"/>
      <w:r>
        <w:rPr>
          <w:rFonts w:cs="Arial"/>
          <w:sz w:val="24"/>
          <w:szCs w:val="24"/>
        </w:rPr>
        <w:t xml:space="preserve"> Por tanto, el plazo de 10 diez días para que el sujeto obligado otorgara contestación transcu</w:t>
      </w:r>
      <w:r>
        <w:rPr>
          <w:rFonts w:cs="Arial"/>
          <w:sz w:val="24"/>
          <w:szCs w:val="24"/>
        </w:rPr>
        <w:t>rrió</w:t>
      </w:r>
      <w:r>
        <w:rPr>
          <w:rFonts w:cs="Arial"/>
          <w:sz w:val="24"/>
          <w:szCs w:val="24"/>
        </w:rPr>
        <w:t xml:space="preserve"> d</w:t>
      </w:r>
      <w:r>
        <w:rPr>
          <w:rFonts w:cs="Arial"/>
          <w:sz w:val="24"/>
          <w:szCs w:val="24"/>
        </w:rPr>
        <w:t>el</w:t>
      </w:r>
      <w:r>
        <w:rPr>
          <w:rFonts w:cs="Arial"/>
          <w:sz w:val="24"/>
          <w:szCs w:val="24"/>
        </w:rPr>
        <w:t xml:space="preserve"> </w:t>
      </w:r>
      <w:r w:rsidR="00C52816">
        <w:rPr>
          <w:rFonts w:cs="Arial"/>
          <w:sz w:val="24"/>
          <w:szCs w:val="24"/>
        </w:rPr>
        <w:t xml:space="preserve">04 cuatro al 17 diecisiete de enero </w:t>
      </w:r>
      <w:r>
        <w:rPr>
          <w:rFonts w:cs="Arial"/>
          <w:sz w:val="24"/>
          <w:szCs w:val="24"/>
        </w:rPr>
        <w:t xml:space="preserve">de enero </w:t>
      </w:r>
      <w:r>
        <w:rPr>
          <w:rFonts w:cs="Arial"/>
          <w:sz w:val="24"/>
          <w:szCs w:val="24"/>
        </w:rPr>
        <w:t xml:space="preserve">de 2021 </w:t>
      </w:r>
      <w:proofErr w:type="gramStart"/>
      <w:r>
        <w:rPr>
          <w:rFonts w:cs="Arial"/>
          <w:sz w:val="24"/>
          <w:szCs w:val="24"/>
        </w:rPr>
        <w:t>dos mil veintiuno</w:t>
      </w:r>
      <w:proofErr w:type="gramEnd"/>
      <w:r>
        <w:rPr>
          <w:rFonts w:cs="Arial"/>
          <w:sz w:val="24"/>
          <w:szCs w:val="24"/>
        </w:rPr>
        <w:t>.</w:t>
      </w:r>
    </w:p>
    <w:p w:rsidR="005C3F09" w:rsidRDefault="00724659">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w:t>
      </w:r>
      <w:r>
        <w:rPr>
          <w:rFonts w:cs="Arial"/>
          <w:sz w:val="24"/>
          <w:szCs w:val="24"/>
        </w:rPr>
        <w:t xml:space="preserve">18 dieciocho de enero </w:t>
      </w:r>
      <w:r>
        <w:rPr>
          <w:rFonts w:cs="Arial"/>
          <w:sz w:val="24"/>
          <w:szCs w:val="24"/>
        </w:rPr>
        <w:t xml:space="preserve">al </w:t>
      </w:r>
      <w:r>
        <w:rPr>
          <w:rFonts w:cs="Arial"/>
          <w:sz w:val="24"/>
          <w:szCs w:val="24"/>
        </w:rPr>
        <w:t xml:space="preserve">08 ocho de febrero </w:t>
      </w:r>
      <w:r>
        <w:rPr>
          <w:rFonts w:cs="Arial"/>
          <w:sz w:val="24"/>
          <w:szCs w:val="24"/>
        </w:rPr>
        <w:t>de 202</w:t>
      </w:r>
      <w:r>
        <w:rPr>
          <w:rFonts w:cs="Arial"/>
          <w:sz w:val="24"/>
          <w:szCs w:val="24"/>
        </w:rPr>
        <w:t xml:space="preserve">2 </w:t>
      </w:r>
      <w:r>
        <w:rPr>
          <w:rFonts w:cs="Arial"/>
          <w:sz w:val="24"/>
          <w:szCs w:val="24"/>
        </w:rPr>
        <w:t xml:space="preserve">dos mil </w:t>
      </w:r>
      <w:r>
        <w:rPr>
          <w:rFonts w:cs="Arial"/>
          <w:sz w:val="24"/>
          <w:szCs w:val="24"/>
        </w:rPr>
        <w:t>veintidós</w:t>
      </w:r>
      <w:r>
        <w:rPr>
          <w:rFonts w:cs="Arial"/>
          <w:sz w:val="24"/>
          <w:szCs w:val="24"/>
        </w:rPr>
        <w:t>.</w:t>
      </w:r>
    </w:p>
    <w:p w:rsidR="005C3F09" w:rsidRDefault="00724659">
      <w:pPr>
        <w:pStyle w:val="corte4fondo"/>
        <w:tabs>
          <w:tab w:val="left" w:pos="567"/>
        </w:tabs>
        <w:ind w:left="680" w:firstLine="0"/>
        <w:rPr>
          <w:rFonts w:cs="Arial"/>
          <w:sz w:val="24"/>
          <w:szCs w:val="24"/>
        </w:rPr>
      </w:pPr>
      <w:r>
        <w:rPr>
          <w:rFonts w:cs="Arial"/>
          <w:sz w:val="24"/>
          <w:szCs w:val="24"/>
        </w:rPr>
        <w:t xml:space="preserve">• Consecuentemente si el </w:t>
      </w:r>
      <w:r>
        <w:rPr>
          <w:rFonts w:cs="Arial"/>
          <w:sz w:val="24"/>
          <w:szCs w:val="24"/>
        </w:rPr>
        <w:t>28 veintiocho</w:t>
      </w:r>
      <w:r>
        <w:rPr>
          <w:rFonts w:cs="Arial"/>
          <w:sz w:val="24"/>
          <w:szCs w:val="24"/>
        </w:rPr>
        <w:t xml:space="preserve"> de enero</w:t>
      </w:r>
      <w:r>
        <w:rPr>
          <w:rFonts w:cs="Arial"/>
          <w:sz w:val="24"/>
          <w:szCs w:val="24"/>
        </w:rPr>
        <w:t xml:space="preserve"> de 202</w:t>
      </w:r>
      <w:r>
        <w:rPr>
          <w:rFonts w:cs="Arial"/>
          <w:sz w:val="24"/>
          <w:szCs w:val="24"/>
        </w:rPr>
        <w:t>2</w:t>
      </w:r>
      <w:r>
        <w:rPr>
          <w:rFonts w:cs="Arial"/>
          <w:sz w:val="24"/>
          <w:szCs w:val="24"/>
        </w:rPr>
        <w:t xml:space="preserve"> dos mil </w:t>
      </w:r>
      <w:r>
        <w:rPr>
          <w:rFonts w:cs="Arial"/>
          <w:sz w:val="24"/>
          <w:szCs w:val="24"/>
        </w:rPr>
        <w:t>veintidós</w:t>
      </w:r>
      <w:r>
        <w:rPr>
          <w:rFonts w:cs="Arial"/>
          <w:sz w:val="24"/>
          <w:szCs w:val="24"/>
        </w:rPr>
        <w:t xml:space="preserve"> el recurrente interpuso el citado medio de impugnación ante esta Comisión de Transparencia, resulta claro que es oportuna su presentación.</w:t>
      </w:r>
    </w:p>
    <w:p w:rsidR="005C3F09" w:rsidRDefault="005C3F09">
      <w:pPr>
        <w:pStyle w:val="corte4fondo"/>
        <w:tabs>
          <w:tab w:val="left" w:pos="567"/>
        </w:tabs>
        <w:ind w:left="680" w:firstLine="0"/>
        <w:rPr>
          <w:rFonts w:cs="Arial"/>
          <w:sz w:val="24"/>
          <w:szCs w:val="24"/>
        </w:rPr>
      </w:pPr>
    </w:p>
    <w:p w:rsidR="005C3F09" w:rsidRDefault="00724659">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QUINTO. Causales de improcedencia.</w:t>
      </w:r>
      <w:r>
        <w:rPr>
          <w:rFonts w:cs="Arial"/>
          <w:sz w:val="24"/>
          <w:szCs w:val="24"/>
        </w:rPr>
        <w:t xml:space="preserve"> Las causales de improcedencia previstas en e</w:t>
      </w:r>
      <w:r>
        <w:rPr>
          <w:rFonts w:cs="Arial"/>
          <w:sz w:val="24"/>
          <w:szCs w:val="24"/>
        </w:rPr>
        <w:t>l artículo 179 de la Ley de Transparencia son de estudio oficioso y preferente a cualquier otra cuestión planteada; en el caso, al no existir causa de improcedencia señalada por la autoridad o advertida por este órgano colegiado se estudia de fondo la cues</w:t>
      </w:r>
      <w:r>
        <w:rPr>
          <w:rFonts w:cs="Arial"/>
          <w:sz w:val="24"/>
          <w:szCs w:val="24"/>
        </w:rPr>
        <w:t>tión planteada.</w:t>
      </w:r>
    </w:p>
    <w:p w:rsidR="005C3F09" w:rsidRDefault="005C3F09">
      <w:pPr>
        <w:pStyle w:val="corte4fondo"/>
        <w:tabs>
          <w:tab w:val="left" w:pos="567"/>
        </w:tabs>
        <w:ind w:firstLine="680"/>
        <w:rPr>
          <w:rFonts w:cs="Arial"/>
          <w:color w:val="FF0000"/>
          <w:sz w:val="24"/>
          <w:szCs w:val="24"/>
        </w:rPr>
      </w:pPr>
    </w:p>
    <w:p w:rsidR="005C3F09" w:rsidRDefault="00724659">
      <w:pPr>
        <w:pStyle w:val="corte4fondo"/>
        <w:tabs>
          <w:tab w:val="left" w:pos="567"/>
        </w:tabs>
        <w:ind w:firstLine="680"/>
        <w:rPr>
          <w:rFonts w:cs="Arial"/>
          <w:b/>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5C3F09" w:rsidRDefault="005C3F09">
      <w:pPr>
        <w:pStyle w:val="corte4fondo"/>
        <w:tabs>
          <w:tab w:val="left" w:pos="567"/>
        </w:tabs>
        <w:ind w:firstLine="680"/>
        <w:rPr>
          <w:rFonts w:cs="Arial"/>
          <w:b/>
          <w:sz w:val="24"/>
          <w:szCs w:val="24"/>
        </w:rPr>
      </w:pPr>
    </w:p>
    <w:p w:rsidR="005C3F09" w:rsidRDefault="00724659">
      <w:pPr>
        <w:pStyle w:val="corte4fondo"/>
        <w:tabs>
          <w:tab w:val="left" w:pos="567"/>
        </w:tabs>
        <w:rPr>
          <w:rFonts w:cs="Arial"/>
          <w:sz w:val="24"/>
          <w:szCs w:val="24"/>
        </w:rPr>
      </w:pPr>
      <w:r>
        <w:rPr>
          <w:rFonts w:cs="Arial"/>
          <w:sz w:val="24"/>
          <w:szCs w:val="24"/>
        </w:rPr>
        <w:t xml:space="preserve">El presente recurso de revisión fue interpuesto en contra de la </w:t>
      </w:r>
      <w:r>
        <w:rPr>
          <w:rFonts w:cs="Arial"/>
          <w:sz w:val="24"/>
          <w:szCs w:val="24"/>
        </w:rPr>
        <w:t xml:space="preserve">falta de respuesta a la solicitud de información presentada por el hoy recurrente el </w:t>
      </w:r>
      <w:r w:rsidR="00605CFC">
        <w:rPr>
          <w:rFonts w:cs="Arial"/>
          <w:sz w:val="24"/>
          <w:szCs w:val="24"/>
        </w:rPr>
        <w:t>22 veintidós de diciembre</w:t>
      </w:r>
      <w:r>
        <w:rPr>
          <w:rFonts w:cs="Arial"/>
          <w:sz w:val="24"/>
          <w:szCs w:val="24"/>
        </w:rPr>
        <w:t xml:space="preserve"> </w:t>
      </w:r>
      <w:r>
        <w:rPr>
          <w:rFonts w:cs="Arial"/>
          <w:sz w:val="24"/>
          <w:szCs w:val="24"/>
        </w:rPr>
        <w:t xml:space="preserve">de </w:t>
      </w:r>
      <w:r w:rsidR="00605CFC">
        <w:rPr>
          <w:rFonts w:cs="Arial"/>
          <w:sz w:val="24"/>
          <w:szCs w:val="24"/>
        </w:rPr>
        <w:t xml:space="preserve">2021 </w:t>
      </w:r>
      <w:proofErr w:type="gramStart"/>
      <w:r w:rsidR="00605CFC">
        <w:rPr>
          <w:rFonts w:cs="Arial"/>
          <w:sz w:val="24"/>
          <w:szCs w:val="24"/>
        </w:rPr>
        <w:t>dos mil veintiuno</w:t>
      </w:r>
      <w:proofErr w:type="gramEnd"/>
      <w:r>
        <w:rPr>
          <w:rFonts w:cs="Arial"/>
          <w:sz w:val="24"/>
          <w:szCs w:val="24"/>
        </w:rPr>
        <w:t>, en la que solicitó lo siguiente, visible a foja 05 cinco de autos:</w:t>
      </w:r>
    </w:p>
    <w:p w:rsidR="005C3F09" w:rsidRDefault="005C3F09">
      <w:pPr>
        <w:pStyle w:val="corte4fondo"/>
        <w:tabs>
          <w:tab w:val="left" w:pos="567"/>
        </w:tabs>
        <w:ind w:left="680" w:firstLine="0"/>
        <w:rPr>
          <w:rFonts w:cs="Arial"/>
          <w:sz w:val="24"/>
          <w:szCs w:val="24"/>
        </w:rPr>
      </w:pPr>
    </w:p>
    <w:p w:rsidR="005C3F09" w:rsidRDefault="00724659">
      <w:pPr>
        <w:pStyle w:val="corte4fondo"/>
        <w:tabs>
          <w:tab w:val="left" w:pos="567"/>
        </w:tabs>
        <w:ind w:left="708" w:right="680" w:firstLine="0"/>
        <w:rPr>
          <w:rFonts w:cs="Arial"/>
          <w:i/>
          <w:iCs/>
          <w:sz w:val="24"/>
          <w:szCs w:val="24"/>
        </w:rPr>
      </w:pPr>
      <w:r>
        <w:rPr>
          <w:rFonts w:cs="Arial"/>
          <w:i/>
          <w:iCs/>
          <w:sz w:val="24"/>
          <w:szCs w:val="24"/>
        </w:rPr>
        <w:t>“</w:t>
      </w:r>
      <w:r>
        <w:rPr>
          <w:rFonts w:cs="Arial"/>
          <w:i/>
          <w:iCs/>
          <w:sz w:val="24"/>
          <w:szCs w:val="24"/>
        </w:rPr>
        <w:t xml:space="preserve">SOLICITO ME ENVIE DE MANERA ELECTRONICA Y DE MANERA </w:t>
      </w:r>
      <w:r>
        <w:rPr>
          <w:rFonts w:cs="Arial"/>
          <w:i/>
          <w:iCs/>
          <w:sz w:val="24"/>
          <w:szCs w:val="24"/>
        </w:rPr>
        <w:t>ESCANEADA LA SIGUIENTE INFORMACIÓN:</w:t>
      </w:r>
    </w:p>
    <w:p w:rsidR="005C3F09" w:rsidRDefault="00724659">
      <w:pPr>
        <w:pStyle w:val="corte4fondo"/>
        <w:numPr>
          <w:ilvl w:val="0"/>
          <w:numId w:val="3"/>
        </w:numPr>
        <w:tabs>
          <w:tab w:val="clear" w:pos="312"/>
          <w:tab w:val="left" w:pos="567"/>
        </w:tabs>
        <w:ind w:left="708" w:right="680" w:firstLine="0"/>
        <w:rPr>
          <w:rFonts w:cs="Arial"/>
          <w:sz w:val="24"/>
          <w:szCs w:val="24"/>
        </w:rPr>
      </w:pPr>
      <w:r>
        <w:rPr>
          <w:rFonts w:cs="Arial"/>
          <w:i/>
          <w:iCs/>
          <w:sz w:val="24"/>
          <w:szCs w:val="24"/>
        </w:rPr>
        <w:t>RECIBOS DE NOMINA DEL C. ROBERTO MAURICIO CRUZ GONZALEZ</w:t>
      </w:r>
      <w:r>
        <w:rPr>
          <w:rFonts w:cs="Arial"/>
          <w:i/>
          <w:sz w:val="22"/>
          <w:szCs w:val="22"/>
        </w:rPr>
        <w:t>”</w:t>
      </w:r>
      <w:r>
        <w:rPr>
          <w:rFonts w:cs="Arial"/>
          <w:sz w:val="24"/>
          <w:szCs w:val="24"/>
        </w:rPr>
        <w:t>.</w:t>
      </w:r>
      <w:r>
        <w:rPr>
          <w:rFonts w:cs="Arial"/>
          <w:sz w:val="24"/>
          <w:szCs w:val="24"/>
        </w:rPr>
        <w:t xml:space="preserve"> DEL 1 ENERO DEL 2021 AL 30 DE SEPTIEMBRE DEL 2021.</w:t>
      </w:r>
    </w:p>
    <w:p w:rsidR="005C3F09" w:rsidRDefault="00724659">
      <w:pPr>
        <w:pStyle w:val="corte4fondo"/>
        <w:numPr>
          <w:ilvl w:val="0"/>
          <w:numId w:val="3"/>
        </w:numPr>
        <w:tabs>
          <w:tab w:val="clear" w:pos="312"/>
          <w:tab w:val="left" w:pos="567"/>
        </w:tabs>
        <w:ind w:left="708" w:right="680" w:firstLine="0"/>
        <w:rPr>
          <w:rFonts w:cs="Arial"/>
          <w:sz w:val="24"/>
          <w:szCs w:val="24"/>
        </w:rPr>
      </w:pPr>
      <w:r>
        <w:rPr>
          <w:rFonts w:cs="Arial"/>
          <w:sz w:val="24"/>
          <w:szCs w:val="24"/>
        </w:rPr>
        <w:t>MONTO MENSUAL DE VIATICOS QUE PERCIBIO DEL 1 DE ENRO DEL 2021 AL 30 DE SEPTIEMBRE DEL 2021.</w:t>
      </w:r>
    </w:p>
    <w:p w:rsidR="005C3F09" w:rsidRDefault="00724659">
      <w:pPr>
        <w:pStyle w:val="corte4fondo"/>
        <w:numPr>
          <w:ilvl w:val="0"/>
          <w:numId w:val="3"/>
        </w:numPr>
        <w:tabs>
          <w:tab w:val="clear" w:pos="312"/>
          <w:tab w:val="left" w:pos="567"/>
        </w:tabs>
        <w:ind w:left="708" w:right="680" w:firstLine="0"/>
        <w:rPr>
          <w:rFonts w:cs="Arial"/>
          <w:sz w:val="24"/>
          <w:szCs w:val="24"/>
        </w:rPr>
      </w:pPr>
      <w:r>
        <w:rPr>
          <w:rFonts w:cs="Arial"/>
          <w:sz w:val="24"/>
          <w:szCs w:val="24"/>
        </w:rPr>
        <w:t>COPIA DE LAS FACTUR</w:t>
      </w:r>
      <w:r>
        <w:rPr>
          <w:rFonts w:cs="Arial"/>
          <w:sz w:val="24"/>
          <w:szCs w:val="24"/>
        </w:rPr>
        <w:t xml:space="preserve">AS PAGADAS AL C. ROBERTO MAURICIO CRUZ GONZALEZ 1 DE ENERO DEL 2021 AL 30 DE SEPTIEMBRE DEL 2021.” </w:t>
      </w:r>
      <w:r>
        <w:rPr>
          <w:rFonts w:cs="Arial"/>
          <w:b/>
          <w:sz w:val="24"/>
          <w:szCs w:val="24"/>
        </w:rPr>
        <w:t>SIC</w:t>
      </w:r>
      <w:r>
        <w:rPr>
          <w:rFonts w:cs="Arial"/>
          <w:sz w:val="24"/>
          <w:szCs w:val="24"/>
        </w:rPr>
        <w:t xml:space="preserve">. </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sz w:val="24"/>
          <w:szCs w:val="24"/>
        </w:rPr>
        <w:lastRenderedPageBreak/>
        <w:t xml:space="preserve">Ahora, de conformidad con lo establecido en el primer párrafo del artículo 154 de la Ley de Transparencia y Acceso a la Información Pública del </w:t>
      </w:r>
      <w:r>
        <w:rPr>
          <w:rFonts w:cs="Arial"/>
          <w:sz w:val="24"/>
          <w:szCs w:val="24"/>
        </w:rPr>
        <w:t>Estado, los entes obligados deben otorgar respuesta a las solicitudes de información en un plazo que no debe exceder de 10 diez días, contados a partir del día siguiente a su presentación:</w:t>
      </w:r>
    </w:p>
    <w:p w:rsidR="005C3F09" w:rsidRDefault="005C3F09">
      <w:pPr>
        <w:pStyle w:val="corte4fondo"/>
        <w:tabs>
          <w:tab w:val="left" w:pos="567"/>
        </w:tabs>
        <w:rPr>
          <w:rFonts w:cs="Arial"/>
          <w:sz w:val="24"/>
          <w:szCs w:val="24"/>
        </w:rPr>
      </w:pPr>
    </w:p>
    <w:p w:rsidR="005C3F09" w:rsidRDefault="00724659">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154.</w:t>
      </w:r>
      <w:r>
        <w:rPr>
          <w:rFonts w:cs="Arial"/>
          <w:i/>
          <w:sz w:val="22"/>
          <w:szCs w:val="22"/>
        </w:rPr>
        <w:t xml:space="preserve"> La respuesta a la solicitud deberá ser notificada a</w:t>
      </w:r>
      <w:r>
        <w:rPr>
          <w:rFonts w:cs="Arial"/>
          <w:i/>
          <w:sz w:val="22"/>
          <w:szCs w:val="22"/>
        </w:rPr>
        <w:t>l interesado en el menor tiempo posible, que no podrá exceder de diez días, contados a partir del día siguiente a la presentación de aquélla.</w:t>
      </w:r>
    </w:p>
    <w:p w:rsidR="005C3F09" w:rsidRDefault="005C3F09">
      <w:pPr>
        <w:pStyle w:val="corte4fondo"/>
        <w:tabs>
          <w:tab w:val="left" w:pos="567"/>
        </w:tabs>
        <w:ind w:left="680" w:right="680" w:firstLine="0"/>
        <w:rPr>
          <w:rFonts w:cs="Arial"/>
          <w:i/>
          <w:sz w:val="22"/>
          <w:szCs w:val="22"/>
        </w:rPr>
      </w:pPr>
    </w:p>
    <w:p w:rsidR="005C3F09" w:rsidRDefault="00724659">
      <w:pPr>
        <w:pStyle w:val="corte4fondo"/>
        <w:tabs>
          <w:tab w:val="left" w:pos="567"/>
        </w:tabs>
        <w:ind w:left="680" w:right="680" w:firstLine="0"/>
        <w:rPr>
          <w:rFonts w:cs="Arial"/>
          <w:i/>
          <w:sz w:val="22"/>
          <w:szCs w:val="22"/>
        </w:rPr>
      </w:pPr>
      <w:r>
        <w:rPr>
          <w:rFonts w:cs="Arial"/>
          <w:i/>
          <w:sz w:val="22"/>
          <w:szCs w:val="22"/>
        </w:rPr>
        <w:t>Excepcionalmente, el plazo referido en el párrafo anterior podrá ampliarse hasta por diez días más, siempre y cua</w:t>
      </w:r>
      <w:r>
        <w:rPr>
          <w:rFonts w:cs="Arial"/>
          <w:i/>
          <w:sz w:val="22"/>
          <w:szCs w:val="22"/>
        </w:rPr>
        <w:t>ndo existan razones fundadas y motivadas, las cuales deberán ser aprobadas por el Comité de Transparencia, mediante la emisión de una resolución que deberá notificarse al solicitante, antes de su vencimiento.</w:t>
      </w:r>
    </w:p>
    <w:p w:rsidR="005C3F09" w:rsidRDefault="005C3F09">
      <w:pPr>
        <w:pStyle w:val="corte4fondo"/>
        <w:tabs>
          <w:tab w:val="left" w:pos="567"/>
        </w:tabs>
        <w:ind w:left="680" w:right="680" w:firstLine="0"/>
        <w:rPr>
          <w:rFonts w:cs="Arial"/>
          <w:i/>
          <w:sz w:val="22"/>
          <w:szCs w:val="22"/>
        </w:rPr>
      </w:pPr>
    </w:p>
    <w:p w:rsidR="005C3F09" w:rsidRDefault="00724659">
      <w:pPr>
        <w:pStyle w:val="corte4fondo"/>
        <w:tabs>
          <w:tab w:val="left" w:pos="567"/>
        </w:tabs>
        <w:ind w:left="680" w:right="680" w:firstLine="0"/>
        <w:rPr>
          <w:rFonts w:cs="Arial"/>
          <w:sz w:val="24"/>
          <w:szCs w:val="24"/>
        </w:rPr>
      </w:pPr>
      <w:r>
        <w:rPr>
          <w:rFonts w:cs="Arial"/>
          <w:i/>
          <w:sz w:val="22"/>
          <w:szCs w:val="22"/>
        </w:rPr>
        <w:t xml:space="preserve">Los sujetos obligados, al otorgar respuesta a </w:t>
      </w:r>
      <w:r>
        <w:rPr>
          <w:rFonts w:cs="Arial"/>
          <w:i/>
          <w:sz w:val="22"/>
          <w:szCs w:val="22"/>
        </w:rPr>
        <w:t>una solicitud de acceso a la información, con independencia de su sentido, harán del conocimiento del solicitante sobre el medio de defensa que le asiste para inconformarse, así como el plazo para su interposición, conforme a lo establecido por esta Ley.</w:t>
      </w:r>
      <w:r>
        <w:rPr>
          <w:rFonts w:cs="Arial"/>
          <w:sz w:val="24"/>
          <w:szCs w:val="24"/>
        </w:rPr>
        <w:t>”</w:t>
      </w:r>
    </w:p>
    <w:p w:rsidR="005C3F09" w:rsidRDefault="005C3F09">
      <w:pPr>
        <w:pStyle w:val="corte4fondo"/>
        <w:tabs>
          <w:tab w:val="left" w:pos="567"/>
        </w:tabs>
        <w:ind w:left="680" w:firstLine="0"/>
        <w:rPr>
          <w:rFonts w:cs="Arial"/>
          <w:sz w:val="24"/>
          <w:szCs w:val="24"/>
        </w:rPr>
      </w:pPr>
    </w:p>
    <w:p w:rsidR="005C3F09" w:rsidRDefault="00724659">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información por otros diez días más, siempre que hubiere causa</w:t>
      </w:r>
      <w:r>
        <w:rPr>
          <w:rFonts w:cs="Arial"/>
          <w:sz w:val="24"/>
          <w:szCs w:val="24"/>
        </w:rPr>
        <w:t xml:space="preserve"> justificada y fuera notificado al solicitante, este no es el caso, ya que no consta en autos tal circunstancia.</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sz w:val="24"/>
          <w:szCs w:val="24"/>
        </w:rPr>
        <w:t>En este tenor, resulta aplicable señalar que de acuerdo al artículo 164 de la Ley de la materia, si una vez transcurridos los diez días de pre</w:t>
      </w:r>
      <w:r>
        <w:rPr>
          <w:rFonts w:cs="Arial"/>
          <w:sz w:val="24"/>
          <w:szCs w:val="24"/>
        </w:rPr>
        <w:t>sentada la solicitud de información, la autoridad no ha otorgado respuesta, se aplicará el principio de afirmativa ficta, para que éste entregue la información requerida en un plazo máximo de diez días y de manera gratuita:</w:t>
      </w:r>
    </w:p>
    <w:p w:rsidR="005C3F09" w:rsidRDefault="005C3F09">
      <w:pPr>
        <w:pStyle w:val="corte4fondo"/>
        <w:tabs>
          <w:tab w:val="left" w:pos="567"/>
        </w:tabs>
        <w:rPr>
          <w:rFonts w:cs="Arial"/>
          <w:sz w:val="24"/>
          <w:szCs w:val="24"/>
        </w:rPr>
      </w:pPr>
    </w:p>
    <w:p w:rsidR="005C3F09" w:rsidRDefault="00724659">
      <w:pPr>
        <w:pStyle w:val="corte4fondo"/>
        <w:tabs>
          <w:tab w:val="left" w:pos="567"/>
        </w:tabs>
        <w:ind w:left="680" w:right="680" w:firstLine="0"/>
        <w:rPr>
          <w:rFonts w:cs="Arial"/>
          <w:sz w:val="24"/>
          <w:szCs w:val="24"/>
        </w:rPr>
      </w:pPr>
      <w:r>
        <w:rPr>
          <w:rFonts w:cs="Arial"/>
          <w:sz w:val="22"/>
          <w:szCs w:val="22"/>
        </w:rPr>
        <w:t>“</w:t>
      </w:r>
      <w:r>
        <w:rPr>
          <w:rFonts w:cs="Arial"/>
          <w:b/>
          <w:i/>
          <w:sz w:val="22"/>
          <w:szCs w:val="22"/>
        </w:rPr>
        <w:t>ARTICULO 164.</w:t>
      </w:r>
      <w:r>
        <w:rPr>
          <w:rFonts w:cs="Arial"/>
          <w:i/>
          <w:sz w:val="22"/>
          <w:szCs w:val="22"/>
        </w:rPr>
        <w:t xml:space="preserve"> </w:t>
      </w:r>
      <w:r>
        <w:rPr>
          <w:rFonts w:cs="Arial"/>
          <w:i/>
          <w:sz w:val="22"/>
          <w:szCs w:val="22"/>
          <w:u w:val="single"/>
        </w:rPr>
        <w:t>Si transcurridos</w:t>
      </w:r>
      <w:r>
        <w:rPr>
          <w:rFonts w:cs="Arial"/>
          <w:i/>
          <w:sz w:val="22"/>
          <w:szCs w:val="22"/>
          <w:u w:val="single"/>
        </w:rPr>
        <w:t xml:space="preserve"> diez días</w:t>
      </w:r>
      <w:r>
        <w:rPr>
          <w:rFonts w:cs="Arial"/>
          <w:i/>
          <w:sz w:val="22"/>
          <w:szCs w:val="22"/>
        </w:rPr>
        <w:t xml:space="preserve"> de presentada la solicitud de información</w:t>
      </w:r>
      <w:r>
        <w:rPr>
          <w:rFonts w:cs="Arial"/>
          <w:i/>
          <w:sz w:val="22"/>
          <w:szCs w:val="22"/>
          <w:u w:val="single"/>
        </w:rPr>
        <w:t>, la unidad de transparencia no respondiere al interesado, se aplicará el principio de afirmativa ficta</w:t>
      </w:r>
      <w:r>
        <w:rPr>
          <w:rFonts w:cs="Arial"/>
          <w:i/>
          <w:sz w:val="22"/>
          <w:szCs w:val="22"/>
        </w:rPr>
        <w:t xml:space="preserve">, y la autoridad estará obligada a entregar la información de manera gratuita, en un plazo máximo de </w:t>
      </w:r>
      <w:r>
        <w:rPr>
          <w:rFonts w:cs="Arial"/>
          <w:i/>
          <w:sz w:val="22"/>
          <w:szCs w:val="22"/>
        </w:rPr>
        <w:t>diez días; salvo cuando se trate de información reservada o confidencial.</w:t>
      </w:r>
      <w:r>
        <w:rPr>
          <w:rFonts w:cs="Arial"/>
          <w:sz w:val="22"/>
          <w:szCs w:val="22"/>
        </w:rPr>
        <w:t xml:space="preserve">” </w:t>
      </w:r>
      <w:r>
        <w:rPr>
          <w:rFonts w:cs="Arial"/>
          <w:sz w:val="24"/>
          <w:szCs w:val="24"/>
        </w:rPr>
        <w:t>(Énfasis añadido de manera intencional).</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color w:val="000000" w:themeColor="text1"/>
          <w:sz w:val="24"/>
          <w:szCs w:val="24"/>
        </w:rPr>
      </w:pPr>
      <w:r>
        <w:rPr>
          <w:rFonts w:cs="Arial"/>
          <w:color w:val="000000" w:themeColor="text1"/>
          <w:sz w:val="24"/>
          <w:szCs w:val="24"/>
        </w:rPr>
        <w:t>Así pues, si la solicitud de información fue presentada</w:t>
      </w:r>
      <w:r>
        <w:rPr>
          <w:rFonts w:cs="Arial"/>
          <w:color w:val="000000" w:themeColor="text1"/>
          <w:sz w:val="24"/>
          <w:szCs w:val="24"/>
        </w:rPr>
        <w:t xml:space="preserve"> </w:t>
      </w:r>
      <w:r w:rsidR="00605CFC">
        <w:rPr>
          <w:rFonts w:cs="Arial"/>
          <w:color w:val="000000" w:themeColor="text1"/>
          <w:sz w:val="24"/>
          <w:szCs w:val="24"/>
        </w:rPr>
        <w:t xml:space="preserve">22 veintidós de diciembre de 2021 </w:t>
      </w:r>
      <w:proofErr w:type="gramStart"/>
      <w:r w:rsidR="00605CFC">
        <w:rPr>
          <w:rFonts w:cs="Arial"/>
          <w:color w:val="000000" w:themeColor="text1"/>
          <w:sz w:val="24"/>
          <w:szCs w:val="24"/>
        </w:rPr>
        <w:t>dos mil veintiuno</w:t>
      </w:r>
      <w:proofErr w:type="gramEnd"/>
      <w:r>
        <w:rPr>
          <w:rFonts w:cs="Arial"/>
          <w:color w:val="000000" w:themeColor="text1"/>
          <w:sz w:val="24"/>
          <w:szCs w:val="24"/>
        </w:rPr>
        <w:t xml:space="preserve">, el plazo de 10 diez días hábiles </w:t>
      </w:r>
      <w:r>
        <w:rPr>
          <w:rFonts w:cs="Arial"/>
          <w:color w:val="000000" w:themeColor="text1"/>
          <w:sz w:val="24"/>
          <w:szCs w:val="24"/>
        </w:rPr>
        <w:t>para que el sujeto obligado otorgara contestación transcurrió del</w:t>
      </w:r>
      <w:r>
        <w:rPr>
          <w:rFonts w:cs="Arial"/>
          <w:color w:val="000000" w:themeColor="text1"/>
          <w:sz w:val="24"/>
          <w:szCs w:val="24"/>
        </w:rPr>
        <w:t xml:space="preserve"> </w:t>
      </w:r>
      <w:r w:rsidR="00605CFC">
        <w:rPr>
          <w:rFonts w:cs="Arial"/>
          <w:color w:val="000000" w:themeColor="text1"/>
          <w:sz w:val="24"/>
          <w:szCs w:val="24"/>
        </w:rPr>
        <w:t>04 cuatro</w:t>
      </w:r>
      <w:r>
        <w:rPr>
          <w:rFonts w:cs="Arial"/>
          <w:color w:val="000000" w:themeColor="text1"/>
          <w:sz w:val="24"/>
          <w:szCs w:val="24"/>
        </w:rPr>
        <w:t xml:space="preserve"> de enero al</w:t>
      </w:r>
      <w:r>
        <w:rPr>
          <w:rFonts w:cs="Arial"/>
          <w:color w:val="000000" w:themeColor="text1"/>
          <w:sz w:val="24"/>
          <w:szCs w:val="24"/>
        </w:rPr>
        <w:t xml:space="preserve"> </w:t>
      </w:r>
      <w:r>
        <w:rPr>
          <w:rFonts w:cs="Arial"/>
          <w:color w:val="000000" w:themeColor="text1"/>
          <w:sz w:val="24"/>
          <w:szCs w:val="24"/>
        </w:rPr>
        <w:t xml:space="preserve">17 diecisiete de enero </w:t>
      </w:r>
      <w:r>
        <w:rPr>
          <w:rFonts w:cs="Arial"/>
          <w:color w:val="000000" w:themeColor="text1"/>
          <w:sz w:val="24"/>
          <w:szCs w:val="24"/>
        </w:rPr>
        <w:t>de 202</w:t>
      </w:r>
      <w:r>
        <w:rPr>
          <w:rFonts w:cs="Arial"/>
          <w:color w:val="000000" w:themeColor="text1"/>
          <w:sz w:val="24"/>
          <w:szCs w:val="24"/>
        </w:rPr>
        <w:t>2</w:t>
      </w:r>
      <w:r>
        <w:rPr>
          <w:rFonts w:cs="Arial"/>
          <w:color w:val="000000" w:themeColor="text1"/>
          <w:sz w:val="24"/>
          <w:szCs w:val="24"/>
        </w:rPr>
        <w:t xml:space="preserve"> dos mil veinti</w:t>
      </w:r>
      <w:r>
        <w:rPr>
          <w:rFonts w:cs="Arial"/>
          <w:color w:val="000000" w:themeColor="text1"/>
          <w:sz w:val="24"/>
          <w:szCs w:val="24"/>
        </w:rPr>
        <w:t>dós</w:t>
      </w:r>
      <w:r>
        <w:rPr>
          <w:rFonts w:cs="Arial"/>
          <w:color w:val="000000" w:themeColor="text1"/>
          <w:sz w:val="24"/>
          <w:szCs w:val="24"/>
        </w:rPr>
        <w:t>.</w:t>
      </w:r>
    </w:p>
    <w:p w:rsidR="005C3F09" w:rsidRDefault="005C3F09">
      <w:pPr>
        <w:pStyle w:val="corte4fondo"/>
        <w:tabs>
          <w:tab w:val="left" w:pos="567"/>
        </w:tabs>
        <w:rPr>
          <w:rFonts w:cs="Arial"/>
          <w:sz w:val="24"/>
          <w:szCs w:val="24"/>
        </w:rPr>
      </w:pPr>
    </w:p>
    <w:p w:rsidR="005C3F09" w:rsidRDefault="00724659">
      <w:pPr>
        <w:pStyle w:val="corte4fondo"/>
        <w:tabs>
          <w:tab w:val="left" w:pos="567"/>
        </w:tabs>
        <w:rPr>
          <w:rFonts w:cs="Arial"/>
          <w:color w:val="000000" w:themeColor="text1"/>
          <w:sz w:val="24"/>
          <w:szCs w:val="24"/>
          <w:highlight w:val="yellow"/>
        </w:rPr>
      </w:pPr>
      <w:r>
        <w:rPr>
          <w:rFonts w:cs="Arial"/>
          <w:color w:val="000000" w:themeColor="text1"/>
          <w:sz w:val="24"/>
          <w:szCs w:val="24"/>
        </w:rPr>
        <w:t>Por tanto, el último día para contestar la solicitud de información</w:t>
      </w:r>
      <w:r>
        <w:rPr>
          <w:rFonts w:cs="Arial"/>
          <w:b/>
          <w:bCs/>
          <w:color w:val="000000" w:themeColor="text1"/>
          <w:sz w:val="24"/>
          <w:szCs w:val="24"/>
        </w:rPr>
        <w:t xml:space="preserve"> fue el</w:t>
      </w:r>
      <w:r>
        <w:rPr>
          <w:rFonts w:cs="Arial"/>
          <w:b/>
          <w:bCs/>
          <w:color w:val="000000" w:themeColor="text1"/>
          <w:sz w:val="24"/>
          <w:szCs w:val="24"/>
        </w:rPr>
        <w:t xml:space="preserve"> 17 diecisiete de enero </w:t>
      </w:r>
      <w:r>
        <w:rPr>
          <w:rFonts w:cs="Arial"/>
          <w:b/>
          <w:bCs/>
          <w:color w:val="000000" w:themeColor="text1"/>
          <w:sz w:val="24"/>
          <w:szCs w:val="24"/>
        </w:rPr>
        <w:t>de 202</w:t>
      </w:r>
      <w:r>
        <w:rPr>
          <w:rFonts w:cs="Arial"/>
          <w:b/>
          <w:bCs/>
          <w:color w:val="000000" w:themeColor="text1"/>
          <w:sz w:val="24"/>
          <w:szCs w:val="24"/>
        </w:rPr>
        <w:t>2</w:t>
      </w:r>
      <w:r>
        <w:rPr>
          <w:rFonts w:cs="Arial"/>
          <w:b/>
          <w:bCs/>
          <w:color w:val="000000" w:themeColor="text1"/>
          <w:sz w:val="24"/>
          <w:szCs w:val="24"/>
        </w:rPr>
        <w:t xml:space="preserve"> dos mil veinti</w:t>
      </w:r>
      <w:r>
        <w:rPr>
          <w:rFonts w:cs="Arial"/>
          <w:b/>
          <w:bCs/>
          <w:color w:val="000000" w:themeColor="text1"/>
          <w:sz w:val="24"/>
          <w:szCs w:val="24"/>
        </w:rPr>
        <w:t>dós</w:t>
      </w:r>
      <w:r>
        <w:rPr>
          <w:rFonts w:cs="Arial"/>
          <w:color w:val="000000" w:themeColor="text1"/>
          <w:sz w:val="24"/>
          <w:szCs w:val="24"/>
        </w:rPr>
        <w:t>, sin que en la especie hubiere recaído contestación alguna a la solicitud de información de la que se deriva este recurso de revisión.</w:t>
      </w:r>
    </w:p>
    <w:p w:rsidR="005C3F09" w:rsidRDefault="00724659">
      <w:pPr>
        <w:pStyle w:val="NormalWeb"/>
        <w:spacing w:line="360" w:lineRule="auto"/>
        <w:ind w:firstLine="680"/>
        <w:jc w:val="both"/>
        <w:rPr>
          <w:rFonts w:ascii="Arial" w:hAnsi="Arial" w:cs="Arial"/>
        </w:rPr>
      </w:pPr>
      <w:r>
        <w:rPr>
          <w:rFonts w:ascii="Arial" w:hAnsi="Arial" w:cs="Arial"/>
        </w:rPr>
        <w:t>Bajo este contexto, como en el presente caso el ente obligado fue omiso en contestar la solicitud de i</w:t>
      </w:r>
      <w:r>
        <w:rPr>
          <w:rFonts w:ascii="Arial" w:hAnsi="Arial" w:cs="Arial"/>
        </w:rPr>
        <w:t>nformación en el plazo de 10 diez días previsto en el artículo 154 de la Ley de Transparencia para tal efecto, así como en remitir constancia alguna con la que acreditara haber dejado sin materia el acto impugnado, lo procedente es que este organismo apliq</w:t>
      </w:r>
      <w:r>
        <w:rPr>
          <w:rFonts w:ascii="Arial" w:hAnsi="Arial" w:cs="Arial"/>
        </w:rPr>
        <w:t>ue el principio de afirmativa ficta.</w:t>
      </w:r>
    </w:p>
    <w:p w:rsidR="005C3F09" w:rsidRDefault="00724659">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recaída a su solicitud de información derivada de esta reso</w:t>
      </w:r>
      <w:r>
        <w:rPr>
          <w:rFonts w:ascii="Arial" w:hAnsi="Arial" w:cs="Arial"/>
        </w:rPr>
        <w:t>lución es susceptible de ser impugnada de nueva cuenta mediante recurso de revisión ante esta Comisión de Transparencia:</w:t>
      </w:r>
    </w:p>
    <w:p w:rsidR="005C3F09" w:rsidRDefault="00724659">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167.</w:t>
      </w:r>
      <w:r>
        <w:rPr>
          <w:rFonts w:cs="Arial"/>
          <w:i/>
          <w:sz w:val="22"/>
          <w:szCs w:val="22"/>
        </w:rPr>
        <w:t xml:space="preserve"> El recurso de revisión procederá en contra de:</w:t>
      </w:r>
    </w:p>
    <w:p w:rsidR="005C3F09" w:rsidRDefault="00724659">
      <w:pPr>
        <w:pStyle w:val="corte4fondo"/>
        <w:tabs>
          <w:tab w:val="left" w:pos="567"/>
        </w:tabs>
        <w:ind w:left="680" w:right="680" w:firstLine="0"/>
        <w:rPr>
          <w:rFonts w:cs="Arial"/>
          <w:i/>
          <w:sz w:val="22"/>
          <w:szCs w:val="22"/>
        </w:rPr>
      </w:pPr>
      <w:r>
        <w:rPr>
          <w:rFonts w:cs="Arial"/>
          <w:i/>
          <w:sz w:val="22"/>
          <w:szCs w:val="22"/>
        </w:rPr>
        <w:t>I. La clasificación de la información;</w:t>
      </w:r>
    </w:p>
    <w:p w:rsidR="005C3F09" w:rsidRDefault="00724659">
      <w:pPr>
        <w:pStyle w:val="corte4fondo"/>
        <w:tabs>
          <w:tab w:val="left" w:pos="567"/>
        </w:tabs>
        <w:ind w:left="680" w:right="680" w:firstLine="0"/>
        <w:rPr>
          <w:rFonts w:cs="Arial"/>
          <w:i/>
          <w:sz w:val="22"/>
          <w:szCs w:val="22"/>
        </w:rPr>
      </w:pPr>
      <w:r>
        <w:rPr>
          <w:rFonts w:cs="Arial"/>
          <w:i/>
          <w:sz w:val="22"/>
          <w:szCs w:val="22"/>
        </w:rPr>
        <w:t>II. La declaración de inexistencia</w:t>
      </w:r>
      <w:r>
        <w:rPr>
          <w:rFonts w:cs="Arial"/>
          <w:i/>
          <w:sz w:val="22"/>
          <w:szCs w:val="22"/>
        </w:rPr>
        <w:t xml:space="preserve"> de información;</w:t>
      </w:r>
    </w:p>
    <w:p w:rsidR="005C3F09" w:rsidRDefault="00724659">
      <w:pPr>
        <w:pStyle w:val="corte4fondo"/>
        <w:tabs>
          <w:tab w:val="left" w:pos="567"/>
        </w:tabs>
        <w:ind w:left="680" w:right="680" w:firstLine="0"/>
        <w:rPr>
          <w:rFonts w:cs="Arial"/>
          <w:i/>
          <w:sz w:val="22"/>
          <w:szCs w:val="22"/>
        </w:rPr>
      </w:pPr>
      <w:r>
        <w:rPr>
          <w:rFonts w:cs="Arial"/>
          <w:i/>
          <w:sz w:val="22"/>
          <w:szCs w:val="22"/>
        </w:rPr>
        <w:t>III. La declaración de incompetencia por el sujeto obligado;</w:t>
      </w:r>
    </w:p>
    <w:p w:rsidR="005C3F09" w:rsidRDefault="00724659">
      <w:pPr>
        <w:pStyle w:val="corte4fondo"/>
        <w:tabs>
          <w:tab w:val="left" w:pos="567"/>
        </w:tabs>
        <w:ind w:left="680" w:right="680" w:firstLine="0"/>
        <w:rPr>
          <w:rFonts w:cs="Arial"/>
          <w:i/>
          <w:sz w:val="22"/>
          <w:szCs w:val="22"/>
        </w:rPr>
      </w:pPr>
      <w:r>
        <w:rPr>
          <w:rFonts w:cs="Arial"/>
          <w:i/>
          <w:sz w:val="22"/>
          <w:szCs w:val="22"/>
        </w:rPr>
        <w:t>IV. La entrega de información incompleta;</w:t>
      </w:r>
    </w:p>
    <w:p w:rsidR="005C3F09" w:rsidRDefault="00724659">
      <w:pPr>
        <w:pStyle w:val="corte4fondo"/>
        <w:tabs>
          <w:tab w:val="left" w:pos="567"/>
        </w:tabs>
        <w:ind w:left="680" w:right="680" w:firstLine="0"/>
        <w:rPr>
          <w:rFonts w:cs="Arial"/>
          <w:i/>
          <w:sz w:val="22"/>
          <w:szCs w:val="22"/>
        </w:rPr>
      </w:pPr>
      <w:r>
        <w:rPr>
          <w:rFonts w:cs="Arial"/>
          <w:i/>
          <w:sz w:val="22"/>
          <w:szCs w:val="22"/>
        </w:rPr>
        <w:t>V. La entrega de información que no corresponda con lo solicitado;</w:t>
      </w:r>
    </w:p>
    <w:p w:rsidR="005C3F09" w:rsidRDefault="00724659">
      <w:pPr>
        <w:pStyle w:val="corte4fondo"/>
        <w:tabs>
          <w:tab w:val="left" w:pos="567"/>
        </w:tabs>
        <w:ind w:left="680" w:right="680" w:firstLine="0"/>
        <w:rPr>
          <w:rFonts w:cs="Arial"/>
          <w:i/>
          <w:sz w:val="22"/>
          <w:szCs w:val="22"/>
          <w:u w:val="single"/>
        </w:rPr>
      </w:pPr>
      <w:r>
        <w:rPr>
          <w:rFonts w:cs="Arial"/>
          <w:b/>
          <w:i/>
          <w:sz w:val="22"/>
          <w:szCs w:val="22"/>
          <w:u w:val="single"/>
        </w:rPr>
        <w:t>VI.</w:t>
      </w:r>
      <w:r>
        <w:rPr>
          <w:rFonts w:cs="Arial"/>
          <w:i/>
          <w:sz w:val="22"/>
          <w:szCs w:val="22"/>
          <w:u w:val="single"/>
        </w:rPr>
        <w:t xml:space="preserve"> La falta de respuesta a una solicitud de acceso a la información dentro de los plazos establecidos en la ley;</w:t>
      </w:r>
    </w:p>
    <w:p w:rsidR="005C3F09" w:rsidRDefault="00724659">
      <w:pPr>
        <w:pStyle w:val="corte4fondo"/>
        <w:tabs>
          <w:tab w:val="left" w:pos="567"/>
        </w:tabs>
        <w:ind w:left="680" w:right="680" w:firstLine="0"/>
        <w:rPr>
          <w:rFonts w:cs="Arial"/>
          <w:i/>
          <w:sz w:val="22"/>
          <w:szCs w:val="22"/>
        </w:rPr>
      </w:pPr>
      <w:r>
        <w:rPr>
          <w:rFonts w:cs="Arial"/>
          <w:i/>
          <w:sz w:val="22"/>
          <w:szCs w:val="22"/>
        </w:rPr>
        <w:t>VII. La notificación, entrega o puesta a disposición de información en una modalidad o formato distinto al solicitado;</w:t>
      </w:r>
    </w:p>
    <w:p w:rsidR="005C3F09" w:rsidRDefault="00724659">
      <w:pPr>
        <w:pStyle w:val="corte4fondo"/>
        <w:tabs>
          <w:tab w:val="left" w:pos="567"/>
        </w:tabs>
        <w:ind w:left="680" w:right="680" w:firstLine="0"/>
        <w:rPr>
          <w:rFonts w:cs="Arial"/>
          <w:i/>
          <w:sz w:val="22"/>
          <w:szCs w:val="22"/>
        </w:rPr>
      </w:pPr>
      <w:r>
        <w:rPr>
          <w:rFonts w:cs="Arial"/>
          <w:i/>
          <w:sz w:val="22"/>
          <w:szCs w:val="22"/>
        </w:rPr>
        <w:t xml:space="preserve">VIII. La entrega o puesta </w:t>
      </w:r>
      <w:r>
        <w:rPr>
          <w:rFonts w:cs="Arial"/>
          <w:i/>
          <w:sz w:val="22"/>
          <w:szCs w:val="22"/>
        </w:rPr>
        <w:t>a disposición de información en un formato incomprensible y/o no accesible para el solicitante;</w:t>
      </w:r>
    </w:p>
    <w:p w:rsidR="005C3F09" w:rsidRDefault="00724659">
      <w:pPr>
        <w:pStyle w:val="corte4fondo"/>
        <w:tabs>
          <w:tab w:val="left" w:pos="567"/>
        </w:tabs>
        <w:ind w:left="680" w:right="680" w:firstLine="0"/>
        <w:rPr>
          <w:rFonts w:cs="Arial"/>
          <w:i/>
          <w:sz w:val="22"/>
          <w:szCs w:val="22"/>
        </w:rPr>
      </w:pPr>
      <w:r>
        <w:rPr>
          <w:rFonts w:cs="Arial"/>
          <w:i/>
          <w:sz w:val="22"/>
          <w:szCs w:val="22"/>
        </w:rPr>
        <w:t>IX. Los costos o tiempos de entrega de la información;</w:t>
      </w:r>
    </w:p>
    <w:p w:rsidR="005C3F09" w:rsidRDefault="00724659">
      <w:pPr>
        <w:pStyle w:val="corte4fondo"/>
        <w:tabs>
          <w:tab w:val="left" w:pos="567"/>
        </w:tabs>
        <w:ind w:left="680" w:right="680" w:firstLine="0"/>
        <w:rPr>
          <w:rFonts w:cs="Arial"/>
          <w:i/>
          <w:sz w:val="22"/>
          <w:szCs w:val="22"/>
        </w:rPr>
      </w:pPr>
      <w:r>
        <w:rPr>
          <w:rFonts w:cs="Arial"/>
          <w:i/>
          <w:sz w:val="22"/>
          <w:szCs w:val="22"/>
        </w:rPr>
        <w:t>X. La falta de trámite a una solicitud;</w:t>
      </w:r>
    </w:p>
    <w:p w:rsidR="005C3F09" w:rsidRDefault="00724659">
      <w:pPr>
        <w:pStyle w:val="corte4fondo"/>
        <w:tabs>
          <w:tab w:val="left" w:pos="567"/>
        </w:tabs>
        <w:ind w:left="680" w:right="680" w:firstLine="0"/>
        <w:rPr>
          <w:rFonts w:cs="Arial"/>
          <w:i/>
          <w:sz w:val="22"/>
          <w:szCs w:val="22"/>
        </w:rPr>
      </w:pPr>
      <w:r>
        <w:rPr>
          <w:rFonts w:cs="Arial"/>
          <w:i/>
          <w:sz w:val="22"/>
          <w:szCs w:val="22"/>
        </w:rPr>
        <w:lastRenderedPageBreak/>
        <w:t>XI. La negativa a permitir la consulta directa de la información;</w:t>
      </w:r>
    </w:p>
    <w:p w:rsidR="005C3F09" w:rsidRDefault="00724659">
      <w:pPr>
        <w:pStyle w:val="corte4fondo"/>
        <w:tabs>
          <w:tab w:val="left" w:pos="567"/>
        </w:tabs>
        <w:ind w:left="680" w:right="680" w:firstLine="0"/>
        <w:rPr>
          <w:rFonts w:cs="Arial"/>
          <w:i/>
          <w:sz w:val="22"/>
          <w:szCs w:val="22"/>
        </w:rPr>
      </w:pPr>
      <w:r>
        <w:rPr>
          <w:rFonts w:cs="Arial"/>
          <w:i/>
          <w:sz w:val="22"/>
          <w:szCs w:val="22"/>
        </w:rPr>
        <w:t>XII. La falta, deficiencia o insuficiencia de la fundamentación y/o motivación en la respuesta, o</w:t>
      </w:r>
    </w:p>
    <w:p w:rsidR="005C3F09" w:rsidRDefault="00724659">
      <w:pPr>
        <w:pStyle w:val="corte4fondo"/>
        <w:tabs>
          <w:tab w:val="left" w:pos="567"/>
        </w:tabs>
        <w:ind w:left="680" w:right="680" w:firstLine="0"/>
        <w:rPr>
          <w:rFonts w:cs="Arial"/>
          <w:i/>
          <w:sz w:val="22"/>
          <w:szCs w:val="22"/>
        </w:rPr>
      </w:pPr>
      <w:r>
        <w:rPr>
          <w:rFonts w:cs="Arial"/>
          <w:i/>
          <w:sz w:val="22"/>
          <w:szCs w:val="22"/>
        </w:rPr>
        <w:t>XIII. La orientación a un trámite específico.</w:t>
      </w:r>
    </w:p>
    <w:p w:rsidR="005C3F09" w:rsidRDefault="00724659">
      <w:pPr>
        <w:pStyle w:val="corte4fondo"/>
        <w:tabs>
          <w:tab w:val="left" w:pos="567"/>
        </w:tabs>
        <w:ind w:left="680" w:right="680" w:firstLine="0"/>
        <w:rPr>
          <w:rFonts w:cs="Arial"/>
          <w:sz w:val="24"/>
          <w:szCs w:val="24"/>
        </w:rPr>
      </w:pPr>
      <w:r>
        <w:rPr>
          <w:rFonts w:cs="Arial"/>
          <w:i/>
          <w:sz w:val="22"/>
          <w:szCs w:val="22"/>
          <w:u w:val="single"/>
        </w:rPr>
        <w:t>La respuesta que den los sujetos obligados derivada de la resolución a un recurso de revisión que proceda por l</w:t>
      </w:r>
      <w:r>
        <w:rPr>
          <w:rFonts w:cs="Arial"/>
          <w:i/>
          <w:sz w:val="22"/>
          <w:szCs w:val="22"/>
          <w:u w:val="single"/>
        </w:rPr>
        <w:t>as causales 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b/>
          <w:sz w:val="24"/>
          <w:szCs w:val="24"/>
        </w:rPr>
      </w:pPr>
      <w:r>
        <w:rPr>
          <w:rFonts w:cs="Arial"/>
          <w:b/>
          <w:sz w:val="24"/>
          <w:szCs w:val="24"/>
        </w:rPr>
        <w:t>6.1. Sentido y efectos de esta resolución.</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sz w:val="24"/>
          <w:szCs w:val="24"/>
        </w:rPr>
        <w:t>Por las</w:t>
      </w:r>
      <w:r>
        <w:rPr>
          <w:rFonts w:cs="Arial"/>
          <w:sz w:val="24"/>
          <w:szCs w:val="24"/>
        </w:rPr>
        <w:t xml:space="preserve">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conmina al</w:t>
      </w:r>
      <w:r>
        <w:rPr>
          <w:rFonts w:cs="Arial"/>
          <w:sz w:val="24"/>
          <w:szCs w:val="24"/>
        </w:rPr>
        <w:t xml:space="preserve"> sujeto obligado para que entregue de manera gratuita la información consistente en: </w:t>
      </w:r>
    </w:p>
    <w:p w:rsidR="005C3F09" w:rsidRDefault="005C3F09">
      <w:pPr>
        <w:pStyle w:val="corte4fondo"/>
        <w:tabs>
          <w:tab w:val="left" w:pos="567"/>
        </w:tabs>
        <w:rPr>
          <w:rFonts w:cs="Arial"/>
          <w:sz w:val="24"/>
          <w:szCs w:val="24"/>
        </w:rPr>
      </w:pPr>
    </w:p>
    <w:p w:rsidR="005C3F09" w:rsidRPr="00824D87" w:rsidRDefault="00724659">
      <w:pPr>
        <w:pStyle w:val="corte4fondo"/>
        <w:tabs>
          <w:tab w:val="left" w:pos="567"/>
        </w:tabs>
        <w:ind w:left="708" w:right="680" w:firstLine="0"/>
        <w:rPr>
          <w:rFonts w:cs="Arial"/>
          <w:iCs/>
          <w:sz w:val="24"/>
          <w:szCs w:val="24"/>
        </w:rPr>
      </w:pPr>
      <w:r>
        <w:rPr>
          <w:rFonts w:cs="Arial"/>
          <w:b/>
          <w:sz w:val="24"/>
          <w:szCs w:val="24"/>
        </w:rPr>
        <w:t>6.1.1.</w:t>
      </w:r>
      <w:r>
        <w:rPr>
          <w:rFonts w:cs="Arial"/>
          <w:i/>
          <w:iCs/>
          <w:sz w:val="24"/>
          <w:szCs w:val="24"/>
        </w:rPr>
        <w:t xml:space="preserve"> </w:t>
      </w:r>
      <w:r w:rsidRPr="00824D87">
        <w:rPr>
          <w:rFonts w:cs="Arial"/>
          <w:iCs/>
          <w:sz w:val="24"/>
          <w:szCs w:val="24"/>
        </w:rPr>
        <w:t>DE MANERA ELECTRONICA Y DE MANERA ESCANEADA LA SIGUIENTE INFORMACIÓN:</w:t>
      </w:r>
    </w:p>
    <w:p w:rsidR="005C3F09" w:rsidRPr="00824D87" w:rsidRDefault="00724659" w:rsidP="00824D87">
      <w:pPr>
        <w:pStyle w:val="corte4fondo"/>
        <w:numPr>
          <w:ilvl w:val="0"/>
          <w:numId w:val="5"/>
        </w:numPr>
        <w:tabs>
          <w:tab w:val="left" w:pos="312"/>
          <w:tab w:val="left" w:pos="567"/>
        </w:tabs>
        <w:ind w:right="680"/>
        <w:rPr>
          <w:rFonts w:cs="Arial"/>
          <w:sz w:val="24"/>
          <w:szCs w:val="24"/>
        </w:rPr>
      </w:pPr>
      <w:r w:rsidRPr="00824D87">
        <w:rPr>
          <w:rFonts w:cs="Arial"/>
          <w:iCs/>
          <w:sz w:val="24"/>
          <w:szCs w:val="24"/>
        </w:rPr>
        <w:t>RECIBOS DE NOMINA DEL C. ROBERTO MAURICIO CRUZ GONZALEZ</w:t>
      </w:r>
      <w:r w:rsidRPr="00824D87">
        <w:rPr>
          <w:rFonts w:cs="Arial"/>
          <w:sz w:val="22"/>
          <w:szCs w:val="22"/>
        </w:rPr>
        <w:t>”</w:t>
      </w:r>
      <w:r w:rsidRPr="00824D87">
        <w:rPr>
          <w:rFonts w:cs="Arial"/>
          <w:sz w:val="24"/>
          <w:szCs w:val="24"/>
        </w:rPr>
        <w:t>.</w:t>
      </w:r>
      <w:r w:rsidRPr="00824D87">
        <w:rPr>
          <w:rFonts w:cs="Arial"/>
          <w:sz w:val="24"/>
          <w:szCs w:val="24"/>
        </w:rPr>
        <w:t xml:space="preserve"> DEL 1 ENERO DEL 2021 AL 30 DE SEPTIEMBRE DEL 2021.</w:t>
      </w:r>
    </w:p>
    <w:p w:rsidR="005C3F09" w:rsidRDefault="00724659" w:rsidP="00824D87">
      <w:pPr>
        <w:pStyle w:val="corte4fondo"/>
        <w:numPr>
          <w:ilvl w:val="0"/>
          <w:numId w:val="5"/>
        </w:numPr>
        <w:tabs>
          <w:tab w:val="left" w:pos="312"/>
          <w:tab w:val="left" w:pos="567"/>
        </w:tabs>
        <w:ind w:right="680"/>
        <w:rPr>
          <w:rFonts w:cs="Arial"/>
          <w:sz w:val="24"/>
          <w:szCs w:val="24"/>
        </w:rPr>
      </w:pPr>
      <w:r>
        <w:rPr>
          <w:rFonts w:cs="Arial"/>
          <w:sz w:val="24"/>
          <w:szCs w:val="24"/>
        </w:rPr>
        <w:t>MONTO MENSUAL DE VIATICOS QUE PERCIBIO DEL 1 DE EN</w:t>
      </w:r>
      <w:r w:rsidR="00824D87">
        <w:rPr>
          <w:rFonts w:cs="Arial"/>
          <w:sz w:val="24"/>
          <w:szCs w:val="24"/>
        </w:rPr>
        <w:t>E</w:t>
      </w:r>
      <w:r>
        <w:rPr>
          <w:rFonts w:cs="Arial"/>
          <w:sz w:val="24"/>
          <w:szCs w:val="24"/>
        </w:rPr>
        <w:t>RO DEL 2021 AL 30 DE SEPTIEMBRE DEL 2021.</w:t>
      </w:r>
    </w:p>
    <w:p w:rsidR="005C3F09" w:rsidRDefault="00724659" w:rsidP="00824D87">
      <w:pPr>
        <w:pStyle w:val="corte4fondo"/>
        <w:numPr>
          <w:ilvl w:val="0"/>
          <w:numId w:val="5"/>
        </w:numPr>
        <w:tabs>
          <w:tab w:val="left" w:pos="567"/>
        </w:tabs>
        <w:ind w:right="680"/>
        <w:rPr>
          <w:rFonts w:cs="Arial"/>
          <w:iCs/>
          <w:sz w:val="24"/>
          <w:szCs w:val="24"/>
        </w:rPr>
      </w:pPr>
      <w:r>
        <w:rPr>
          <w:rFonts w:cs="Arial"/>
          <w:sz w:val="24"/>
          <w:szCs w:val="24"/>
        </w:rPr>
        <w:t>COPIA DE LAS FACTURAS PAGADAS AL C. ROBERTO MAURICIO CRUZ GONZALEZ 1 DE ENERO DEL 2021 AL 30 DE SEPTIEMBRE DEL 2</w:t>
      </w:r>
      <w:r>
        <w:rPr>
          <w:rFonts w:cs="Arial"/>
          <w:sz w:val="24"/>
          <w:szCs w:val="24"/>
        </w:rPr>
        <w:t>021.</w:t>
      </w:r>
    </w:p>
    <w:p w:rsidR="005C3F09" w:rsidRDefault="005C3F09">
      <w:pPr>
        <w:pStyle w:val="corte4fondo"/>
        <w:tabs>
          <w:tab w:val="left" w:pos="567"/>
        </w:tabs>
        <w:ind w:left="680" w:right="680" w:firstLine="0"/>
        <w:rPr>
          <w:rFonts w:cs="Arial"/>
          <w:b/>
          <w:sz w:val="24"/>
          <w:szCs w:val="24"/>
        </w:rPr>
      </w:pPr>
    </w:p>
    <w:p w:rsidR="005C3F09" w:rsidRDefault="00724659">
      <w:pPr>
        <w:pStyle w:val="corte4fondo"/>
        <w:tabs>
          <w:tab w:val="left" w:pos="567"/>
        </w:tabs>
        <w:ind w:left="680" w:right="680" w:firstLine="0"/>
        <w:rPr>
          <w:rFonts w:cs="Arial"/>
          <w:b/>
          <w:sz w:val="24"/>
          <w:szCs w:val="24"/>
        </w:rPr>
      </w:pPr>
      <w:r>
        <w:rPr>
          <w:rFonts w:cs="Arial"/>
          <w:b/>
          <w:sz w:val="24"/>
          <w:szCs w:val="24"/>
        </w:rPr>
        <w:t>6.2. Modalidad de la información.</w:t>
      </w:r>
    </w:p>
    <w:p w:rsidR="005C3F09" w:rsidRDefault="005C3F09">
      <w:pPr>
        <w:pStyle w:val="corte4fondo"/>
        <w:tabs>
          <w:tab w:val="left" w:pos="567"/>
        </w:tabs>
        <w:ind w:left="680" w:firstLine="0"/>
        <w:rPr>
          <w:rFonts w:cs="Arial"/>
          <w:b/>
          <w:sz w:val="24"/>
          <w:szCs w:val="24"/>
        </w:rPr>
      </w:pPr>
    </w:p>
    <w:p w:rsidR="005C3F09" w:rsidRDefault="00724659">
      <w:pPr>
        <w:pStyle w:val="corte4fondo"/>
        <w:tabs>
          <w:tab w:val="left" w:pos="567"/>
        </w:tabs>
        <w:rPr>
          <w:rFonts w:cs="Arial"/>
          <w:sz w:val="24"/>
          <w:szCs w:val="24"/>
          <w:highlight w:val="yellow"/>
        </w:rPr>
      </w:pPr>
      <w:r>
        <w:rPr>
          <w:rFonts w:cs="Arial"/>
          <w:sz w:val="24"/>
          <w:szCs w:val="24"/>
        </w:rPr>
        <w:t xml:space="preserve">En virtud de que el recurrente presentó la solicitud de información a través de la Plataforma nacional de Transparencia y ya no puede otorgarse contestación por ese medio, así como que en virtud de que el particular designó correo electrónico para recibir </w:t>
      </w:r>
      <w:r>
        <w:rPr>
          <w:rFonts w:cs="Arial"/>
          <w:sz w:val="24"/>
          <w:szCs w:val="24"/>
        </w:rPr>
        <w:lastRenderedPageBreak/>
        <w:t xml:space="preserve">notificaciones, el sujeto obligado deberá notificar la respuesta al recurrente por medio de </w:t>
      </w:r>
      <w:r>
        <w:rPr>
          <w:rFonts w:cs="Arial"/>
          <w:sz w:val="24"/>
          <w:szCs w:val="24"/>
        </w:rPr>
        <w:t>correo electrónico que se designado.</w:t>
      </w:r>
    </w:p>
    <w:p w:rsidR="005C3F09" w:rsidRDefault="005C3F09">
      <w:pPr>
        <w:pStyle w:val="corte4fondo"/>
        <w:tabs>
          <w:tab w:val="left" w:pos="567"/>
        </w:tabs>
        <w:rPr>
          <w:rFonts w:cs="Arial"/>
          <w:sz w:val="24"/>
          <w:szCs w:val="24"/>
        </w:rPr>
      </w:pPr>
    </w:p>
    <w:p w:rsidR="005C3F09" w:rsidRDefault="00724659">
      <w:pPr>
        <w:pStyle w:val="corte4fondo"/>
        <w:tabs>
          <w:tab w:val="left" w:pos="567"/>
        </w:tabs>
        <w:rPr>
          <w:rFonts w:cs="Arial"/>
          <w:b/>
          <w:sz w:val="24"/>
          <w:szCs w:val="24"/>
        </w:rPr>
      </w:pPr>
      <w:r>
        <w:rPr>
          <w:rFonts w:cs="Arial"/>
          <w:b/>
          <w:sz w:val="24"/>
          <w:szCs w:val="24"/>
        </w:rPr>
        <w:t>6.3. Precisiones de esta resolución.</w:t>
      </w:r>
    </w:p>
    <w:p w:rsidR="005C3F09" w:rsidRDefault="005C3F09">
      <w:pPr>
        <w:pStyle w:val="corte4fondo"/>
        <w:tabs>
          <w:tab w:val="left" w:pos="567"/>
        </w:tabs>
        <w:rPr>
          <w:rFonts w:cs="Arial"/>
          <w:b/>
          <w:sz w:val="24"/>
          <w:szCs w:val="24"/>
        </w:rPr>
      </w:pPr>
    </w:p>
    <w:p w:rsidR="005C3F09" w:rsidRDefault="00724659">
      <w:pPr>
        <w:pStyle w:val="corte4fondo"/>
        <w:tabs>
          <w:tab w:val="left" w:pos="567"/>
        </w:tabs>
        <w:rPr>
          <w:rFonts w:cs="Arial"/>
          <w:sz w:val="24"/>
          <w:szCs w:val="24"/>
        </w:rPr>
      </w:pPr>
      <w:r>
        <w:rPr>
          <w:rFonts w:cs="Arial"/>
          <w:sz w:val="24"/>
          <w:szCs w:val="24"/>
        </w:rPr>
        <w:t>Para acreditar el cumplimiento a la presente resolución, la autoridad deberá remitir a e</w:t>
      </w:r>
      <w:r>
        <w:rPr>
          <w:rFonts w:cs="Arial"/>
          <w:sz w:val="24"/>
          <w:szCs w:val="24"/>
        </w:rPr>
        <w:t>sta Comisión:</w:t>
      </w:r>
    </w:p>
    <w:p w:rsidR="005C3F09" w:rsidRDefault="00724659">
      <w:pPr>
        <w:pStyle w:val="corte4fondo"/>
        <w:numPr>
          <w:ilvl w:val="0"/>
          <w:numId w:val="4"/>
        </w:numPr>
        <w:tabs>
          <w:tab w:val="left" w:pos="567"/>
        </w:tabs>
        <w:rPr>
          <w:rFonts w:cs="Arial"/>
          <w:sz w:val="24"/>
          <w:szCs w:val="24"/>
        </w:rPr>
      </w:pPr>
      <w:r>
        <w:rPr>
          <w:rFonts w:cs="Arial"/>
          <w:sz w:val="24"/>
          <w:szCs w:val="24"/>
        </w:rPr>
        <w:t>La respuesta que notifique al particular en cumplimiento a lo aquí ordenado.</w:t>
      </w:r>
    </w:p>
    <w:p w:rsidR="005C3F09" w:rsidRDefault="00724659">
      <w:pPr>
        <w:pStyle w:val="corte4fondo"/>
        <w:numPr>
          <w:ilvl w:val="0"/>
          <w:numId w:val="4"/>
        </w:numPr>
        <w:tabs>
          <w:tab w:val="left" w:pos="567"/>
        </w:tabs>
        <w:rPr>
          <w:rFonts w:cs="Arial"/>
          <w:sz w:val="24"/>
          <w:szCs w:val="24"/>
        </w:rPr>
      </w:pPr>
      <w:r>
        <w:rPr>
          <w:rFonts w:cs="Arial"/>
          <w:sz w:val="24"/>
          <w:szCs w:val="24"/>
        </w:rPr>
        <w:t>Las constancias con las que acredite la notificación de dicha respuesta.</w:t>
      </w:r>
    </w:p>
    <w:p w:rsidR="005C3F09" w:rsidRDefault="005C3F09">
      <w:pPr>
        <w:pStyle w:val="corte4fondo"/>
        <w:tabs>
          <w:tab w:val="left" w:pos="567"/>
        </w:tabs>
        <w:ind w:left="1429" w:firstLine="0"/>
        <w:rPr>
          <w:rFonts w:cs="Arial"/>
          <w:sz w:val="24"/>
          <w:szCs w:val="24"/>
        </w:rPr>
      </w:pPr>
    </w:p>
    <w:p w:rsidR="005C3F09" w:rsidRDefault="00724659">
      <w:pPr>
        <w:pStyle w:val="corte4fondo"/>
        <w:tabs>
          <w:tab w:val="left" w:pos="567"/>
        </w:tabs>
        <w:rPr>
          <w:rFonts w:cs="Arial"/>
          <w:b/>
          <w:sz w:val="24"/>
          <w:szCs w:val="24"/>
        </w:rPr>
      </w:pPr>
      <w:r>
        <w:rPr>
          <w:rFonts w:cs="Arial"/>
          <w:b/>
          <w:sz w:val="24"/>
          <w:szCs w:val="24"/>
        </w:rPr>
        <w:t>6.4. Plazo para el cumplimento de esta resolución e informe sobre el cumplimento a la misma</w:t>
      </w:r>
      <w:r>
        <w:rPr>
          <w:rFonts w:cs="Arial"/>
          <w:b/>
          <w:sz w:val="24"/>
          <w:szCs w:val="24"/>
        </w:rPr>
        <w:t xml:space="preserve">. </w:t>
      </w:r>
    </w:p>
    <w:p w:rsidR="005C3F09" w:rsidRDefault="005C3F09">
      <w:pPr>
        <w:pStyle w:val="corte4fondo"/>
        <w:tabs>
          <w:tab w:val="left" w:pos="567"/>
        </w:tabs>
        <w:ind w:firstLine="0"/>
        <w:rPr>
          <w:rFonts w:cs="Arial"/>
          <w:b/>
          <w:sz w:val="24"/>
          <w:szCs w:val="24"/>
        </w:rPr>
      </w:pPr>
    </w:p>
    <w:p w:rsidR="005C3F09" w:rsidRDefault="00724659">
      <w:pPr>
        <w:pStyle w:val="corte4fondo"/>
        <w:tabs>
          <w:tab w:val="left" w:pos="567"/>
        </w:tabs>
        <w:rPr>
          <w:rFonts w:cs="Arial"/>
          <w:sz w:val="24"/>
          <w:szCs w:val="24"/>
        </w:rPr>
      </w:pPr>
      <w:r>
        <w:rPr>
          <w:rFonts w:cs="Arial"/>
          <w:sz w:val="24"/>
          <w:szCs w:val="24"/>
        </w:rPr>
        <w:t xml:space="preserve">Con fundamento en el artículo 175 de la Ley de Transparencia y Acceso a la Información Pública </w:t>
      </w:r>
      <w:r>
        <w:rPr>
          <w:rFonts w:cs="Arial"/>
          <w:b/>
          <w:bCs/>
          <w:sz w:val="24"/>
          <w:szCs w:val="24"/>
          <w:u w:val="single"/>
        </w:rPr>
        <w:t>1</w:t>
      </w:r>
      <w:r>
        <w:rPr>
          <w:rFonts w:cs="Arial"/>
          <w:b/>
          <w:sz w:val="24"/>
          <w:szCs w:val="24"/>
          <w:u w:val="single"/>
        </w:rPr>
        <w:t>0</w:t>
      </w:r>
      <w:r>
        <w:rPr>
          <w:rFonts w:cs="Arial"/>
          <w:b/>
          <w:sz w:val="24"/>
          <w:szCs w:val="24"/>
          <w:u w:val="single"/>
        </w:rPr>
        <w:t xml:space="preserve"> </w:t>
      </w:r>
      <w:r>
        <w:rPr>
          <w:rFonts w:cs="Arial"/>
          <w:b/>
          <w:sz w:val="24"/>
          <w:szCs w:val="24"/>
          <w:u w:val="single"/>
        </w:rPr>
        <w:t xml:space="preserve">diez </w:t>
      </w:r>
      <w:r>
        <w:rPr>
          <w:rFonts w:cs="Arial"/>
          <w:b/>
          <w:sz w:val="24"/>
          <w:szCs w:val="24"/>
          <w:u w:val="single"/>
        </w:rPr>
        <w:t xml:space="preserve"> días</w:t>
      </w:r>
      <w:r>
        <w:rPr>
          <w:rFonts w:cs="Arial"/>
          <w:sz w:val="24"/>
          <w:szCs w:val="24"/>
          <w:u w:val="single"/>
        </w:rPr>
        <w:t xml:space="preserve"> para la entrega de la información</w:t>
      </w:r>
      <w:r>
        <w:rPr>
          <w:rFonts w:cs="Arial"/>
          <w:sz w:val="24"/>
          <w:szCs w:val="24"/>
        </w:rPr>
        <w:t xml:space="preserve">, contados a partir de la fecha de notificación de esta resolución, plazo que esta Comisión de Transparencia </w:t>
      </w:r>
      <w:r>
        <w:rPr>
          <w:rFonts w:cs="Arial"/>
          <w:sz w:val="24"/>
          <w:szCs w:val="24"/>
        </w:rPr>
        <w:t>considera que es suficiente para la entrega de la información por parte del ente obligado y vencido este término, de conformidad con el artículo 177, segundo párrafo de la Ley de la materia, el ente obligado deberá informar a esta Comisión de Transparencia</w:t>
      </w:r>
      <w:r>
        <w:rPr>
          <w:rFonts w:cs="Arial"/>
          <w:sz w:val="24"/>
          <w:szCs w:val="24"/>
        </w:rPr>
        <w:t xml:space="preserve"> el cumplimento al presente fallo en un plazo que no deberá de exceder de tres días hábiles, en donde justificará con los documentos necesarios el cumplimento a lo aquí ordenado.</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b/>
          <w:sz w:val="24"/>
          <w:szCs w:val="24"/>
        </w:rPr>
      </w:pPr>
      <w:r>
        <w:rPr>
          <w:rFonts w:cs="Arial"/>
          <w:b/>
          <w:sz w:val="24"/>
          <w:szCs w:val="24"/>
        </w:rPr>
        <w:t>6.5. Medida de apremio en caso de incumplimiento a la resolución.</w:t>
      </w:r>
    </w:p>
    <w:p w:rsidR="005C3F09" w:rsidRDefault="005C3F09">
      <w:pPr>
        <w:pStyle w:val="corte4fondo"/>
        <w:tabs>
          <w:tab w:val="left" w:pos="567"/>
        </w:tabs>
        <w:ind w:firstLine="0"/>
        <w:rPr>
          <w:rFonts w:cs="Arial"/>
          <w:b/>
          <w:sz w:val="24"/>
          <w:szCs w:val="24"/>
        </w:rPr>
      </w:pPr>
    </w:p>
    <w:p w:rsidR="005C3F09" w:rsidRDefault="00724659">
      <w:pPr>
        <w:pStyle w:val="corte4fondo"/>
        <w:tabs>
          <w:tab w:val="left" w:pos="567"/>
        </w:tabs>
        <w:rPr>
          <w:rFonts w:cs="Arial"/>
          <w:sz w:val="24"/>
          <w:szCs w:val="24"/>
        </w:rPr>
      </w:pPr>
      <w:r>
        <w:rPr>
          <w:rFonts w:cs="Arial"/>
          <w:sz w:val="24"/>
          <w:szCs w:val="24"/>
        </w:rPr>
        <w:t>Esta Comi</w:t>
      </w:r>
      <w:r>
        <w:rPr>
          <w:rFonts w:cs="Arial"/>
          <w:sz w:val="24"/>
          <w:szCs w:val="24"/>
        </w:rPr>
        <w:t xml:space="preserve">sión Estatal de Garantía de Acceso a la Información Pública apercibe al ente obligado </w:t>
      </w:r>
      <w:proofErr w:type="gramStart"/>
      <w:r>
        <w:rPr>
          <w:rFonts w:cs="Arial"/>
          <w:sz w:val="24"/>
          <w:szCs w:val="24"/>
        </w:rPr>
        <w:t>que</w:t>
      </w:r>
      <w:proofErr w:type="gramEnd"/>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w:t>
      </w:r>
      <w:r>
        <w:rPr>
          <w:rFonts w:cs="Arial"/>
          <w:sz w:val="24"/>
          <w:szCs w:val="24"/>
        </w:rPr>
        <w:t>fracción I de la Ley de Transparencia, en virtud de que este órgano colegiado debe garantizar el debido cumplimiento al derecho humano de acceso a la información pública.</w:t>
      </w:r>
    </w:p>
    <w:p w:rsidR="005C3F09" w:rsidRDefault="005C3F09">
      <w:pPr>
        <w:pStyle w:val="corte4fondo"/>
        <w:tabs>
          <w:tab w:val="left" w:pos="567"/>
        </w:tabs>
        <w:rPr>
          <w:rFonts w:cs="Arial"/>
          <w:sz w:val="24"/>
          <w:szCs w:val="24"/>
        </w:rPr>
      </w:pPr>
    </w:p>
    <w:p w:rsidR="005C3F09" w:rsidRDefault="00724659">
      <w:pPr>
        <w:pStyle w:val="corte4fondo"/>
        <w:tabs>
          <w:tab w:val="left" w:pos="567"/>
        </w:tabs>
        <w:rPr>
          <w:rFonts w:cs="Arial"/>
          <w:b/>
          <w:sz w:val="24"/>
          <w:szCs w:val="24"/>
        </w:rPr>
      </w:pPr>
      <w:r>
        <w:rPr>
          <w:rFonts w:cs="Arial"/>
          <w:b/>
          <w:sz w:val="24"/>
          <w:szCs w:val="24"/>
        </w:rPr>
        <w:t>6.6. Medio de impugnación.</w:t>
      </w:r>
    </w:p>
    <w:p w:rsidR="005C3F09" w:rsidRDefault="005C3F09">
      <w:pPr>
        <w:pStyle w:val="corte4fondo"/>
        <w:tabs>
          <w:tab w:val="left" w:pos="567"/>
        </w:tabs>
        <w:rPr>
          <w:rFonts w:cs="Arial"/>
          <w:b/>
          <w:sz w:val="24"/>
          <w:szCs w:val="24"/>
        </w:rPr>
      </w:pPr>
    </w:p>
    <w:p w:rsidR="005C3F09" w:rsidRDefault="00724659">
      <w:pPr>
        <w:pStyle w:val="corte4fondo"/>
        <w:tabs>
          <w:tab w:val="left" w:pos="567"/>
        </w:tabs>
        <w:rPr>
          <w:rFonts w:cs="Arial"/>
          <w:sz w:val="24"/>
          <w:szCs w:val="24"/>
        </w:rPr>
      </w:pPr>
      <w:r>
        <w:rPr>
          <w:rFonts w:cs="Arial"/>
          <w:sz w:val="24"/>
          <w:szCs w:val="24"/>
        </w:rPr>
        <w:lastRenderedPageBreak/>
        <w:t>Por último, de conformidad con el artículo 159 de la Ley</w:t>
      </w:r>
      <w:r>
        <w:rPr>
          <w:rFonts w:cs="Arial"/>
          <w:sz w:val="24"/>
          <w:szCs w:val="24"/>
        </w:rPr>
        <w:t xml:space="preserve"> General de Transparencia y Acceso a la Información Pública mediante la presente resolución se hace del conocimiento a la parte recurrente que en contra de la presente determinación puede acudir ante el Instituto Nacional de Transparencia, Acceso a la Info</w:t>
      </w:r>
      <w:r>
        <w:rPr>
          <w:rFonts w:cs="Arial"/>
          <w:sz w:val="24"/>
          <w:szCs w:val="24"/>
        </w:rPr>
        <w:t>rmación y Protección de Datos Personales o ante el Poder Judicial de la Federación.</w:t>
      </w:r>
    </w:p>
    <w:p w:rsidR="005C3F09" w:rsidRDefault="005C3F09">
      <w:pPr>
        <w:pStyle w:val="corte4fondo"/>
        <w:tabs>
          <w:tab w:val="left" w:pos="567"/>
        </w:tabs>
        <w:rPr>
          <w:rFonts w:cs="Arial"/>
          <w:sz w:val="24"/>
          <w:szCs w:val="24"/>
        </w:rPr>
      </w:pPr>
    </w:p>
    <w:p w:rsidR="005C3F09" w:rsidRDefault="00724659">
      <w:pPr>
        <w:pStyle w:val="corte4fondo"/>
        <w:tabs>
          <w:tab w:val="left" w:pos="567"/>
        </w:tabs>
        <w:jc w:val="center"/>
        <w:rPr>
          <w:rFonts w:cs="Arial"/>
          <w:b/>
          <w:sz w:val="24"/>
          <w:szCs w:val="24"/>
        </w:rPr>
      </w:pPr>
      <w:r>
        <w:rPr>
          <w:rFonts w:cs="Arial"/>
          <w:b/>
          <w:sz w:val="24"/>
          <w:szCs w:val="24"/>
        </w:rPr>
        <w:t>RESOLUTIVO</w:t>
      </w:r>
    </w:p>
    <w:p w:rsidR="005C3F09" w:rsidRDefault="005C3F09">
      <w:pPr>
        <w:pStyle w:val="corte4fondo"/>
        <w:tabs>
          <w:tab w:val="left" w:pos="567"/>
        </w:tabs>
        <w:ind w:firstLine="0"/>
        <w:rPr>
          <w:rFonts w:cs="Arial"/>
          <w:b/>
          <w:sz w:val="24"/>
          <w:szCs w:val="24"/>
        </w:rPr>
      </w:pPr>
    </w:p>
    <w:p w:rsidR="005C3F09" w:rsidRDefault="00724659">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Ley de Transparencia y Acceso a la Información Pública del Estado, </w:t>
      </w:r>
      <w:r>
        <w:rPr>
          <w:rFonts w:cs="Arial"/>
          <w:b/>
          <w:sz w:val="24"/>
          <w:szCs w:val="24"/>
        </w:rPr>
        <w:t>APLICA EL PRINCIPIO DE AFIRMATIVA FICTA</w:t>
      </w:r>
      <w:r>
        <w:rPr>
          <w:rFonts w:cs="Arial"/>
          <w:sz w:val="24"/>
          <w:szCs w:val="24"/>
        </w:rPr>
        <w:t>, por los fundamentos y las razones desa</w:t>
      </w:r>
      <w:r>
        <w:rPr>
          <w:rFonts w:cs="Arial"/>
          <w:sz w:val="24"/>
          <w:szCs w:val="24"/>
        </w:rPr>
        <w:t>rrolladas en el considerando sexto de la presente resolución.</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b/>
          <w:sz w:val="24"/>
          <w:szCs w:val="24"/>
        </w:rPr>
        <w:t>Notifíquese</w:t>
      </w:r>
      <w:r>
        <w:rPr>
          <w:rFonts w:cs="Arial"/>
          <w:sz w:val="24"/>
          <w:szCs w:val="24"/>
        </w:rPr>
        <w:t>; por oficio a las autoridades y al recurrente por el medio que designó.</w:t>
      </w:r>
    </w:p>
    <w:p w:rsidR="005C3F09" w:rsidRDefault="005C3F09">
      <w:pPr>
        <w:pStyle w:val="corte4fondo"/>
        <w:tabs>
          <w:tab w:val="left" w:pos="567"/>
        </w:tabs>
        <w:ind w:firstLine="0"/>
        <w:rPr>
          <w:rFonts w:cs="Arial"/>
          <w:sz w:val="24"/>
          <w:szCs w:val="24"/>
        </w:rPr>
      </w:pPr>
    </w:p>
    <w:p w:rsidR="005C3F09" w:rsidRDefault="00724659">
      <w:pPr>
        <w:pStyle w:val="corte4fondo"/>
        <w:tabs>
          <w:tab w:val="left" w:pos="567"/>
        </w:tabs>
        <w:rPr>
          <w:rFonts w:cs="Arial"/>
          <w:sz w:val="24"/>
          <w:szCs w:val="24"/>
        </w:rPr>
      </w:pPr>
      <w:r>
        <w:rPr>
          <w:rFonts w:cs="Arial"/>
          <w:sz w:val="24"/>
          <w:szCs w:val="24"/>
        </w:rPr>
        <w:t xml:space="preserve">Así lo resolvieron por unanimidad de votos en Sesión </w:t>
      </w:r>
      <w:r>
        <w:rPr>
          <w:rFonts w:cs="Arial"/>
          <w:sz w:val="24"/>
          <w:szCs w:val="24"/>
        </w:rPr>
        <w:t>Extrao</w:t>
      </w:r>
      <w:r>
        <w:rPr>
          <w:rFonts w:cs="Arial"/>
          <w:sz w:val="24"/>
          <w:szCs w:val="24"/>
        </w:rPr>
        <w:t xml:space="preserve">rdinaria de Consejo el </w:t>
      </w:r>
      <w:r>
        <w:rPr>
          <w:rFonts w:cs="Arial"/>
          <w:sz w:val="24"/>
          <w:szCs w:val="24"/>
        </w:rPr>
        <w:t>06</w:t>
      </w:r>
      <w:r>
        <w:rPr>
          <w:rFonts w:cs="Arial"/>
          <w:color w:val="000000" w:themeColor="text1"/>
          <w:sz w:val="24"/>
          <w:szCs w:val="24"/>
        </w:rPr>
        <w:t xml:space="preserve"> seis de mayo </w:t>
      </w:r>
      <w:r>
        <w:rPr>
          <w:rFonts w:cs="Arial"/>
          <w:color w:val="000000" w:themeColor="text1"/>
          <w:sz w:val="24"/>
          <w:szCs w:val="24"/>
        </w:rPr>
        <w:t>2022 dos m</w:t>
      </w:r>
      <w:r>
        <w:rPr>
          <w:rFonts w:cs="Arial"/>
          <w:color w:val="000000" w:themeColor="text1"/>
          <w:sz w:val="24"/>
          <w:szCs w:val="24"/>
        </w:rPr>
        <w:t>il veintidós</w:t>
      </w:r>
      <w:r>
        <w:rPr>
          <w:rFonts w:cs="Arial"/>
          <w:sz w:val="24"/>
          <w:szCs w:val="24"/>
        </w:rPr>
        <w:t xml:space="preserve">, los Comisionados </w:t>
      </w:r>
      <w:r>
        <w:rPr>
          <w:rFonts w:cs="Arial"/>
          <w:b/>
          <w:sz w:val="24"/>
          <w:szCs w:val="24"/>
        </w:rPr>
        <w:t>Licenciado David Enrique Menchaca Zúñiga Presidente</w:t>
      </w:r>
      <w:r>
        <w:rPr>
          <w:rFonts w:cs="Arial"/>
          <w:sz w:val="24"/>
          <w:szCs w:val="24"/>
        </w:rPr>
        <w:t xml:space="preserve">, Licenciado José Alfredo </w:t>
      </w:r>
      <w:proofErr w:type="spellStart"/>
      <w:r>
        <w:rPr>
          <w:rFonts w:cs="Arial"/>
          <w:sz w:val="24"/>
          <w:szCs w:val="24"/>
        </w:rPr>
        <w:t>Solis</w:t>
      </w:r>
      <w:proofErr w:type="spellEnd"/>
      <w:r>
        <w:rPr>
          <w:rFonts w:cs="Arial"/>
          <w:sz w:val="24"/>
          <w:szCs w:val="24"/>
        </w:rPr>
        <w:t xml:space="preserve"> Ramírez y </w:t>
      </w:r>
      <w:proofErr w:type="spellStart"/>
      <w:r>
        <w:rPr>
          <w:rFonts w:cs="Arial"/>
          <w:sz w:val="24"/>
          <w:szCs w:val="24"/>
        </w:rPr>
        <w:t>Mariajosé</w:t>
      </w:r>
      <w:proofErr w:type="spellEnd"/>
      <w:r>
        <w:rPr>
          <w:rFonts w:cs="Arial"/>
          <w:sz w:val="24"/>
          <w:szCs w:val="24"/>
        </w:rPr>
        <w:t xml:space="preserve"> González Zarzosa, </w:t>
      </w:r>
      <w:r>
        <w:rPr>
          <w:rFonts w:cs="Arial"/>
          <w:b/>
          <w:sz w:val="24"/>
          <w:szCs w:val="24"/>
        </w:rPr>
        <w:t>siendo ponente el primero de los nombrados</w:t>
      </w:r>
      <w:r>
        <w:rPr>
          <w:rFonts w:cs="Arial"/>
          <w:sz w:val="24"/>
          <w:szCs w:val="24"/>
        </w:rPr>
        <w:t xml:space="preserve">, quienes firman con la Licenciada Rosa María Motilla García, </w:t>
      </w:r>
      <w:r>
        <w:rPr>
          <w:rFonts w:cs="Arial"/>
          <w:sz w:val="24"/>
          <w:szCs w:val="24"/>
        </w:rPr>
        <w:t>Secretaria de Pleno de este Órgano Garante, quien da fe.</w:t>
      </w:r>
    </w:p>
    <w:p w:rsidR="005C3F09" w:rsidRDefault="00724659">
      <w:pPr>
        <w:pStyle w:val="NormalWeb"/>
        <w:rPr>
          <w:rFonts w:ascii="Arial" w:hAnsi="Arial" w:cs="Arial"/>
          <w:b/>
          <w:color w:val="000000" w:themeColor="text1"/>
          <w:lang w:val="es-MX"/>
        </w:rPr>
      </w:pPr>
      <w:r>
        <w:rPr>
          <w:rFonts w:ascii="Arial" w:hAnsi="Arial" w:cs="Arial"/>
          <w:b/>
          <w:color w:val="000000" w:themeColor="text1"/>
          <w:lang w:val="es-MX"/>
        </w:rPr>
        <w:t xml:space="preserve">            COMISIONADO PRESIDENTE                                       COMISIONADO </w:t>
      </w:r>
    </w:p>
    <w:p w:rsidR="005C3F09" w:rsidRDefault="005C3F09">
      <w:pPr>
        <w:pStyle w:val="NormalWeb"/>
        <w:jc w:val="both"/>
        <w:rPr>
          <w:rFonts w:ascii="Arial" w:hAnsi="Arial" w:cs="Arial"/>
          <w:b/>
          <w:color w:val="000000" w:themeColor="text1"/>
          <w:lang w:val="es-MX"/>
        </w:rPr>
      </w:pPr>
    </w:p>
    <w:p w:rsidR="005C3F09" w:rsidRDefault="00724659">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Pr>
          <w:rFonts w:ascii="Arial" w:hAnsi="Arial" w:cs="Arial"/>
          <w:b/>
          <w:color w:val="000000" w:themeColor="text1"/>
          <w:lang w:val="es-MX"/>
        </w:rPr>
        <w:t xml:space="preserve">        LIC. JOSÉ ALFREDO SOLIS RAMÍREZ.</w:t>
      </w:r>
    </w:p>
    <w:p w:rsidR="005C3F09" w:rsidRDefault="00724659">
      <w:pPr>
        <w:pStyle w:val="NormalWeb"/>
        <w:jc w:val="center"/>
        <w:rPr>
          <w:rFonts w:ascii="Arial" w:hAnsi="Arial" w:cs="Arial"/>
          <w:b/>
          <w:color w:val="000000" w:themeColor="text1"/>
          <w:lang w:val="es-MX"/>
        </w:rPr>
      </w:pPr>
      <w:r>
        <w:rPr>
          <w:rFonts w:ascii="Arial" w:hAnsi="Arial" w:cs="Arial"/>
          <w:b/>
          <w:color w:val="000000" w:themeColor="text1"/>
          <w:lang w:val="es-MX"/>
        </w:rPr>
        <w:t xml:space="preserve">   COMISIONADA                      </w:t>
      </w:r>
      <w:r>
        <w:rPr>
          <w:rFonts w:ascii="Arial" w:hAnsi="Arial" w:cs="Arial"/>
          <w:b/>
          <w:color w:val="000000" w:themeColor="text1"/>
          <w:lang w:val="es-MX"/>
        </w:rPr>
        <w:t xml:space="preserve">                     SECRETARIA DE PLENO</w:t>
      </w:r>
    </w:p>
    <w:p w:rsidR="005C3F09" w:rsidRDefault="005C3F09">
      <w:pPr>
        <w:pStyle w:val="NormalWeb"/>
        <w:rPr>
          <w:rFonts w:ascii="Arial" w:hAnsi="Arial" w:cs="Arial"/>
          <w:b/>
          <w:color w:val="000000" w:themeColor="text1"/>
          <w:lang w:val="es-MX"/>
        </w:rPr>
      </w:pPr>
    </w:p>
    <w:p w:rsidR="005C3F09" w:rsidRDefault="00724659">
      <w:pPr>
        <w:pStyle w:val="NormalWeb"/>
        <w:jc w:val="center"/>
        <w:rPr>
          <w:rFonts w:ascii="Arial" w:hAnsi="Arial" w:cs="Arial"/>
          <w:color w:val="000000" w:themeColor="text1"/>
          <w:sz w:val="16"/>
          <w:szCs w:val="16"/>
          <w:lang w:val="es-MX"/>
        </w:rPr>
      </w:pPr>
      <w:r>
        <w:rPr>
          <w:rFonts w:ascii="Arial" w:hAnsi="Arial" w:cs="Arial"/>
          <w:b/>
          <w:color w:val="000000" w:themeColor="text1"/>
          <w:lang w:val="es-MX"/>
        </w:rPr>
        <w:t xml:space="preserve"> MARIAJOSÉ GONZÁLEZ ZARZOSA.              LIC. ROSA MARÍA MOTILLA GARCÍA.</w:t>
      </w:r>
    </w:p>
    <w:p w:rsidR="005C3F09" w:rsidRDefault="00724659">
      <w:pPr>
        <w:autoSpaceDE w:val="0"/>
        <w:autoSpaceDN w:val="0"/>
        <w:adjustRightInd w:val="0"/>
        <w:spacing w:after="0" w:line="480" w:lineRule="auto"/>
        <w:jc w:val="both"/>
        <w:rPr>
          <w:rFonts w:ascii="Arial" w:hAnsi="Arial" w:cs="Arial"/>
          <w:color w:val="000000" w:themeColor="text1"/>
          <w:sz w:val="14"/>
          <w:szCs w:val="14"/>
        </w:rPr>
      </w:pPr>
      <w:r>
        <w:rPr>
          <w:rFonts w:ascii="Arial" w:hAnsi="Arial" w:cs="Arial"/>
          <w:color w:val="000000" w:themeColor="text1"/>
          <w:sz w:val="14"/>
          <w:szCs w:val="14"/>
        </w:rPr>
        <w:t>MAI</w:t>
      </w: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p>
    <w:p w:rsidR="002B2F78" w:rsidRDefault="002B2F78">
      <w:pPr>
        <w:autoSpaceDE w:val="0"/>
        <w:autoSpaceDN w:val="0"/>
        <w:adjustRightInd w:val="0"/>
        <w:spacing w:after="0" w:line="480" w:lineRule="auto"/>
        <w:jc w:val="both"/>
        <w:rPr>
          <w:rFonts w:ascii="Arial" w:hAnsi="Arial" w:cs="Arial"/>
          <w:color w:val="000000" w:themeColor="text1"/>
          <w:sz w:val="14"/>
          <w:szCs w:val="14"/>
        </w:rPr>
      </w:pPr>
      <w:bookmarkStart w:id="1" w:name="_GoBack"/>
      <w:bookmarkEnd w:id="1"/>
    </w:p>
    <w:sectPr w:rsidR="002B2F78">
      <w:headerReference w:type="default" r:id="rId8"/>
      <w:pgSz w:w="12240" w:h="18720"/>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4659" w:rsidRDefault="00724659">
      <w:pPr>
        <w:spacing w:line="240" w:lineRule="auto"/>
      </w:pPr>
      <w:r>
        <w:separator/>
      </w:r>
    </w:p>
  </w:endnote>
  <w:endnote w:type="continuationSeparator" w:id="0">
    <w:p w:rsidR="00724659" w:rsidRDefault="007246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Lucida Sans Unicode"/>
    <w:panose1 w:val="02010600030101010101"/>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4659" w:rsidRDefault="00724659">
      <w:pPr>
        <w:spacing w:after="0"/>
      </w:pPr>
      <w:r>
        <w:separator/>
      </w:r>
    </w:p>
  </w:footnote>
  <w:footnote w:type="continuationSeparator" w:id="0">
    <w:p w:rsidR="00724659" w:rsidRDefault="00724659">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sdtPr>
    <w:sdtEndPr/>
    <w:sdtContent>
      <w:p w:rsidR="005C3F09" w:rsidRDefault="00724659">
        <w:pPr>
          <w:pStyle w:val="Encabezado"/>
          <w:jc w:val="center"/>
        </w:pPr>
        <w:r>
          <w:t xml:space="preserve">                                                                                       </w:t>
        </w:r>
        <w:r>
          <w:fldChar w:fldCharType="begin"/>
        </w:r>
        <w:r>
          <w:instrText>PAGE   \* MERGEFORMAT</w:instrText>
        </w:r>
        <w:r>
          <w:fldChar w:fldCharType="separate"/>
        </w:r>
        <w:r w:rsidR="002B2F78" w:rsidRPr="002B2F78">
          <w:rPr>
            <w:noProof/>
            <w:lang w:val="es-ES"/>
          </w:rPr>
          <w:t>10</w:t>
        </w:r>
        <w:r>
          <w:fldChar w:fldCharType="end"/>
        </w:r>
        <w:r>
          <w:t xml:space="preserve">                RECURSO DE REVISIÓN </w:t>
        </w:r>
        <w:r w:rsidR="006C337D">
          <w:t>442</w:t>
        </w:r>
        <w:r>
          <w:t>/</w:t>
        </w:r>
        <w:r w:rsidR="006C337D">
          <w:t>2022</w:t>
        </w:r>
        <w:r>
          <w:t>-1 SICOM</w:t>
        </w:r>
      </w:p>
    </w:sdtContent>
  </w:sdt>
  <w:p w:rsidR="005C3F09" w:rsidRDefault="005C3F0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761AA38"/>
    <w:multiLevelType w:val="singleLevel"/>
    <w:tmpl w:val="6761AA38"/>
    <w:lvl w:ilvl="0">
      <w:start w:val="1"/>
      <w:numFmt w:val="decimal"/>
      <w:lvlText w:val="%1."/>
      <w:lvlJc w:val="left"/>
      <w:pPr>
        <w:tabs>
          <w:tab w:val="left" w:pos="312"/>
        </w:tabs>
      </w:pPr>
    </w:lvl>
  </w:abstractNum>
  <w:abstractNum w:abstractNumId="4" w15:restartNumberingAfterBreak="0">
    <w:nsid w:val="698324B3"/>
    <w:multiLevelType w:val="hybridMultilevel"/>
    <w:tmpl w:val="6884F79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2AC"/>
    <w:rsid w:val="00037E62"/>
    <w:rsid w:val="00041E71"/>
    <w:rsid w:val="00043D04"/>
    <w:rsid w:val="0006156D"/>
    <w:rsid w:val="00065826"/>
    <w:rsid w:val="00067E5B"/>
    <w:rsid w:val="000831EC"/>
    <w:rsid w:val="000877F1"/>
    <w:rsid w:val="000B430A"/>
    <w:rsid w:val="000B5170"/>
    <w:rsid w:val="000C10D6"/>
    <w:rsid w:val="000C13B7"/>
    <w:rsid w:val="000C5061"/>
    <w:rsid w:val="000C6ADF"/>
    <w:rsid w:val="000F118A"/>
    <w:rsid w:val="000F4204"/>
    <w:rsid w:val="00107697"/>
    <w:rsid w:val="0011298F"/>
    <w:rsid w:val="00115B0E"/>
    <w:rsid w:val="001230D4"/>
    <w:rsid w:val="00126212"/>
    <w:rsid w:val="00127A55"/>
    <w:rsid w:val="00127BAD"/>
    <w:rsid w:val="001463E2"/>
    <w:rsid w:val="00150301"/>
    <w:rsid w:val="001518F5"/>
    <w:rsid w:val="00176E17"/>
    <w:rsid w:val="00193E6A"/>
    <w:rsid w:val="00194A0C"/>
    <w:rsid w:val="001C25B5"/>
    <w:rsid w:val="001C2C07"/>
    <w:rsid w:val="001C7692"/>
    <w:rsid w:val="001C7F11"/>
    <w:rsid w:val="001D44FC"/>
    <w:rsid w:val="001D70FC"/>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521EA"/>
    <w:rsid w:val="0026230B"/>
    <w:rsid w:val="00264928"/>
    <w:rsid w:val="00272C28"/>
    <w:rsid w:val="00275E35"/>
    <w:rsid w:val="00277B74"/>
    <w:rsid w:val="00285161"/>
    <w:rsid w:val="00290076"/>
    <w:rsid w:val="00292A75"/>
    <w:rsid w:val="00293D6E"/>
    <w:rsid w:val="00297F21"/>
    <w:rsid w:val="002A4CF7"/>
    <w:rsid w:val="002B005A"/>
    <w:rsid w:val="002B1464"/>
    <w:rsid w:val="002B2F78"/>
    <w:rsid w:val="002B4267"/>
    <w:rsid w:val="002B54F7"/>
    <w:rsid w:val="002C0238"/>
    <w:rsid w:val="002C3F16"/>
    <w:rsid w:val="002C45B6"/>
    <w:rsid w:val="002C66F8"/>
    <w:rsid w:val="002C6A82"/>
    <w:rsid w:val="002E1FF6"/>
    <w:rsid w:val="002E5565"/>
    <w:rsid w:val="002E6C7E"/>
    <w:rsid w:val="002E71CC"/>
    <w:rsid w:val="002F1B80"/>
    <w:rsid w:val="003032A6"/>
    <w:rsid w:val="0030657B"/>
    <w:rsid w:val="00311B0E"/>
    <w:rsid w:val="00312B46"/>
    <w:rsid w:val="00317064"/>
    <w:rsid w:val="00322DA4"/>
    <w:rsid w:val="003427D8"/>
    <w:rsid w:val="00345CC7"/>
    <w:rsid w:val="0036114B"/>
    <w:rsid w:val="00364406"/>
    <w:rsid w:val="00371534"/>
    <w:rsid w:val="00376DA9"/>
    <w:rsid w:val="00380C47"/>
    <w:rsid w:val="00382BD1"/>
    <w:rsid w:val="003879FA"/>
    <w:rsid w:val="003A2D22"/>
    <w:rsid w:val="003B0896"/>
    <w:rsid w:val="003C36C4"/>
    <w:rsid w:val="003C69BC"/>
    <w:rsid w:val="003D2E44"/>
    <w:rsid w:val="003D31BC"/>
    <w:rsid w:val="003E41C4"/>
    <w:rsid w:val="003E750E"/>
    <w:rsid w:val="003F07BC"/>
    <w:rsid w:val="003F6F76"/>
    <w:rsid w:val="003F751A"/>
    <w:rsid w:val="004041EA"/>
    <w:rsid w:val="0040677B"/>
    <w:rsid w:val="00426B01"/>
    <w:rsid w:val="004312BB"/>
    <w:rsid w:val="00444A81"/>
    <w:rsid w:val="00444F95"/>
    <w:rsid w:val="0044626C"/>
    <w:rsid w:val="00462C60"/>
    <w:rsid w:val="00477E05"/>
    <w:rsid w:val="0048772E"/>
    <w:rsid w:val="00490FB3"/>
    <w:rsid w:val="00492974"/>
    <w:rsid w:val="004B10F8"/>
    <w:rsid w:val="004C225F"/>
    <w:rsid w:val="004C3192"/>
    <w:rsid w:val="004E28C6"/>
    <w:rsid w:val="004E3587"/>
    <w:rsid w:val="004F206B"/>
    <w:rsid w:val="004F46F2"/>
    <w:rsid w:val="004F7874"/>
    <w:rsid w:val="005022AF"/>
    <w:rsid w:val="0050543F"/>
    <w:rsid w:val="00520AFD"/>
    <w:rsid w:val="00521444"/>
    <w:rsid w:val="00524E08"/>
    <w:rsid w:val="00530205"/>
    <w:rsid w:val="0054235C"/>
    <w:rsid w:val="00556BD4"/>
    <w:rsid w:val="00557C0F"/>
    <w:rsid w:val="00572CF8"/>
    <w:rsid w:val="005B1E27"/>
    <w:rsid w:val="005B1FCC"/>
    <w:rsid w:val="005B272E"/>
    <w:rsid w:val="005B36EF"/>
    <w:rsid w:val="005B50FB"/>
    <w:rsid w:val="005B581B"/>
    <w:rsid w:val="005B5BCE"/>
    <w:rsid w:val="005C3F09"/>
    <w:rsid w:val="005D013F"/>
    <w:rsid w:val="005D62C0"/>
    <w:rsid w:val="005E02B6"/>
    <w:rsid w:val="005F0EE3"/>
    <w:rsid w:val="005F30BD"/>
    <w:rsid w:val="005F3138"/>
    <w:rsid w:val="005F517F"/>
    <w:rsid w:val="005F51CF"/>
    <w:rsid w:val="00604EE6"/>
    <w:rsid w:val="00605CFC"/>
    <w:rsid w:val="006066C9"/>
    <w:rsid w:val="0061190E"/>
    <w:rsid w:val="006156E8"/>
    <w:rsid w:val="006260EB"/>
    <w:rsid w:val="006335E8"/>
    <w:rsid w:val="00635223"/>
    <w:rsid w:val="00643E35"/>
    <w:rsid w:val="006455F4"/>
    <w:rsid w:val="00646DE1"/>
    <w:rsid w:val="006516D7"/>
    <w:rsid w:val="006570E4"/>
    <w:rsid w:val="00657DE0"/>
    <w:rsid w:val="00657F82"/>
    <w:rsid w:val="006632A4"/>
    <w:rsid w:val="006762F8"/>
    <w:rsid w:val="00676793"/>
    <w:rsid w:val="0069415F"/>
    <w:rsid w:val="006A1C0E"/>
    <w:rsid w:val="006A2B7D"/>
    <w:rsid w:val="006A4DBA"/>
    <w:rsid w:val="006B27E0"/>
    <w:rsid w:val="006B5702"/>
    <w:rsid w:val="006C337D"/>
    <w:rsid w:val="006C3521"/>
    <w:rsid w:val="006E7C6A"/>
    <w:rsid w:val="006F5933"/>
    <w:rsid w:val="006F6EF7"/>
    <w:rsid w:val="007004E7"/>
    <w:rsid w:val="00701F45"/>
    <w:rsid w:val="00706C3A"/>
    <w:rsid w:val="0071002E"/>
    <w:rsid w:val="00724659"/>
    <w:rsid w:val="00740D58"/>
    <w:rsid w:val="00742AFD"/>
    <w:rsid w:val="00745967"/>
    <w:rsid w:val="00760B22"/>
    <w:rsid w:val="00764963"/>
    <w:rsid w:val="00765928"/>
    <w:rsid w:val="00775F7A"/>
    <w:rsid w:val="00791A90"/>
    <w:rsid w:val="00797F56"/>
    <w:rsid w:val="007A3FF6"/>
    <w:rsid w:val="007A702E"/>
    <w:rsid w:val="007B1B80"/>
    <w:rsid w:val="007B5EC0"/>
    <w:rsid w:val="007B61DC"/>
    <w:rsid w:val="007C7550"/>
    <w:rsid w:val="007C7FB6"/>
    <w:rsid w:val="007D7BDC"/>
    <w:rsid w:val="007E10FF"/>
    <w:rsid w:val="007E491F"/>
    <w:rsid w:val="00803E3C"/>
    <w:rsid w:val="00824D87"/>
    <w:rsid w:val="00831454"/>
    <w:rsid w:val="00831541"/>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236"/>
    <w:rsid w:val="008C15E2"/>
    <w:rsid w:val="008C35F2"/>
    <w:rsid w:val="008C6A24"/>
    <w:rsid w:val="008D568F"/>
    <w:rsid w:val="008D624A"/>
    <w:rsid w:val="008D764C"/>
    <w:rsid w:val="008E0E8A"/>
    <w:rsid w:val="008E278E"/>
    <w:rsid w:val="008E3C8C"/>
    <w:rsid w:val="008F0203"/>
    <w:rsid w:val="008F5C70"/>
    <w:rsid w:val="0090142B"/>
    <w:rsid w:val="00916F2D"/>
    <w:rsid w:val="00934D28"/>
    <w:rsid w:val="009361B5"/>
    <w:rsid w:val="00946007"/>
    <w:rsid w:val="009623CF"/>
    <w:rsid w:val="00962DAC"/>
    <w:rsid w:val="00972EFB"/>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64A3"/>
    <w:rsid w:val="00A565CE"/>
    <w:rsid w:val="00A62D7E"/>
    <w:rsid w:val="00A66AEF"/>
    <w:rsid w:val="00A722BA"/>
    <w:rsid w:val="00A74C7C"/>
    <w:rsid w:val="00A816AC"/>
    <w:rsid w:val="00A91D74"/>
    <w:rsid w:val="00A96EC3"/>
    <w:rsid w:val="00AA3F7B"/>
    <w:rsid w:val="00AA62E2"/>
    <w:rsid w:val="00AB0256"/>
    <w:rsid w:val="00AB71F5"/>
    <w:rsid w:val="00AD2104"/>
    <w:rsid w:val="00AD6439"/>
    <w:rsid w:val="00AD7D2E"/>
    <w:rsid w:val="00AE0643"/>
    <w:rsid w:val="00AE2C79"/>
    <w:rsid w:val="00AF23A2"/>
    <w:rsid w:val="00AF3FA6"/>
    <w:rsid w:val="00B00236"/>
    <w:rsid w:val="00B01928"/>
    <w:rsid w:val="00B2570F"/>
    <w:rsid w:val="00B301F8"/>
    <w:rsid w:val="00B401D9"/>
    <w:rsid w:val="00B42E28"/>
    <w:rsid w:val="00B507AB"/>
    <w:rsid w:val="00B53054"/>
    <w:rsid w:val="00B62EA6"/>
    <w:rsid w:val="00B64C70"/>
    <w:rsid w:val="00B67758"/>
    <w:rsid w:val="00B7319E"/>
    <w:rsid w:val="00B872E4"/>
    <w:rsid w:val="00B8732E"/>
    <w:rsid w:val="00B878DB"/>
    <w:rsid w:val="00BB0C93"/>
    <w:rsid w:val="00BB2C49"/>
    <w:rsid w:val="00BE0D84"/>
    <w:rsid w:val="00BE481D"/>
    <w:rsid w:val="00BF3181"/>
    <w:rsid w:val="00C041E3"/>
    <w:rsid w:val="00C04E21"/>
    <w:rsid w:val="00C14EFD"/>
    <w:rsid w:val="00C23005"/>
    <w:rsid w:val="00C244A5"/>
    <w:rsid w:val="00C434D5"/>
    <w:rsid w:val="00C52816"/>
    <w:rsid w:val="00C56225"/>
    <w:rsid w:val="00C84C1F"/>
    <w:rsid w:val="00CB41ED"/>
    <w:rsid w:val="00CC61CB"/>
    <w:rsid w:val="00D00ABE"/>
    <w:rsid w:val="00D06D18"/>
    <w:rsid w:val="00D202D9"/>
    <w:rsid w:val="00D276C3"/>
    <w:rsid w:val="00D315AE"/>
    <w:rsid w:val="00D3430B"/>
    <w:rsid w:val="00D35106"/>
    <w:rsid w:val="00D408D2"/>
    <w:rsid w:val="00D616E0"/>
    <w:rsid w:val="00D65A5D"/>
    <w:rsid w:val="00D7459F"/>
    <w:rsid w:val="00D8576D"/>
    <w:rsid w:val="00D872D8"/>
    <w:rsid w:val="00D92AEC"/>
    <w:rsid w:val="00D94848"/>
    <w:rsid w:val="00D95468"/>
    <w:rsid w:val="00DA02F7"/>
    <w:rsid w:val="00DA2AFB"/>
    <w:rsid w:val="00DA359B"/>
    <w:rsid w:val="00DA37FF"/>
    <w:rsid w:val="00DC43FF"/>
    <w:rsid w:val="00DD3EC0"/>
    <w:rsid w:val="00DF163D"/>
    <w:rsid w:val="00DF3338"/>
    <w:rsid w:val="00DF389D"/>
    <w:rsid w:val="00DF6CE1"/>
    <w:rsid w:val="00E00AE9"/>
    <w:rsid w:val="00E06FAF"/>
    <w:rsid w:val="00E11C15"/>
    <w:rsid w:val="00E1699D"/>
    <w:rsid w:val="00E23755"/>
    <w:rsid w:val="00E338B7"/>
    <w:rsid w:val="00E36685"/>
    <w:rsid w:val="00E41CDF"/>
    <w:rsid w:val="00E425F4"/>
    <w:rsid w:val="00E46D5E"/>
    <w:rsid w:val="00E506D2"/>
    <w:rsid w:val="00E635AA"/>
    <w:rsid w:val="00E77D7C"/>
    <w:rsid w:val="00E82A6A"/>
    <w:rsid w:val="00E90D1A"/>
    <w:rsid w:val="00E91BFA"/>
    <w:rsid w:val="00E94CAB"/>
    <w:rsid w:val="00E97799"/>
    <w:rsid w:val="00EA2548"/>
    <w:rsid w:val="00EB10C9"/>
    <w:rsid w:val="00EB4029"/>
    <w:rsid w:val="00EB7E99"/>
    <w:rsid w:val="00EC16D5"/>
    <w:rsid w:val="00EC37A1"/>
    <w:rsid w:val="00ED5996"/>
    <w:rsid w:val="00EE06C1"/>
    <w:rsid w:val="00EE225E"/>
    <w:rsid w:val="00EE44DC"/>
    <w:rsid w:val="00EE7922"/>
    <w:rsid w:val="00EF0191"/>
    <w:rsid w:val="00F024F3"/>
    <w:rsid w:val="00F04A73"/>
    <w:rsid w:val="00F061C1"/>
    <w:rsid w:val="00F151FA"/>
    <w:rsid w:val="00F1625A"/>
    <w:rsid w:val="00F214CC"/>
    <w:rsid w:val="00F25D24"/>
    <w:rsid w:val="00F33E7D"/>
    <w:rsid w:val="00F34EFF"/>
    <w:rsid w:val="00F43F4F"/>
    <w:rsid w:val="00F460B0"/>
    <w:rsid w:val="00F82BFA"/>
    <w:rsid w:val="00F8760F"/>
    <w:rsid w:val="00FA2A13"/>
    <w:rsid w:val="00FB0001"/>
    <w:rsid w:val="00FB0E9C"/>
    <w:rsid w:val="00FB3DE6"/>
    <w:rsid w:val="00FB691E"/>
    <w:rsid w:val="00FB720B"/>
    <w:rsid w:val="00FC0D05"/>
    <w:rsid w:val="00FD0003"/>
    <w:rsid w:val="00FD1DC9"/>
    <w:rsid w:val="00FD3334"/>
    <w:rsid w:val="00FE4207"/>
    <w:rsid w:val="00FF110F"/>
    <w:rsid w:val="00FF1900"/>
    <w:rsid w:val="00FF4212"/>
    <w:rsid w:val="00FF65FE"/>
    <w:rsid w:val="09B86000"/>
    <w:rsid w:val="187142EA"/>
    <w:rsid w:val="2C595F59"/>
    <w:rsid w:val="2E4427DA"/>
    <w:rsid w:val="2FA03FC4"/>
    <w:rsid w:val="319A29F8"/>
    <w:rsid w:val="342B07E8"/>
    <w:rsid w:val="3A832262"/>
    <w:rsid w:val="41EC1D12"/>
    <w:rsid w:val="4AE55FAA"/>
    <w:rsid w:val="4D567831"/>
    <w:rsid w:val="4E3920C9"/>
    <w:rsid w:val="52AD2477"/>
    <w:rsid w:val="62854158"/>
    <w:rsid w:val="6646637F"/>
    <w:rsid w:val="6EA2328E"/>
    <w:rsid w:val="72887B8C"/>
    <w:rsid w:val="7A4017E3"/>
    <w:rsid w:val="7B7227FC"/>
    <w:rsid w:val="7D4F01F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8A78C"/>
  <w15:docId w15:val="{1E572A1F-019A-4F5A-8782-321B6FAF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Pr>
      <w:color w:val="0563C1" w:themeColor="hyperlink"/>
      <w:u w:val="single"/>
    </w:rPr>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customStyle="1" w:styleId="corte4fondo">
    <w:name w:val="corte4 fondo"/>
    <w:basedOn w:val="Normal"/>
    <w:link w:val="corte4fondoCar1"/>
    <w:qFormat/>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qFormat/>
    <w:rPr>
      <w:rFonts w:ascii="Arial" w:eastAsia="Times New Roman" w:hAnsi="Arial" w:cs="Times New Roman"/>
      <w:sz w:val="30"/>
      <w:szCs w:val="20"/>
      <w:lang w:eastAsia="es-MX"/>
    </w:rPr>
  </w:style>
  <w:style w:type="character" w:customStyle="1" w:styleId="EncabezadoCar">
    <w:name w:val="Encabezado Car"/>
    <w:basedOn w:val="Fuentedeprrafopredeter"/>
    <w:link w:val="Encabezado"/>
    <w:uiPriority w:val="99"/>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0C860-C236-47B4-8E53-8B70213D3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2539</Words>
  <Characters>13970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 SLP</dc:creator>
  <cp:lastModifiedBy>Pedro</cp:lastModifiedBy>
  <cp:revision>6</cp:revision>
  <cp:lastPrinted>2020-11-06T18:27:00Z</cp:lastPrinted>
  <dcterms:created xsi:type="dcterms:W3CDTF">2022-05-16T19:05:00Z</dcterms:created>
  <dcterms:modified xsi:type="dcterms:W3CDTF">2022-05-16T19:10:00Z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2058-11.2.0.11130</vt:lpwstr>
  </property>
  <property fmtid="{D5CDD505-2E9C-101B-9397-08002B2CF9AE}" pid="3" name="ICV">
    <vt:lpwstr>9882289F54F54949A756C35222CBFF5D</vt:lpwstr>
  </property>
</Properties>
</file>