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F503C9" w14:textId="46F8E644" w:rsidR="00401BEC" w:rsidRDefault="003C6CAD" w:rsidP="00915932">
      <w:pPr>
        <w:jc w:val="center"/>
        <w:rPr>
          <w:rFonts w:ascii="Arial Black" w:hAnsi="Arial Black"/>
          <w:sz w:val="16"/>
          <w:szCs w:val="16"/>
        </w:rPr>
      </w:pPr>
      <w:r>
        <w:rPr>
          <w:noProof/>
        </w:rPr>
        <w:drawing>
          <wp:anchor distT="0" distB="0" distL="114300" distR="114300" simplePos="0" relativeHeight="251658752" behindDoc="1" locked="0" layoutInCell="1" allowOverlap="1" wp14:anchorId="50068B32" wp14:editId="1FE93C14">
            <wp:simplePos x="0" y="0"/>
            <wp:positionH relativeFrom="column">
              <wp:posOffset>-1143000</wp:posOffset>
            </wp:positionH>
            <wp:positionV relativeFrom="paragraph">
              <wp:posOffset>-889635</wp:posOffset>
            </wp:positionV>
            <wp:extent cx="7779385" cy="10067078"/>
            <wp:effectExtent l="0" t="0" r="5715" b="4445"/>
            <wp:wrapNone/>
            <wp:docPr id="2" name="Imagen 2" descr="Interfaz de usuario gráfica&#10;&#10;Descripción generada automáticamente con confianza ba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 descr="Interfaz de usuario gráfica&#10;&#10;Descripción generada automáticamente con confianza baja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9385" cy="100670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8C84E12" w14:textId="00152A00" w:rsidR="003C6CAD" w:rsidRDefault="003C6CAD" w:rsidP="00915932">
      <w:pPr>
        <w:jc w:val="center"/>
        <w:rPr>
          <w:rFonts w:ascii="Arial Black" w:hAnsi="Arial Black"/>
          <w:sz w:val="16"/>
          <w:szCs w:val="16"/>
        </w:rPr>
      </w:pPr>
    </w:p>
    <w:p w14:paraId="2D44302E" w14:textId="77777777" w:rsidR="00401BEC" w:rsidRDefault="00401BEC" w:rsidP="00185BCD">
      <w:pPr>
        <w:rPr>
          <w:rFonts w:ascii="Arial Black" w:hAnsi="Arial Black"/>
          <w:sz w:val="16"/>
          <w:szCs w:val="16"/>
        </w:rPr>
      </w:pPr>
    </w:p>
    <w:p w14:paraId="724B642E" w14:textId="7B7F7DE3" w:rsidR="003C6CAD" w:rsidRPr="00185BCD" w:rsidRDefault="00401BEC" w:rsidP="00185BCD">
      <w:pPr>
        <w:spacing w:line="480" w:lineRule="auto"/>
        <w:jc w:val="center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ESTE PROCEDIMIENTO SE LLEVÓ A CABO CON BASE AL ARTÍCULO 22 FRACCION II  Y 4</w:t>
      </w:r>
      <w:r w:rsidR="00185BCD">
        <w:rPr>
          <w:rFonts w:ascii="Arial Black" w:hAnsi="Arial Black"/>
          <w:sz w:val="28"/>
          <w:szCs w:val="28"/>
        </w:rPr>
        <w:t>2</w:t>
      </w:r>
      <w:r>
        <w:rPr>
          <w:rFonts w:ascii="Arial Black" w:hAnsi="Arial Black"/>
          <w:sz w:val="28"/>
          <w:szCs w:val="28"/>
        </w:rPr>
        <w:t xml:space="preserve"> DE LA LEY DE ADQUISICIONES DEL  ESTADO DE SAN LUIS POTOSÍ</w:t>
      </w:r>
      <w:r w:rsidR="00185BCD">
        <w:rPr>
          <w:rFonts w:ascii="Arial Black" w:hAnsi="Arial Black"/>
          <w:sz w:val="28"/>
          <w:szCs w:val="28"/>
        </w:rPr>
        <w:t>.</w:t>
      </w:r>
    </w:p>
    <w:p w14:paraId="2F6CAFA7" w14:textId="5AE730E3" w:rsidR="003C6CAD" w:rsidRPr="003C6CAD" w:rsidRDefault="003C6CAD" w:rsidP="00401BEC">
      <w:pPr>
        <w:spacing w:line="480" w:lineRule="auto"/>
        <w:jc w:val="center"/>
        <w:rPr>
          <w:rFonts w:ascii="Arial Black" w:hAnsi="Arial Black"/>
          <w:sz w:val="24"/>
          <w:szCs w:val="24"/>
        </w:rPr>
      </w:pPr>
      <w:r w:rsidRPr="003C6CAD">
        <w:rPr>
          <w:rFonts w:ascii="Arial Black" w:hAnsi="Arial Black"/>
          <w:sz w:val="24"/>
          <w:szCs w:val="24"/>
        </w:rPr>
        <w:t>LEY DE ADQUISICONES DEL ESTADO DE SAN LUIS POTOSÍ</w:t>
      </w:r>
      <w:r>
        <w:rPr>
          <w:rFonts w:ascii="Arial Black" w:hAnsi="Arial Black"/>
          <w:sz w:val="24"/>
          <w:szCs w:val="24"/>
        </w:rPr>
        <w:t>:</w:t>
      </w:r>
    </w:p>
    <w:p w14:paraId="686762EA" w14:textId="2D7EA6B6" w:rsidR="003C6CAD" w:rsidRDefault="003C6CAD" w:rsidP="003C6CAD">
      <w:pPr>
        <w:rPr>
          <w:rFonts w:ascii="Arial Black" w:hAnsi="Arial Black"/>
          <w:sz w:val="16"/>
          <w:szCs w:val="16"/>
        </w:rPr>
      </w:pPr>
      <w:r>
        <w:rPr>
          <w:rFonts w:ascii="Arial Black" w:hAnsi="Arial Black"/>
          <w:sz w:val="16"/>
          <w:szCs w:val="16"/>
        </w:rPr>
        <w:t>[….]</w:t>
      </w:r>
    </w:p>
    <w:p w14:paraId="4C6F0450" w14:textId="77777777" w:rsidR="003C6CAD" w:rsidRPr="003C6CAD" w:rsidRDefault="003C6CAD" w:rsidP="003C6CAD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3C6CAD">
        <w:rPr>
          <w:rFonts w:asciiTheme="minorHAnsi" w:hAnsiTheme="minorHAnsi" w:cstheme="minorHAnsi"/>
          <w:sz w:val="20"/>
          <w:szCs w:val="20"/>
        </w:rPr>
        <w:t xml:space="preserve">ARTICULO 22.- Las adquisiciones, arrendamientos y servicios, solamente podrán efectuarse mediante: </w:t>
      </w:r>
    </w:p>
    <w:p w14:paraId="5A05485A" w14:textId="28244ADF" w:rsidR="003C6CAD" w:rsidRPr="003C6CAD" w:rsidRDefault="003C6CAD" w:rsidP="003C6CAD">
      <w:pPr>
        <w:pStyle w:val="Default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I.-Li</w:t>
      </w:r>
      <w:r w:rsidRPr="003C6CAD">
        <w:rPr>
          <w:rFonts w:asciiTheme="minorHAnsi" w:hAnsiTheme="minorHAnsi" w:cstheme="minorHAnsi"/>
          <w:sz w:val="20"/>
          <w:szCs w:val="20"/>
        </w:rPr>
        <w:t xml:space="preserve">citación pública; </w:t>
      </w:r>
    </w:p>
    <w:p w14:paraId="17B595FD" w14:textId="77777777" w:rsidR="003C6CAD" w:rsidRPr="003C6CAD" w:rsidRDefault="003C6CAD" w:rsidP="003C6CAD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3C6CAD">
        <w:rPr>
          <w:rFonts w:asciiTheme="minorHAnsi" w:hAnsiTheme="minorHAnsi" w:cstheme="minorHAnsi"/>
          <w:sz w:val="20"/>
          <w:szCs w:val="20"/>
        </w:rPr>
        <w:t xml:space="preserve">II. Invitación restringida a cuando menos tres proveedores; y </w:t>
      </w:r>
    </w:p>
    <w:p w14:paraId="2C47D6F7" w14:textId="77777777" w:rsidR="003C6CAD" w:rsidRPr="003C6CAD" w:rsidRDefault="003C6CAD" w:rsidP="003C6CAD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3C6CAD">
        <w:rPr>
          <w:rFonts w:asciiTheme="minorHAnsi" w:hAnsiTheme="minorHAnsi" w:cstheme="minorHAnsi"/>
          <w:sz w:val="20"/>
          <w:szCs w:val="20"/>
        </w:rPr>
        <w:t xml:space="preserve">III. Adjudicación directa. </w:t>
      </w:r>
    </w:p>
    <w:p w14:paraId="3BBCEB1A" w14:textId="6ECE596C" w:rsidR="00401BEC" w:rsidRDefault="00401BEC" w:rsidP="003C6CAD">
      <w:pPr>
        <w:rPr>
          <w:rFonts w:cstheme="minorHAnsi"/>
          <w:sz w:val="20"/>
          <w:szCs w:val="20"/>
        </w:rPr>
      </w:pPr>
    </w:p>
    <w:p w14:paraId="7D49851C" w14:textId="135910D3" w:rsidR="003C6CAD" w:rsidRPr="003C6CAD" w:rsidRDefault="003C6CAD" w:rsidP="003C6CAD">
      <w:p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[……]</w:t>
      </w:r>
    </w:p>
    <w:p w14:paraId="721266DC" w14:textId="77777777" w:rsidR="00185BCD" w:rsidRPr="00ED71C3" w:rsidRDefault="00185BCD" w:rsidP="00185BCD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  <w:r w:rsidRPr="00ED71C3">
        <w:rPr>
          <w:rFonts w:asciiTheme="minorHAnsi" w:hAnsiTheme="minorHAnsi" w:cstheme="minorHAnsi"/>
          <w:sz w:val="20"/>
          <w:szCs w:val="20"/>
        </w:rPr>
        <w:t xml:space="preserve">ARTICULO 42.- El procedimiento de </w:t>
      </w:r>
      <w:r w:rsidRPr="00ED71C3">
        <w:rPr>
          <w:rFonts w:asciiTheme="minorHAnsi" w:hAnsiTheme="minorHAnsi" w:cstheme="minorHAnsi"/>
          <w:sz w:val="20"/>
          <w:szCs w:val="20"/>
          <w:u w:val="single"/>
        </w:rPr>
        <w:t>invitación restringida</w:t>
      </w:r>
      <w:r w:rsidRPr="00ED71C3">
        <w:rPr>
          <w:rFonts w:asciiTheme="minorHAnsi" w:hAnsiTheme="minorHAnsi" w:cstheme="minorHAnsi"/>
          <w:sz w:val="20"/>
          <w:szCs w:val="20"/>
        </w:rPr>
        <w:t xml:space="preserve"> a cuando menos tres proveedores, deberá realizarse en forma sumaria, en una sola etapa conforme a las siguientes formalidades: </w:t>
      </w:r>
    </w:p>
    <w:p w14:paraId="470106E0" w14:textId="77777777" w:rsidR="00185BCD" w:rsidRPr="00ED71C3" w:rsidRDefault="00185BCD" w:rsidP="00185BCD">
      <w:pPr>
        <w:pStyle w:val="Default"/>
        <w:rPr>
          <w:rFonts w:asciiTheme="minorHAnsi" w:hAnsiTheme="minorHAnsi" w:cstheme="minorHAnsi"/>
          <w:sz w:val="20"/>
          <w:szCs w:val="20"/>
        </w:rPr>
      </w:pPr>
    </w:p>
    <w:p w14:paraId="0D718A15" w14:textId="77777777" w:rsidR="00185BCD" w:rsidRPr="00ED71C3" w:rsidRDefault="00185BCD" w:rsidP="00185BCD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  <w:r w:rsidRPr="00ED71C3">
        <w:rPr>
          <w:rFonts w:asciiTheme="minorHAnsi" w:hAnsiTheme="minorHAnsi" w:cstheme="minorHAnsi"/>
          <w:sz w:val="20"/>
          <w:szCs w:val="20"/>
        </w:rPr>
        <w:t xml:space="preserve">I. Entrega de propuesta económica, firmada por quien esté autorizado legalmente para ello, misma que será obsequiada en sobre cerrado dirigido al requeriente, conteniendo las especificaciones técnicas del bien o servicio de que se trate; </w:t>
      </w:r>
    </w:p>
    <w:p w14:paraId="57CAFEC6" w14:textId="77777777" w:rsidR="00185BCD" w:rsidRPr="00ED71C3" w:rsidRDefault="00185BCD" w:rsidP="00185BCD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  <w:r w:rsidRPr="00ED71C3">
        <w:rPr>
          <w:rFonts w:asciiTheme="minorHAnsi" w:hAnsiTheme="minorHAnsi" w:cstheme="minorHAnsi"/>
          <w:sz w:val="20"/>
          <w:szCs w:val="20"/>
        </w:rPr>
        <w:t xml:space="preserve">II. El acto de apertura de propuesta económica se llevará a cabo sin la presencia de los correspondientes proveedores, pero, invariablemente, se invitará al representante del órgano de control de la institución; </w:t>
      </w:r>
    </w:p>
    <w:p w14:paraId="219CE625" w14:textId="77777777" w:rsidR="00185BCD" w:rsidRPr="00ED71C3" w:rsidRDefault="00185BCD" w:rsidP="00185BCD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  <w:r w:rsidRPr="00ED71C3">
        <w:rPr>
          <w:rFonts w:asciiTheme="minorHAnsi" w:hAnsiTheme="minorHAnsi" w:cstheme="minorHAnsi"/>
          <w:sz w:val="20"/>
          <w:szCs w:val="20"/>
        </w:rPr>
        <w:t xml:space="preserve">III. Recepcionadas las propuestas económicas, las áreas administrativas elaborarán cuadros comparativos de éstas, autorizados con la firma del titular y el representante del órgano de control; </w:t>
      </w:r>
    </w:p>
    <w:p w14:paraId="1B35E8B8" w14:textId="77777777" w:rsidR="00185BCD" w:rsidRPr="00ED71C3" w:rsidRDefault="00185BCD" w:rsidP="00185BCD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  <w:r w:rsidRPr="00ED71C3">
        <w:rPr>
          <w:rFonts w:asciiTheme="minorHAnsi" w:hAnsiTheme="minorHAnsi" w:cstheme="minorHAnsi"/>
          <w:sz w:val="20"/>
          <w:szCs w:val="20"/>
        </w:rPr>
        <w:t xml:space="preserve">IV. Para llevar a cabo la adjudicación se deberá contar con un mínimo de dos propuestas económicas solventes. De no existir éstas, el procedimiento se declarará desierto, quedando obligada el área administrativa a iniciar un nuevo procedimiento; </w:t>
      </w:r>
    </w:p>
    <w:p w14:paraId="7E2D950F" w14:textId="77777777" w:rsidR="00185BCD" w:rsidRPr="00ED71C3" w:rsidRDefault="00185BCD" w:rsidP="00185BCD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  <w:r w:rsidRPr="00ED71C3">
        <w:rPr>
          <w:rFonts w:asciiTheme="minorHAnsi" w:hAnsiTheme="minorHAnsi" w:cstheme="minorHAnsi"/>
          <w:sz w:val="20"/>
          <w:szCs w:val="20"/>
        </w:rPr>
        <w:t>V. En las solicitudes de cotización, se indicarán como mínimo la calidad y descripción de los bienes o servicios requeridos, plazo, lugar de entrega y condiciones de pago</w:t>
      </w:r>
      <w:r>
        <w:rPr>
          <w:rFonts w:asciiTheme="minorHAnsi" w:hAnsiTheme="minorHAnsi" w:cstheme="minorHAnsi"/>
          <w:sz w:val="20"/>
          <w:szCs w:val="20"/>
        </w:rPr>
        <w:t>.</w:t>
      </w:r>
    </w:p>
    <w:p w14:paraId="4F474386" w14:textId="77777777" w:rsidR="00185BCD" w:rsidRDefault="00185BCD" w:rsidP="00185BCD">
      <w:pPr>
        <w:pStyle w:val="Default"/>
        <w:jc w:val="both"/>
        <w:rPr>
          <w:sz w:val="20"/>
          <w:szCs w:val="20"/>
        </w:rPr>
      </w:pPr>
      <w:r w:rsidRPr="001C70D0">
        <w:rPr>
          <w:rFonts w:asciiTheme="minorHAnsi" w:hAnsiTheme="minorHAnsi" w:cstheme="minorHAnsi"/>
          <w:sz w:val="20"/>
          <w:szCs w:val="20"/>
        </w:rPr>
        <w:t>VI. Los plazos para la presentación de las proposiciones se fijarán en cada operación, atendiendo al tipo de bienes o servicios requeridos, así como a la complejidad para elaborar la propuesta y llevar a cabo su evaluación</w:t>
      </w:r>
      <w:r>
        <w:rPr>
          <w:sz w:val="20"/>
          <w:szCs w:val="20"/>
        </w:rPr>
        <w:t>.</w:t>
      </w:r>
    </w:p>
    <w:p w14:paraId="4A0A137F" w14:textId="6E47B067" w:rsidR="000017E3" w:rsidRPr="00185BCD" w:rsidRDefault="000017E3" w:rsidP="00185BCD">
      <w:pPr>
        <w:pStyle w:val="Default"/>
        <w:jc w:val="center"/>
        <w:rPr>
          <w:rFonts w:asciiTheme="minorHAnsi" w:hAnsiTheme="minorHAnsi" w:cstheme="minorHAnsi"/>
          <w:sz w:val="20"/>
          <w:szCs w:val="20"/>
        </w:rPr>
      </w:pPr>
      <w:r w:rsidRPr="00B6186A">
        <w:rPr>
          <w:rFonts w:ascii="Arial Black" w:hAnsi="Arial Black"/>
          <w:sz w:val="28"/>
          <w:szCs w:val="28"/>
        </w:rPr>
        <w:t xml:space="preserve">EN ESTE PROCEDIMIENTO NO </w:t>
      </w:r>
      <w:r w:rsidRPr="00C27EB6">
        <w:rPr>
          <w:rFonts w:ascii="Arial Black" w:hAnsi="Arial Black"/>
          <w:sz w:val="28"/>
          <w:szCs w:val="28"/>
        </w:rPr>
        <w:t>SE HA REPORTADO FINIQUITO</w:t>
      </w:r>
      <w:r>
        <w:rPr>
          <w:rFonts w:ascii="Arial Black" w:hAnsi="Arial Black"/>
          <w:sz w:val="28"/>
          <w:szCs w:val="28"/>
        </w:rPr>
        <w:t>, CONTRATO SIN EFECTOS CONCLUIDOS NI INFORME DE RESULTADOS.</w:t>
      </w:r>
    </w:p>
    <w:p w14:paraId="25B005AC" w14:textId="7F9AD75C" w:rsidR="00475DC1" w:rsidRPr="00C27EB6" w:rsidRDefault="00475DC1" w:rsidP="00475DC1">
      <w:pPr>
        <w:spacing w:line="360" w:lineRule="auto"/>
        <w:jc w:val="center"/>
        <w:rPr>
          <w:rFonts w:ascii="Arial Black" w:hAnsi="Arial Black"/>
          <w:sz w:val="28"/>
          <w:szCs w:val="28"/>
        </w:rPr>
      </w:pPr>
    </w:p>
    <w:p w14:paraId="1EF10AB0" w14:textId="6A393870" w:rsidR="003B2245" w:rsidRPr="00453B7F" w:rsidRDefault="003B2245" w:rsidP="002367A8">
      <w:pPr>
        <w:spacing w:line="360" w:lineRule="auto"/>
        <w:jc w:val="center"/>
        <w:rPr>
          <w:rFonts w:ascii="Arial Black" w:hAnsi="Arial Black"/>
          <w:sz w:val="24"/>
          <w:szCs w:val="24"/>
        </w:rPr>
      </w:pPr>
    </w:p>
    <w:sectPr w:rsidR="003B2245" w:rsidRPr="00453B7F" w:rsidSect="00255D9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7E764F"/>
    <w:multiLevelType w:val="hybridMultilevel"/>
    <w:tmpl w:val="8CDC7D32"/>
    <w:lvl w:ilvl="0" w:tplc="005288D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D8F5AB1"/>
    <w:multiLevelType w:val="hybridMultilevel"/>
    <w:tmpl w:val="68562A5C"/>
    <w:lvl w:ilvl="0" w:tplc="649A0880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14259313">
    <w:abstractNumId w:val="1"/>
  </w:num>
  <w:num w:numId="2" w16cid:durableId="16603017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5932"/>
    <w:rsid w:val="000017E3"/>
    <w:rsid w:val="00185BCD"/>
    <w:rsid w:val="002367A8"/>
    <w:rsid w:val="00255D93"/>
    <w:rsid w:val="003B2245"/>
    <w:rsid w:val="003C6CAD"/>
    <w:rsid w:val="003F4AF4"/>
    <w:rsid w:val="00401BEC"/>
    <w:rsid w:val="00453B7F"/>
    <w:rsid w:val="00475DC1"/>
    <w:rsid w:val="0073780D"/>
    <w:rsid w:val="007520F5"/>
    <w:rsid w:val="00915932"/>
    <w:rsid w:val="00A80C6A"/>
    <w:rsid w:val="00B307D9"/>
    <w:rsid w:val="00D05892"/>
    <w:rsid w:val="00E20292"/>
    <w:rsid w:val="00F32C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DA34D0"/>
  <w15:docId w15:val="{67F60652-36A1-4E2A-A1E4-6C00CBCB10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3C6CA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308</Words>
  <Characters>1696</Characters>
  <Application>Microsoft Office Word</Application>
  <DocSecurity>0</DocSecurity>
  <Lines>14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Gerardo Rdz</dc:creator>
  <cp:lastModifiedBy>Compras UAM</cp:lastModifiedBy>
  <cp:revision>4</cp:revision>
  <dcterms:created xsi:type="dcterms:W3CDTF">2021-11-01T19:08:00Z</dcterms:created>
  <dcterms:modified xsi:type="dcterms:W3CDTF">2022-07-15T18:23:00Z</dcterms:modified>
</cp:coreProperties>
</file>