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page" w:horzAnchor="margin" w:tblpY="2026"/>
        <w:tblW w:w="10731" w:type="dxa"/>
        <w:tblLayout w:type="fixed"/>
        <w:tblLook w:val="04A0" w:firstRow="1" w:lastRow="0" w:firstColumn="1" w:lastColumn="0" w:noHBand="0" w:noVBand="1"/>
      </w:tblPr>
      <w:tblGrid>
        <w:gridCol w:w="3376"/>
        <w:gridCol w:w="280"/>
        <w:gridCol w:w="3456"/>
        <w:gridCol w:w="240"/>
        <w:gridCol w:w="3379"/>
      </w:tblGrid>
      <w:tr w:rsidR="00F279A9" w:rsidRPr="00F279A9" w:rsidTr="006E10F3">
        <w:trPr>
          <w:trHeight w:val="709"/>
        </w:trPr>
        <w:tc>
          <w:tcPr>
            <w:tcW w:w="3656" w:type="dxa"/>
            <w:gridSpan w:val="2"/>
            <w:tcBorders>
              <w:top w:val="nil"/>
              <w:left w:val="nil"/>
              <w:bottom w:val="nil"/>
              <w:right w:val="nil"/>
            </w:tcBorders>
          </w:tcPr>
          <w:p w:rsidR="00502EC0" w:rsidRPr="004A72CF" w:rsidRDefault="006E10F3" w:rsidP="00F279A9">
            <w:pPr>
              <w:ind w:left="0" w:firstLine="0"/>
              <w:rPr>
                <w:rFonts w:ascii="Literata 18pt SemiBold" w:hAnsi="Literata 18pt SemiBold"/>
                <w:b/>
                <w:color w:val="404040" w:themeColor="text1" w:themeTint="BF"/>
                <w:sz w:val="28"/>
                <w:szCs w:val="28"/>
              </w:rPr>
            </w:pPr>
            <w:r>
              <w:rPr>
                <w:rFonts w:ascii="Literata 18pt SemiBold" w:hAnsi="Literata 18pt SemiBold"/>
                <w:b/>
                <w:color w:val="404040" w:themeColor="text1" w:themeTint="BF"/>
                <w:sz w:val="28"/>
                <w:szCs w:val="28"/>
              </w:rPr>
              <w:t>EDGAR VALDEZ ZAVALA</w:t>
            </w:r>
          </w:p>
          <w:p w:rsidR="006C1D71" w:rsidRPr="004A72CF" w:rsidRDefault="006C1D71" w:rsidP="00F279A9">
            <w:pPr>
              <w:ind w:left="0" w:firstLine="0"/>
              <w:rPr>
                <w:rFonts w:ascii="Literata 18pt SemiBold" w:hAnsi="Literata 18pt SemiBold"/>
                <w:b/>
                <w:color w:val="404040" w:themeColor="text1" w:themeTint="BF"/>
                <w:sz w:val="28"/>
                <w:szCs w:val="28"/>
              </w:rPr>
            </w:pPr>
          </w:p>
        </w:tc>
        <w:tc>
          <w:tcPr>
            <w:tcW w:w="7075" w:type="dxa"/>
            <w:gridSpan w:val="3"/>
            <w:tcBorders>
              <w:top w:val="nil"/>
              <w:left w:val="nil"/>
              <w:bottom w:val="nil"/>
              <w:right w:val="nil"/>
            </w:tcBorders>
          </w:tcPr>
          <w:p w:rsidR="00502EC0" w:rsidRPr="004A72CF" w:rsidRDefault="00502EC0" w:rsidP="00F279A9">
            <w:pPr>
              <w:ind w:left="0" w:firstLine="0"/>
              <w:rPr>
                <w:color w:val="404040" w:themeColor="text1" w:themeTint="BF"/>
              </w:rPr>
            </w:pPr>
          </w:p>
        </w:tc>
      </w:tr>
      <w:tr w:rsidR="00F279A9" w:rsidRPr="00F279A9" w:rsidTr="006C1D71">
        <w:trPr>
          <w:trHeight w:val="817"/>
        </w:trPr>
        <w:tc>
          <w:tcPr>
            <w:tcW w:w="3656" w:type="dxa"/>
            <w:gridSpan w:val="2"/>
            <w:tcBorders>
              <w:top w:val="nil"/>
              <w:left w:val="nil"/>
              <w:bottom w:val="nil"/>
              <w:right w:val="nil"/>
            </w:tcBorders>
            <w:shd w:val="clear" w:color="auto" w:fill="006600"/>
          </w:tcPr>
          <w:p w:rsidR="00502EC0" w:rsidRPr="004A72CF" w:rsidRDefault="00941E1D" w:rsidP="00941E1D">
            <w:pPr>
              <w:shd w:val="clear" w:color="auto" w:fill="006600"/>
              <w:tabs>
                <w:tab w:val="center" w:pos="5234"/>
              </w:tabs>
              <w:spacing w:after="58" w:line="259" w:lineRule="auto"/>
              <w:ind w:left="0" w:firstLine="0"/>
              <w:rPr>
                <w:b/>
                <w:color w:val="404040" w:themeColor="text1" w:themeTint="BF"/>
                <w:sz w:val="22"/>
                <w:szCs w:val="28"/>
              </w:rPr>
            </w:pPr>
            <w:r>
              <w:rPr>
                <w:rFonts w:ascii="Literata 18pt" w:eastAsia="Gill Sans MT" w:hAnsi="Literata 18pt" w:cstheme="minorHAnsi"/>
                <w:b/>
                <w:color w:val="FFFFFF" w:themeColor="background1"/>
                <w:sz w:val="22"/>
                <w:szCs w:val="28"/>
              </w:rPr>
              <w:t xml:space="preserve">Encargado  de Despacho de la Dirección de la Defensoría Pública Penal </w:t>
            </w:r>
            <w:bookmarkStart w:id="0" w:name="_GoBack"/>
            <w:bookmarkEnd w:id="0"/>
          </w:p>
        </w:tc>
        <w:tc>
          <w:tcPr>
            <w:tcW w:w="7075" w:type="dxa"/>
            <w:gridSpan w:val="3"/>
            <w:tcBorders>
              <w:top w:val="nil"/>
              <w:left w:val="nil"/>
              <w:bottom w:val="nil"/>
              <w:right w:val="nil"/>
            </w:tcBorders>
          </w:tcPr>
          <w:p w:rsidR="00502EC0" w:rsidRPr="004A72CF" w:rsidRDefault="00502EC0" w:rsidP="00F279A9">
            <w:pPr>
              <w:ind w:left="0" w:firstLine="0"/>
              <w:jc w:val="both"/>
              <w:rPr>
                <w:color w:val="404040" w:themeColor="text1" w:themeTint="BF"/>
              </w:rPr>
            </w:pPr>
          </w:p>
        </w:tc>
      </w:tr>
      <w:tr w:rsidR="00F279A9" w:rsidRPr="00F279A9" w:rsidTr="006C1D71">
        <w:trPr>
          <w:trHeight w:val="238"/>
        </w:trPr>
        <w:tc>
          <w:tcPr>
            <w:tcW w:w="3376" w:type="dxa"/>
            <w:tcBorders>
              <w:top w:val="nil"/>
              <w:left w:val="nil"/>
              <w:bottom w:val="nil"/>
              <w:right w:val="nil"/>
            </w:tcBorders>
          </w:tcPr>
          <w:p w:rsidR="00F279A9" w:rsidRPr="004A72CF" w:rsidRDefault="00F279A9" w:rsidP="00F279A9">
            <w:pPr>
              <w:spacing w:after="0" w:line="259" w:lineRule="auto"/>
              <w:ind w:left="0" w:firstLine="0"/>
              <w:rPr>
                <w:rFonts w:ascii="Literata 18pt Light" w:hAnsi="Literata 18pt Light"/>
                <w:b/>
                <w:color w:val="404040" w:themeColor="text1" w:themeTint="BF"/>
                <w:sz w:val="22"/>
              </w:rPr>
            </w:pPr>
          </w:p>
          <w:p w:rsidR="006B0CBB" w:rsidRDefault="006B0CBB" w:rsidP="00F279A9">
            <w:pPr>
              <w:spacing w:after="0" w:line="259" w:lineRule="auto"/>
              <w:ind w:left="0" w:firstLine="0"/>
              <w:rPr>
                <w:rFonts w:ascii="Literata 18pt Light" w:hAnsi="Literata 18pt Light"/>
                <w:b/>
                <w:color w:val="404040" w:themeColor="text1" w:themeTint="BF"/>
                <w:sz w:val="22"/>
              </w:rPr>
            </w:pPr>
            <w:r w:rsidRPr="004A72CF">
              <w:rPr>
                <w:rFonts w:ascii="Literata 18pt Light" w:hAnsi="Literata 18pt Light"/>
                <w:b/>
                <w:color w:val="404040" w:themeColor="text1" w:themeTint="BF"/>
                <w:sz w:val="22"/>
              </w:rPr>
              <w:t>Formación Académica:</w:t>
            </w:r>
          </w:p>
          <w:p w:rsidR="00C26836" w:rsidRPr="004A72CF" w:rsidRDefault="00C26836" w:rsidP="00F279A9">
            <w:pPr>
              <w:spacing w:after="0" w:line="259" w:lineRule="auto"/>
              <w:ind w:left="0" w:firstLine="0"/>
              <w:rPr>
                <w:rFonts w:ascii="Literata 18pt Light" w:hAnsi="Literata 18pt Light"/>
                <w:color w:val="404040" w:themeColor="text1" w:themeTint="BF"/>
              </w:rPr>
            </w:pPr>
          </w:p>
        </w:tc>
        <w:tc>
          <w:tcPr>
            <w:tcW w:w="280" w:type="dxa"/>
            <w:tcBorders>
              <w:top w:val="nil"/>
              <w:left w:val="nil"/>
              <w:bottom w:val="nil"/>
              <w:right w:val="nil"/>
            </w:tcBorders>
          </w:tcPr>
          <w:p w:rsidR="006B0CBB" w:rsidRPr="004A72CF" w:rsidRDefault="006B0CBB" w:rsidP="00F279A9">
            <w:pPr>
              <w:ind w:left="0" w:firstLine="0"/>
              <w:rPr>
                <w:rFonts w:ascii="Literata 18pt Light" w:hAnsi="Literata 18pt Light"/>
                <w:color w:val="404040" w:themeColor="text1" w:themeTint="BF"/>
              </w:rPr>
            </w:pPr>
          </w:p>
        </w:tc>
        <w:tc>
          <w:tcPr>
            <w:tcW w:w="3456" w:type="dxa"/>
            <w:tcBorders>
              <w:top w:val="nil"/>
              <w:left w:val="nil"/>
              <w:bottom w:val="nil"/>
              <w:right w:val="nil"/>
            </w:tcBorders>
          </w:tcPr>
          <w:p w:rsidR="00F279A9" w:rsidRPr="004A72CF" w:rsidRDefault="00F279A9" w:rsidP="00F279A9">
            <w:pPr>
              <w:ind w:left="0" w:firstLine="0"/>
              <w:rPr>
                <w:rFonts w:ascii="Literata 18pt Light" w:hAnsi="Literata 18pt Light"/>
                <w:b/>
                <w:color w:val="404040" w:themeColor="text1" w:themeTint="BF"/>
                <w:sz w:val="22"/>
              </w:rPr>
            </w:pPr>
          </w:p>
          <w:p w:rsidR="006B0CBB" w:rsidRPr="004A72CF" w:rsidRDefault="006B0CBB" w:rsidP="00F279A9">
            <w:pPr>
              <w:ind w:left="0" w:firstLine="0"/>
              <w:rPr>
                <w:rFonts w:ascii="Literata 18pt Light" w:hAnsi="Literata 18pt Light"/>
                <w:color w:val="404040" w:themeColor="text1" w:themeTint="BF"/>
              </w:rPr>
            </w:pPr>
            <w:r w:rsidRPr="004A72CF">
              <w:rPr>
                <w:rFonts w:ascii="Literata 18pt Light" w:hAnsi="Literata 18pt Light"/>
                <w:b/>
                <w:color w:val="404040" w:themeColor="text1" w:themeTint="BF"/>
                <w:sz w:val="22"/>
              </w:rPr>
              <w:t>Experiencia laboral:</w:t>
            </w:r>
          </w:p>
        </w:tc>
        <w:tc>
          <w:tcPr>
            <w:tcW w:w="240" w:type="dxa"/>
            <w:tcBorders>
              <w:top w:val="nil"/>
              <w:left w:val="nil"/>
              <w:bottom w:val="nil"/>
              <w:right w:val="nil"/>
            </w:tcBorders>
          </w:tcPr>
          <w:p w:rsidR="006B0CBB" w:rsidRPr="004A72CF" w:rsidRDefault="006B0CBB" w:rsidP="00F279A9">
            <w:pPr>
              <w:ind w:left="0" w:firstLine="0"/>
              <w:rPr>
                <w:rFonts w:ascii="Literata 18pt Light" w:hAnsi="Literata 18pt Light"/>
                <w:color w:val="404040" w:themeColor="text1" w:themeTint="BF"/>
              </w:rPr>
            </w:pPr>
          </w:p>
        </w:tc>
        <w:tc>
          <w:tcPr>
            <w:tcW w:w="3378" w:type="dxa"/>
            <w:tcBorders>
              <w:top w:val="nil"/>
              <w:left w:val="nil"/>
              <w:bottom w:val="nil"/>
              <w:right w:val="nil"/>
            </w:tcBorders>
          </w:tcPr>
          <w:p w:rsidR="00F279A9" w:rsidRPr="004A72CF" w:rsidRDefault="00F279A9" w:rsidP="00F279A9">
            <w:pPr>
              <w:spacing w:after="0" w:line="259" w:lineRule="auto"/>
              <w:ind w:left="0" w:firstLine="0"/>
              <w:jc w:val="both"/>
              <w:rPr>
                <w:rFonts w:ascii="Literata 18pt Light" w:hAnsi="Literata 18pt Light"/>
                <w:b/>
                <w:color w:val="404040" w:themeColor="text1" w:themeTint="BF"/>
                <w:sz w:val="22"/>
              </w:rPr>
            </w:pPr>
          </w:p>
          <w:p w:rsidR="005C570C" w:rsidRPr="001978AA" w:rsidRDefault="006B0CBB" w:rsidP="00EA2171">
            <w:pPr>
              <w:spacing w:after="0" w:line="259" w:lineRule="auto"/>
              <w:ind w:left="0" w:firstLine="0"/>
              <w:jc w:val="both"/>
              <w:rPr>
                <w:rFonts w:ascii="Literata 18pt Light" w:hAnsi="Literata 18pt Light"/>
                <w:b/>
                <w:color w:val="FF0000"/>
                <w:sz w:val="22"/>
              </w:rPr>
            </w:pPr>
            <w:r w:rsidRPr="004A72CF">
              <w:rPr>
                <w:rFonts w:ascii="Literata 18pt Light" w:hAnsi="Literata 18pt Light"/>
                <w:b/>
                <w:color w:val="404040" w:themeColor="text1" w:themeTint="BF"/>
                <w:sz w:val="22"/>
              </w:rPr>
              <w:t>Cursos recibidos:</w:t>
            </w:r>
            <w:r w:rsidRPr="00D774F7">
              <w:rPr>
                <w:rFonts w:ascii="Literata 18pt Light" w:hAnsi="Literata 18pt Light"/>
                <w:b/>
                <w:color w:val="FF0000"/>
                <w:sz w:val="22"/>
              </w:rPr>
              <w:t xml:space="preserve"> </w:t>
            </w:r>
            <w:r w:rsidR="00D774F7" w:rsidRPr="00D774F7">
              <w:rPr>
                <w:rFonts w:ascii="Literata 18pt Light" w:hAnsi="Literata 18pt Light"/>
                <w:b/>
                <w:color w:val="FF0000"/>
                <w:sz w:val="22"/>
              </w:rPr>
              <w:t xml:space="preserve"> </w:t>
            </w:r>
          </w:p>
        </w:tc>
      </w:tr>
      <w:tr w:rsidR="00F279A9" w:rsidRPr="00F279A9" w:rsidTr="006C1D71">
        <w:trPr>
          <w:trHeight w:val="817"/>
        </w:trPr>
        <w:tc>
          <w:tcPr>
            <w:tcW w:w="3376" w:type="dxa"/>
            <w:tcBorders>
              <w:top w:val="nil"/>
              <w:left w:val="single" w:sz="4" w:space="0" w:color="auto"/>
              <w:bottom w:val="nil"/>
              <w:right w:val="nil"/>
            </w:tcBorders>
          </w:tcPr>
          <w:p w:rsidR="00C26836" w:rsidRDefault="00C26836" w:rsidP="00B91872">
            <w:pPr>
              <w:ind w:left="24" w:firstLine="0"/>
              <w:jc w:val="both"/>
              <w:rPr>
                <w:rFonts w:ascii="Literata 18pt Light" w:hAnsi="Literata 18pt Light"/>
                <w:color w:val="3B3838" w:themeColor="background2" w:themeShade="40"/>
              </w:rPr>
            </w:pPr>
            <w:r>
              <w:rPr>
                <w:rFonts w:ascii="Literata 18pt Light" w:hAnsi="Literata 18pt Light"/>
                <w:color w:val="3B3838" w:themeColor="background2" w:themeShade="40"/>
              </w:rPr>
              <w:t>Universidad Mesoamericana, carrera de Licenciado en Derecho, San Luis Potosí, de 1997 a 1998.</w:t>
            </w:r>
          </w:p>
          <w:p w:rsidR="00C26836" w:rsidRDefault="00C26836" w:rsidP="00B91872">
            <w:pPr>
              <w:ind w:left="24" w:firstLine="0"/>
              <w:jc w:val="both"/>
              <w:rPr>
                <w:rFonts w:ascii="Literata 18pt Light" w:hAnsi="Literata 18pt Light"/>
                <w:color w:val="3B3838" w:themeColor="background2" w:themeShade="40"/>
              </w:rPr>
            </w:pPr>
          </w:p>
          <w:p w:rsidR="00B91872" w:rsidRPr="00CF045D" w:rsidRDefault="00B91872" w:rsidP="00B91872">
            <w:pPr>
              <w:ind w:left="24" w:firstLine="0"/>
              <w:jc w:val="both"/>
              <w:rPr>
                <w:rFonts w:ascii="Literata 18pt Light" w:hAnsi="Literata 18pt Light"/>
                <w:color w:val="3B3838" w:themeColor="background2" w:themeShade="40"/>
              </w:rPr>
            </w:pPr>
            <w:r w:rsidRPr="00CF045D">
              <w:rPr>
                <w:rFonts w:ascii="Literata 18pt Light" w:hAnsi="Literata 18pt Light"/>
                <w:color w:val="3B3838" w:themeColor="background2" w:themeShade="40"/>
              </w:rPr>
              <w:t>Licenciatura en Derecho en la Facultad de Derecho "Abogado Ponciano Arriaga Leíja" de la Universidad Autó</w:t>
            </w:r>
            <w:r w:rsidR="00C26836">
              <w:rPr>
                <w:rFonts w:ascii="Literata 18pt Light" w:hAnsi="Literata 18pt Light"/>
                <w:color w:val="3B3838" w:themeColor="background2" w:themeShade="40"/>
              </w:rPr>
              <w:t>noma de San Luis Potosí, de 1998 a 2002</w:t>
            </w:r>
            <w:r w:rsidRPr="00CF045D">
              <w:rPr>
                <w:rFonts w:ascii="Literata 18pt Light" w:hAnsi="Literata 18pt Light"/>
                <w:color w:val="3B3838" w:themeColor="background2" w:themeShade="40"/>
              </w:rPr>
              <w:t xml:space="preserve">. </w:t>
            </w:r>
          </w:p>
          <w:p w:rsidR="00B91872" w:rsidRPr="00CF045D" w:rsidRDefault="00B91872" w:rsidP="00B91872">
            <w:pPr>
              <w:ind w:left="24" w:firstLine="0"/>
              <w:jc w:val="both"/>
              <w:rPr>
                <w:rFonts w:ascii="Literata 18pt Light" w:hAnsi="Literata 18pt Light"/>
              </w:rPr>
            </w:pPr>
            <w:r w:rsidRPr="00CF045D">
              <w:rPr>
                <w:rFonts w:ascii="Literata 18pt Light" w:hAnsi="Literata 18pt Light"/>
              </w:rPr>
              <w:t xml:space="preserve"> </w:t>
            </w:r>
          </w:p>
          <w:p w:rsidR="004877D8" w:rsidRPr="00AA1047" w:rsidRDefault="004877D8" w:rsidP="00B91872">
            <w:pPr>
              <w:ind w:left="0" w:firstLine="0"/>
              <w:jc w:val="both"/>
              <w:rPr>
                <w:rFonts w:ascii="Literata 18pt Light" w:hAnsi="Literata 18pt Light"/>
                <w:color w:val="3B3838" w:themeColor="background2" w:themeShade="40"/>
              </w:rPr>
            </w:pPr>
          </w:p>
          <w:p w:rsidR="004877D8" w:rsidRPr="004A72CF" w:rsidRDefault="004877D8" w:rsidP="00B91872">
            <w:pPr>
              <w:ind w:left="0" w:firstLine="0"/>
              <w:jc w:val="both"/>
              <w:rPr>
                <w:rFonts w:ascii="Literata 18pt Light" w:hAnsi="Literata 18pt Light"/>
                <w:color w:val="404040" w:themeColor="text1" w:themeTint="BF"/>
              </w:rPr>
            </w:pPr>
          </w:p>
          <w:p w:rsidR="00294985" w:rsidRPr="004A72CF" w:rsidRDefault="00294985" w:rsidP="005F0A24">
            <w:pPr>
              <w:ind w:left="0" w:firstLine="0"/>
              <w:rPr>
                <w:rFonts w:ascii="Literata 18pt Light" w:hAnsi="Literata 18pt Light"/>
                <w:color w:val="404040" w:themeColor="text1" w:themeTint="BF"/>
              </w:rPr>
            </w:pPr>
          </w:p>
        </w:tc>
        <w:tc>
          <w:tcPr>
            <w:tcW w:w="280" w:type="dxa"/>
            <w:tcBorders>
              <w:top w:val="nil"/>
              <w:left w:val="nil"/>
              <w:bottom w:val="nil"/>
              <w:right w:val="single" w:sz="4" w:space="0" w:color="auto"/>
            </w:tcBorders>
          </w:tcPr>
          <w:p w:rsidR="004877D8" w:rsidRPr="004A72CF" w:rsidRDefault="004877D8" w:rsidP="00F279A9">
            <w:pPr>
              <w:ind w:left="0" w:firstLine="0"/>
              <w:rPr>
                <w:rFonts w:ascii="Literata 18pt Light" w:hAnsi="Literata 18pt Light"/>
                <w:color w:val="404040" w:themeColor="text1" w:themeTint="BF"/>
              </w:rPr>
            </w:pPr>
          </w:p>
        </w:tc>
        <w:tc>
          <w:tcPr>
            <w:tcW w:w="3456" w:type="dxa"/>
            <w:tcBorders>
              <w:top w:val="nil"/>
              <w:left w:val="single" w:sz="4" w:space="0" w:color="auto"/>
              <w:bottom w:val="nil"/>
              <w:right w:val="nil"/>
            </w:tcBorders>
          </w:tcPr>
          <w:p w:rsidR="00B76428" w:rsidRPr="00B76428" w:rsidRDefault="00C26836" w:rsidP="00B76428">
            <w:pPr>
              <w:ind w:left="5" w:firstLine="0"/>
              <w:jc w:val="both"/>
              <w:rPr>
                <w:rFonts w:ascii="Literata 18pt Light" w:hAnsi="Literata 18pt Light"/>
                <w:color w:val="3B3838" w:themeColor="background2" w:themeShade="40"/>
              </w:rPr>
            </w:pPr>
            <w:r>
              <w:rPr>
                <w:rFonts w:ascii="Literata 18pt Light" w:hAnsi="Literata 18pt Light"/>
                <w:color w:val="3B3838" w:themeColor="background2" w:themeShade="40"/>
              </w:rPr>
              <w:t>Secretario escribiente de Base – con funciones de Auxiliar jurídico de Ministerio Publico, de Marzo de 1998 al mes de Agosto del 2007</w:t>
            </w:r>
            <w:r w:rsidR="00473D47">
              <w:rPr>
                <w:rFonts w:ascii="Literata 18pt Light" w:hAnsi="Literata 18pt Light"/>
                <w:color w:val="3B3838" w:themeColor="background2" w:themeShade="40"/>
              </w:rPr>
              <w:t xml:space="preserve"> en la </w:t>
            </w:r>
            <w:r w:rsidR="00406092">
              <w:rPr>
                <w:rFonts w:ascii="Literata 18pt Light" w:hAnsi="Literata 18pt Light"/>
                <w:color w:val="3B3838" w:themeColor="background2" w:themeShade="40"/>
              </w:rPr>
              <w:t>Procuraduría General de Justicia del Estado.</w:t>
            </w:r>
          </w:p>
          <w:p w:rsidR="00B76428" w:rsidRPr="00B76428" w:rsidRDefault="00B76428" w:rsidP="00B76428">
            <w:pPr>
              <w:ind w:left="5" w:firstLine="0"/>
              <w:jc w:val="both"/>
              <w:rPr>
                <w:rFonts w:ascii="Literata 18pt Light" w:hAnsi="Literata 18pt Light"/>
                <w:color w:val="3B3838" w:themeColor="background2" w:themeShade="40"/>
              </w:rPr>
            </w:pPr>
            <w:r w:rsidRPr="00B76428">
              <w:rPr>
                <w:rFonts w:ascii="Literata 18pt Light" w:hAnsi="Literata 18pt Light"/>
                <w:color w:val="3B3838" w:themeColor="background2" w:themeShade="40"/>
              </w:rPr>
              <w:t xml:space="preserve"> </w:t>
            </w:r>
          </w:p>
          <w:p w:rsidR="00B76428" w:rsidRDefault="00406092" w:rsidP="00B76428">
            <w:pPr>
              <w:ind w:left="5" w:firstLine="0"/>
              <w:jc w:val="both"/>
              <w:rPr>
                <w:rFonts w:ascii="Literata 18pt Light" w:hAnsi="Literata 18pt Light"/>
                <w:color w:val="3B3838" w:themeColor="background2" w:themeShade="40"/>
              </w:rPr>
            </w:pPr>
            <w:r>
              <w:rPr>
                <w:rFonts w:ascii="Literata 18pt Light" w:hAnsi="Literata 18pt Light"/>
                <w:color w:val="3B3838" w:themeColor="background2" w:themeShade="40"/>
              </w:rPr>
              <w:t>Agente del Ministerio Público del Fuero Común Investigador, de Agosto del 2007 al mes de Diciembre del año 2014 de la Procuraduría General de Justicia del Estado, con sede en mesas de Transito, Detenidos, Robo de Vehículos, Investigaciones Especiales, módulos de Abastos, saucito, villa de Pozos</w:t>
            </w:r>
            <w:r w:rsidR="00B76428" w:rsidRPr="00B76428">
              <w:rPr>
                <w:rFonts w:ascii="Literata 18pt Light" w:hAnsi="Literata 18pt Light"/>
                <w:color w:val="3B3838" w:themeColor="background2" w:themeShade="40"/>
              </w:rPr>
              <w:t>.</w:t>
            </w:r>
          </w:p>
          <w:p w:rsidR="00406092" w:rsidRDefault="00406092" w:rsidP="00B76428">
            <w:pPr>
              <w:ind w:left="5" w:firstLine="0"/>
              <w:jc w:val="both"/>
              <w:rPr>
                <w:rFonts w:ascii="Literata 18pt Light" w:hAnsi="Literata 18pt Light"/>
                <w:color w:val="3B3838" w:themeColor="background2" w:themeShade="40"/>
              </w:rPr>
            </w:pPr>
          </w:p>
          <w:p w:rsidR="00406092" w:rsidRPr="00B76428" w:rsidRDefault="00406092" w:rsidP="00B76428">
            <w:pPr>
              <w:ind w:left="5" w:firstLine="0"/>
              <w:jc w:val="both"/>
              <w:rPr>
                <w:rFonts w:ascii="Literata 18pt Light" w:hAnsi="Literata 18pt Light"/>
                <w:color w:val="3B3838" w:themeColor="background2" w:themeShade="40"/>
              </w:rPr>
            </w:pPr>
            <w:r>
              <w:rPr>
                <w:rFonts w:ascii="Literata 18pt Light" w:hAnsi="Literata 18pt Light"/>
                <w:color w:val="3B3838" w:themeColor="background2" w:themeShade="40"/>
              </w:rPr>
              <w:t>Agente del Ministerio Publico Litigador del Nuevo Sistema de Justicia Penal Acusatorio, de diciembre del 2014 al mes de junio del año 2016, de la Procuraduría General de Justicia del Estado con sede en Ríoverde S.L.P.</w:t>
            </w:r>
          </w:p>
          <w:p w:rsidR="00B76428" w:rsidRPr="00B76428" w:rsidRDefault="00B76428" w:rsidP="00B76428">
            <w:pPr>
              <w:ind w:left="0" w:firstLine="0"/>
              <w:rPr>
                <w:rFonts w:ascii="Literata 18pt Light" w:hAnsi="Literata 18pt Light"/>
                <w:color w:val="3B3838" w:themeColor="background2" w:themeShade="40"/>
              </w:rPr>
            </w:pPr>
          </w:p>
          <w:p w:rsidR="009E2A08" w:rsidRPr="00B76428" w:rsidRDefault="00406092" w:rsidP="009E2A08">
            <w:pPr>
              <w:ind w:left="5" w:firstLine="0"/>
              <w:jc w:val="both"/>
              <w:rPr>
                <w:rFonts w:ascii="Literata 18pt Light" w:hAnsi="Literata 18pt Light"/>
                <w:color w:val="3B3838" w:themeColor="background2" w:themeShade="40"/>
              </w:rPr>
            </w:pPr>
            <w:r>
              <w:rPr>
                <w:rFonts w:ascii="Literata 18pt Light" w:hAnsi="Literata 18pt Light"/>
                <w:color w:val="3B3838" w:themeColor="background2" w:themeShade="40"/>
              </w:rPr>
              <w:lastRenderedPageBreak/>
              <w:t>Defensor Público en el Nuevo Sistema de Justicia Penal, del mes de junio del 2016 al mes de Septiembre del año 2021, de la Coordinación General de la Defensoría Publica y de Oficio del Estado.</w:t>
            </w:r>
          </w:p>
          <w:p w:rsidR="009E2A08" w:rsidRPr="00B76428" w:rsidRDefault="009E2A08" w:rsidP="00F279A9">
            <w:pPr>
              <w:spacing w:after="0"/>
              <w:ind w:left="5"/>
              <w:jc w:val="both"/>
              <w:rPr>
                <w:rFonts w:ascii="Literata 18pt Light" w:hAnsi="Literata 18pt Light"/>
                <w:color w:val="3B3838" w:themeColor="background2" w:themeShade="40"/>
              </w:rPr>
            </w:pPr>
          </w:p>
        </w:tc>
        <w:tc>
          <w:tcPr>
            <w:tcW w:w="240" w:type="dxa"/>
            <w:tcBorders>
              <w:top w:val="nil"/>
              <w:left w:val="nil"/>
              <w:bottom w:val="nil"/>
              <w:right w:val="single" w:sz="4" w:space="0" w:color="auto"/>
            </w:tcBorders>
          </w:tcPr>
          <w:p w:rsidR="004877D8" w:rsidRPr="004A72CF" w:rsidRDefault="004877D8" w:rsidP="00F279A9">
            <w:pPr>
              <w:ind w:left="0" w:firstLine="0"/>
              <w:rPr>
                <w:rFonts w:ascii="Literata 18pt Light" w:hAnsi="Literata 18pt Light"/>
                <w:color w:val="404040" w:themeColor="text1" w:themeTint="BF"/>
              </w:rPr>
            </w:pPr>
          </w:p>
        </w:tc>
        <w:tc>
          <w:tcPr>
            <w:tcW w:w="3378" w:type="dxa"/>
            <w:tcBorders>
              <w:top w:val="nil"/>
              <w:left w:val="single" w:sz="4" w:space="0" w:color="auto"/>
              <w:bottom w:val="nil"/>
              <w:right w:val="nil"/>
            </w:tcBorders>
          </w:tcPr>
          <w:p w:rsidR="00B76428" w:rsidRDefault="00406092"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Diplomado “El nuevo proceso penal acusatorio”</w:t>
            </w:r>
            <w:r w:rsidR="00BF6868">
              <w:rPr>
                <w:rFonts w:ascii="Literata 18pt Light" w:hAnsi="Literata 18pt Light" w:cstheme="majorHAnsi"/>
                <w:color w:val="3B3838" w:themeColor="background2" w:themeShade="40"/>
              </w:rPr>
              <w:t xml:space="preserve"> llevada a cabo</w:t>
            </w:r>
            <w:r>
              <w:rPr>
                <w:rFonts w:ascii="Literata 18pt Light" w:hAnsi="Literata 18pt Light" w:cstheme="majorHAnsi"/>
                <w:color w:val="3B3838" w:themeColor="background2" w:themeShade="40"/>
              </w:rPr>
              <w:t xml:space="preserve"> del 6 de octubre al 17 de diciembre del 2011, impartido por la Universidad Autónoma de San Luis Potosí.</w:t>
            </w:r>
          </w:p>
          <w:p w:rsidR="00BF6868" w:rsidRDefault="00BF6868" w:rsidP="00B76428">
            <w:pPr>
              <w:jc w:val="both"/>
              <w:rPr>
                <w:rFonts w:ascii="Literata 18pt Light" w:hAnsi="Literata 18pt Light" w:cstheme="majorHAnsi"/>
                <w:color w:val="3B3838" w:themeColor="background2" w:themeShade="40"/>
              </w:rPr>
            </w:pPr>
          </w:p>
          <w:p w:rsidR="00BF6868" w:rsidRDefault="00BF6868"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Curso “Lógica y Argumentación jurídica”, llevada a cabo del 25 al 30 de mayo del año 2015, impartida por la Procuraduría General de Justicia del Estado.</w:t>
            </w:r>
          </w:p>
          <w:p w:rsidR="00BF6868" w:rsidRDefault="00BF6868" w:rsidP="00B76428">
            <w:pPr>
              <w:jc w:val="both"/>
              <w:rPr>
                <w:rFonts w:ascii="Literata 18pt Light" w:hAnsi="Literata 18pt Light" w:cstheme="majorHAnsi"/>
                <w:color w:val="3B3838" w:themeColor="background2" w:themeShade="40"/>
              </w:rPr>
            </w:pPr>
          </w:p>
          <w:p w:rsidR="00BF6868" w:rsidRDefault="00BF6868"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Curso “Programa de capacitación en justicia para Adolescentes”, llevado a cabo los días 6, 7, 13, 14, 20, 21, 27 y 28 de noviembre del año 2015, impartido por el Instituto de estudios judiciales del Poder Judicial del Estado.</w:t>
            </w:r>
          </w:p>
          <w:p w:rsidR="00BF6868" w:rsidRDefault="00BF6868" w:rsidP="00B76428">
            <w:pPr>
              <w:jc w:val="both"/>
              <w:rPr>
                <w:rFonts w:ascii="Literata 18pt Light" w:hAnsi="Literata 18pt Light" w:cstheme="majorHAnsi"/>
                <w:color w:val="3B3838" w:themeColor="background2" w:themeShade="40"/>
              </w:rPr>
            </w:pPr>
          </w:p>
          <w:p w:rsidR="00BF6868" w:rsidRDefault="00BF6868"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 xml:space="preserve">Curso “Técnicas de Litigación oral” llevado a cabo del 7 al 12 de </w:t>
            </w:r>
            <w:r w:rsidR="006E10F3">
              <w:rPr>
                <w:rFonts w:ascii="Literata 18pt Light" w:hAnsi="Literata 18pt Light" w:cstheme="majorHAnsi"/>
                <w:color w:val="3B3838" w:themeColor="background2" w:themeShade="40"/>
              </w:rPr>
              <w:t>diciembre</w:t>
            </w:r>
            <w:r>
              <w:rPr>
                <w:rFonts w:ascii="Literata 18pt Light" w:hAnsi="Literata 18pt Light" w:cstheme="majorHAnsi"/>
                <w:color w:val="3B3838" w:themeColor="background2" w:themeShade="40"/>
              </w:rPr>
              <w:t xml:space="preserve"> del año 2015 por la Mtra. Carla Pratt Corzo, impartido en el Instituto de </w:t>
            </w:r>
            <w:r>
              <w:rPr>
                <w:rFonts w:ascii="Literata 18pt Light" w:hAnsi="Literata 18pt Light" w:cstheme="majorHAnsi"/>
                <w:color w:val="3B3838" w:themeColor="background2" w:themeShade="40"/>
              </w:rPr>
              <w:lastRenderedPageBreak/>
              <w:t>Estudios Judiciales del Poder Judicial del Estado.</w:t>
            </w:r>
          </w:p>
          <w:p w:rsidR="00BF6868" w:rsidRDefault="00BF6868" w:rsidP="00B76428">
            <w:pPr>
              <w:jc w:val="both"/>
              <w:rPr>
                <w:rFonts w:ascii="Literata 18pt Light" w:hAnsi="Literata 18pt Light" w:cstheme="majorHAnsi"/>
                <w:color w:val="3B3838" w:themeColor="background2" w:themeShade="40"/>
              </w:rPr>
            </w:pPr>
          </w:p>
          <w:p w:rsidR="00BF6868" w:rsidRDefault="00BF6868"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 xml:space="preserve">Curso “Contenidos de información y datos de prueba que deben </w:t>
            </w:r>
            <w:r w:rsidR="006E10F3">
              <w:rPr>
                <w:rFonts w:ascii="Literata 18pt Light" w:hAnsi="Literata 18pt Light" w:cstheme="majorHAnsi"/>
                <w:color w:val="3B3838" w:themeColor="background2" w:themeShade="40"/>
              </w:rPr>
              <w:t>ser aportados por el Ministerio Publico, en cada una de las fases de las distintas audiencias del nuevo sistema de justicia penal”, llevado a cabo del 11 al 14 de enero del año 2016, impartido por la Procuraduría General de Justicia del Estado.</w:t>
            </w:r>
          </w:p>
          <w:p w:rsidR="00703F42" w:rsidRDefault="00703F42" w:rsidP="00B76428">
            <w:pPr>
              <w:jc w:val="both"/>
              <w:rPr>
                <w:rFonts w:ascii="Literata 18pt Light" w:hAnsi="Literata 18pt Light" w:cstheme="majorHAnsi"/>
                <w:color w:val="3B3838" w:themeColor="background2" w:themeShade="40"/>
              </w:rPr>
            </w:pPr>
          </w:p>
          <w:p w:rsidR="00703F42" w:rsidRDefault="00703F42"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Taller “Mecanismos alternativos de solución de controversias en la investigación como solución alterna”, llevada a cabo del 20 al 25 de junio del 2016, impartida por la Defensoría Publica del Estado.</w:t>
            </w:r>
          </w:p>
          <w:p w:rsidR="00703F42" w:rsidRDefault="00703F42" w:rsidP="00B76428">
            <w:pPr>
              <w:jc w:val="both"/>
              <w:rPr>
                <w:rFonts w:ascii="Literata 18pt Light" w:hAnsi="Literata 18pt Light" w:cstheme="majorHAnsi"/>
                <w:color w:val="3B3838" w:themeColor="background2" w:themeShade="40"/>
              </w:rPr>
            </w:pPr>
          </w:p>
          <w:p w:rsidR="00703F42" w:rsidRDefault="00703F42"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Taller “Ejecución de Sanciones penales y medidas de seguridad en la Defensa Penal”, llevada a cabo del 27 de junio al 02 de julio del 2016, impartida por la Universidad Autónoma de San Luis Potosí.</w:t>
            </w:r>
          </w:p>
          <w:p w:rsidR="006E10F3" w:rsidRDefault="006E10F3" w:rsidP="00B76428">
            <w:pPr>
              <w:jc w:val="both"/>
              <w:rPr>
                <w:rFonts w:ascii="Literata 18pt Light" w:hAnsi="Literata 18pt Light" w:cstheme="majorHAnsi"/>
                <w:color w:val="3B3838" w:themeColor="background2" w:themeShade="40"/>
              </w:rPr>
            </w:pPr>
          </w:p>
          <w:p w:rsidR="006E10F3" w:rsidRDefault="006E10F3" w:rsidP="00B76428">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 xml:space="preserve">Curso “ la finalidad del proceso penal: la solución del conflicto o  su burocratización” llevada a cabo el 14 de julio del año 2017, impartida por el DR SERGIO CUARFEZMA TERAN, Vicerrector General del Instituto de Estudio e </w:t>
            </w:r>
            <w:r w:rsidR="00703F42">
              <w:rPr>
                <w:rFonts w:ascii="Literata 18pt Light" w:hAnsi="Literata 18pt Light" w:cstheme="majorHAnsi"/>
                <w:color w:val="3B3838" w:themeColor="background2" w:themeShade="40"/>
              </w:rPr>
              <w:t>Investigación</w:t>
            </w:r>
            <w:r>
              <w:rPr>
                <w:rFonts w:ascii="Literata 18pt Light" w:hAnsi="Literata 18pt Light" w:cstheme="majorHAnsi"/>
                <w:color w:val="3B3838" w:themeColor="background2" w:themeShade="40"/>
              </w:rPr>
              <w:t xml:space="preserve"> </w:t>
            </w:r>
            <w:r w:rsidR="00703F42">
              <w:rPr>
                <w:rFonts w:ascii="Literata 18pt Light" w:hAnsi="Literata 18pt Light" w:cstheme="majorHAnsi"/>
                <w:color w:val="3B3838" w:themeColor="background2" w:themeShade="40"/>
              </w:rPr>
              <w:t>Jurídica</w:t>
            </w:r>
            <w:r>
              <w:rPr>
                <w:rFonts w:ascii="Literata 18pt Light" w:hAnsi="Literata 18pt Light" w:cstheme="majorHAnsi"/>
                <w:color w:val="3B3838" w:themeColor="background2" w:themeShade="40"/>
              </w:rPr>
              <w:t xml:space="preserve"> de Nicaragua INEI.</w:t>
            </w:r>
          </w:p>
          <w:p w:rsidR="006E10F3" w:rsidRDefault="006E10F3" w:rsidP="00B76428">
            <w:pPr>
              <w:jc w:val="both"/>
              <w:rPr>
                <w:rFonts w:ascii="Literata 18pt Light" w:hAnsi="Literata 18pt Light" w:cstheme="majorHAnsi"/>
                <w:color w:val="3B3838" w:themeColor="background2" w:themeShade="40"/>
              </w:rPr>
            </w:pPr>
          </w:p>
          <w:p w:rsidR="00703F42" w:rsidRDefault="006E10F3" w:rsidP="00703F42">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Taller “</w:t>
            </w:r>
            <w:r w:rsidR="00703F42">
              <w:rPr>
                <w:rFonts w:ascii="Literata 18pt Light" w:hAnsi="Literata 18pt Light" w:cstheme="majorHAnsi"/>
                <w:color w:val="3B3838" w:themeColor="background2" w:themeShade="40"/>
              </w:rPr>
              <w:t>Teoría</w:t>
            </w:r>
            <w:r>
              <w:rPr>
                <w:rFonts w:ascii="Literata 18pt Light" w:hAnsi="Literata 18pt Light" w:cstheme="majorHAnsi"/>
                <w:color w:val="3B3838" w:themeColor="background2" w:themeShade="40"/>
              </w:rPr>
              <w:t xml:space="preserve"> del Delito y Herramientas de </w:t>
            </w:r>
            <w:r w:rsidR="00703F42">
              <w:rPr>
                <w:rFonts w:ascii="Literata 18pt Light" w:hAnsi="Literata 18pt Light" w:cstheme="majorHAnsi"/>
                <w:color w:val="3B3838" w:themeColor="background2" w:themeShade="40"/>
              </w:rPr>
              <w:t>Litigación” llevada a cabo el 14 de julio del 2017, impartida por el DR SERGIO CUARFEZMA TERAN, Vicerrector General del Instituto de Estudio e Investigación Jurídica de Nicaragua INEI.</w:t>
            </w:r>
          </w:p>
          <w:p w:rsidR="00703F42" w:rsidRDefault="00703F42" w:rsidP="00703F42">
            <w:pPr>
              <w:jc w:val="both"/>
              <w:rPr>
                <w:rFonts w:ascii="Literata 18pt Light" w:hAnsi="Literata 18pt Light" w:cstheme="majorHAnsi"/>
                <w:color w:val="3B3838" w:themeColor="background2" w:themeShade="40"/>
              </w:rPr>
            </w:pPr>
          </w:p>
          <w:p w:rsidR="00703F42" w:rsidRDefault="00703F42" w:rsidP="00703F42">
            <w:pPr>
              <w:jc w:val="both"/>
              <w:rPr>
                <w:rFonts w:ascii="Literata 18pt Light" w:hAnsi="Literata 18pt Light" w:cstheme="majorHAnsi"/>
                <w:color w:val="3B3838" w:themeColor="background2" w:themeShade="40"/>
              </w:rPr>
            </w:pPr>
            <w:r>
              <w:rPr>
                <w:rFonts w:ascii="Literata 18pt Light" w:hAnsi="Literata 18pt Light" w:cstheme="majorHAnsi"/>
                <w:color w:val="3B3838" w:themeColor="background2" w:themeShade="40"/>
              </w:rPr>
              <w:t>Taller “AMPARO, DERECHOS HUMANOS Y JUICIOS ORALES EN MATERIA PENAL”, celebrado los días 20, 21 y 22 de octubre del 2017 en Cancún Quintana Roo, impartido por el colegio de Abogados A.C. del Instituto de Amparo y Derecho Penal de Toluca.</w:t>
            </w:r>
          </w:p>
          <w:p w:rsidR="006E10F3" w:rsidRDefault="006E10F3" w:rsidP="00B76428">
            <w:pPr>
              <w:jc w:val="both"/>
              <w:rPr>
                <w:rFonts w:ascii="Literata 18pt Light" w:hAnsi="Literata 18pt Light" w:cstheme="majorHAnsi"/>
                <w:color w:val="3B3838" w:themeColor="background2" w:themeShade="40"/>
              </w:rPr>
            </w:pPr>
          </w:p>
          <w:p w:rsidR="006E10F3" w:rsidRDefault="006E10F3" w:rsidP="00B76428">
            <w:pPr>
              <w:jc w:val="both"/>
              <w:rPr>
                <w:rFonts w:ascii="Literata 18pt Light" w:hAnsi="Literata 18pt Light" w:cstheme="majorHAnsi"/>
                <w:color w:val="3B3838" w:themeColor="background2" w:themeShade="40"/>
              </w:rPr>
            </w:pPr>
          </w:p>
          <w:p w:rsidR="006E10F3" w:rsidRPr="005A001E" w:rsidRDefault="006E10F3" w:rsidP="00B76428">
            <w:pPr>
              <w:jc w:val="both"/>
              <w:rPr>
                <w:rFonts w:ascii="Literata 18pt Light" w:hAnsi="Literata 18pt Light" w:cstheme="majorHAnsi"/>
                <w:color w:val="3B3838" w:themeColor="background2" w:themeShade="40"/>
              </w:rPr>
            </w:pPr>
          </w:p>
          <w:p w:rsidR="00B76428" w:rsidRPr="00D54F6E" w:rsidRDefault="00B76428" w:rsidP="00B76428">
            <w:pPr>
              <w:jc w:val="both"/>
            </w:pPr>
          </w:p>
          <w:p w:rsidR="006C1D71" w:rsidRPr="004A72CF" w:rsidRDefault="006C1D71" w:rsidP="00F279A9">
            <w:pPr>
              <w:ind w:left="0" w:firstLine="0"/>
              <w:jc w:val="both"/>
              <w:rPr>
                <w:rFonts w:ascii="Literata 18pt Light" w:hAnsi="Literata 18pt Light"/>
                <w:color w:val="404040" w:themeColor="text1" w:themeTint="BF"/>
              </w:rPr>
            </w:pPr>
          </w:p>
        </w:tc>
      </w:tr>
    </w:tbl>
    <w:p w:rsidR="00A9552B" w:rsidRPr="006B0CBB" w:rsidRDefault="00A9552B" w:rsidP="00A9552B">
      <w:pPr>
        <w:ind w:left="0" w:firstLine="0"/>
      </w:pPr>
    </w:p>
    <w:sectPr w:rsidR="00A9552B" w:rsidRPr="006B0CBB" w:rsidSect="006B0CBB">
      <w:headerReference w:type="default" r:id="rId8"/>
      <w:footerReference w:type="default" r:id="rId9"/>
      <w:pgSz w:w="12240" w:h="15840" w:code="1"/>
      <w:pgMar w:top="1985" w:right="825" w:bottom="709" w:left="720" w:header="142"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4653" w:rsidRDefault="004F4653" w:rsidP="00B809E0">
      <w:pPr>
        <w:spacing w:after="0"/>
      </w:pPr>
      <w:r>
        <w:separator/>
      </w:r>
    </w:p>
  </w:endnote>
  <w:endnote w:type="continuationSeparator" w:id="0">
    <w:p w:rsidR="004F4653" w:rsidRDefault="004F4653" w:rsidP="00B809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terata 18pt SemiBold">
    <w:altName w:val="Times New Roman"/>
    <w:panose1 w:val="00000000000000000000"/>
    <w:charset w:val="00"/>
    <w:family w:val="auto"/>
    <w:pitch w:val="variable"/>
    <w:sig w:usb0="E00002FF" w:usb1="5000207B" w:usb2="00000000" w:usb3="00000000" w:csb0="0000019F" w:csb1="00000000"/>
  </w:font>
  <w:font w:name="Literata 18pt">
    <w:panose1 w:val="00000000000000000000"/>
    <w:charset w:val="00"/>
    <w:family w:val="auto"/>
    <w:pitch w:val="variable"/>
    <w:sig w:usb0="E00002FF" w:usb1="5000207B"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Literata 18pt Light">
    <w:altName w:val="Times New Roman"/>
    <w:panose1 w:val="00000000000000000000"/>
    <w:charset w:val="00"/>
    <w:family w:val="auto"/>
    <w:pitch w:val="variable"/>
    <w:sig w:usb0="E00002FF" w:usb1="5000207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9A9" w:rsidRDefault="00F279A9" w:rsidP="00B809E0">
    <w:pPr>
      <w:pStyle w:val="Piedepgina"/>
      <w:jc w:val="both"/>
      <w:rPr>
        <w:rFonts w:eastAsia="Times New Roman"/>
        <w:i/>
        <w:color w:val="FFFFFF" w:themeColor="background1"/>
        <w:sz w:val="16"/>
        <w:szCs w:val="16"/>
        <w:highlight w:val="black"/>
      </w:rPr>
    </w:pPr>
    <w:r>
      <w:rPr>
        <w:i/>
        <w:noProof/>
      </w:rPr>
      <w:drawing>
        <wp:inline distT="0" distB="0" distL="0" distR="0" wp14:anchorId="72485E21" wp14:editId="5D5007C8">
          <wp:extent cx="6734175" cy="150495"/>
          <wp:effectExtent l="0" t="0" r="9525"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inea horizont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35760" cy="150530"/>
                  </a:xfrm>
                  <a:prstGeom prst="rect">
                    <a:avLst/>
                  </a:prstGeom>
                </pic:spPr>
              </pic:pic>
            </a:graphicData>
          </a:graphic>
        </wp:inline>
      </w:drawing>
    </w:r>
  </w:p>
  <w:p w:rsidR="00B809E0" w:rsidRPr="00F279A9" w:rsidRDefault="00B809E0" w:rsidP="006C1D71">
    <w:pPr>
      <w:pStyle w:val="Piedepgina"/>
      <w:shd w:val="clear" w:color="auto" w:fill="006600"/>
      <w:jc w:val="both"/>
      <w:rPr>
        <w:rFonts w:ascii="Literata 18pt" w:hAnsi="Literata 18pt"/>
        <w:i/>
      </w:rPr>
    </w:pPr>
    <w:r w:rsidRPr="006C1D71">
      <w:rPr>
        <w:rFonts w:ascii="Literata 18pt" w:eastAsia="Times New Roman" w:hAnsi="Literata 18pt"/>
        <w:i/>
        <w:color w:val="FFFFFF" w:themeColor="background1"/>
        <w:sz w:val="16"/>
        <w:szCs w:val="16"/>
      </w:rPr>
      <w:t>Ley de Transparencia y Acceso a la Información Pública del Estado de San Luis Potosí, aprobada el 04 de mayo de 2016. Última reforma public</w:t>
    </w:r>
    <w:r w:rsidR="002B7D2B">
      <w:rPr>
        <w:rFonts w:ascii="Literata 18pt" w:eastAsia="Times New Roman" w:hAnsi="Literata 18pt"/>
        <w:i/>
        <w:color w:val="FFFFFF" w:themeColor="background1"/>
        <w:sz w:val="16"/>
        <w:szCs w:val="16"/>
      </w:rPr>
      <w:t>ada en el Periódico Oficial el 0</w:t>
    </w:r>
    <w:r w:rsidRPr="006C1D71">
      <w:rPr>
        <w:rFonts w:ascii="Literata 18pt" w:eastAsia="Times New Roman" w:hAnsi="Literata 18pt"/>
        <w:i/>
        <w:color w:val="FFFFFF" w:themeColor="background1"/>
        <w:sz w:val="16"/>
        <w:szCs w:val="16"/>
      </w:rPr>
      <w:t xml:space="preserve">5 de </w:t>
    </w:r>
    <w:r w:rsidR="002B7D2B">
      <w:rPr>
        <w:rFonts w:ascii="Literata 18pt" w:eastAsia="Times New Roman" w:hAnsi="Literata 18pt"/>
        <w:i/>
        <w:color w:val="FFFFFF" w:themeColor="background1"/>
        <w:sz w:val="16"/>
        <w:szCs w:val="16"/>
      </w:rPr>
      <w:t>junio</w:t>
    </w:r>
    <w:r w:rsidRPr="006C1D71">
      <w:rPr>
        <w:rFonts w:ascii="Literata 18pt" w:eastAsia="Times New Roman" w:hAnsi="Literata 18pt"/>
        <w:i/>
        <w:color w:val="FFFFFF" w:themeColor="background1"/>
        <w:sz w:val="16"/>
        <w:szCs w:val="16"/>
      </w:rPr>
      <w:t xml:space="preserve"> de 20</w:t>
    </w:r>
    <w:r w:rsidR="00B422AB" w:rsidRPr="006C1D71">
      <w:rPr>
        <w:rFonts w:ascii="Literata 18pt" w:eastAsia="Times New Roman" w:hAnsi="Literata 18pt"/>
        <w:i/>
        <w:color w:val="FFFFFF" w:themeColor="background1"/>
        <w:sz w:val="16"/>
        <w:szCs w:val="16"/>
      </w:rPr>
      <w:t>2</w:t>
    </w:r>
    <w:r w:rsidR="002B7D2B">
      <w:rPr>
        <w:rFonts w:ascii="Literata 18pt" w:eastAsia="Times New Roman" w:hAnsi="Literata 18pt"/>
        <w:i/>
        <w:color w:val="FFFFFF" w:themeColor="background1"/>
        <w:sz w:val="16"/>
        <w:szCs w:val="16"/>
      </w:rPr>
      <w:t>1</w:t>
    </w:r>
    <w:r w:rsidRPr="006C1D71">
      <w:rPr>
        <w:rFonts w:ascii="Literata 18pt" w:eastAsia="Times New Roman" w:hAnsi="Literata 18pt"/>
        <w:i/>
        <w:color w:val="FFFFFF" w:themeColor="background1"/>
        <w:sz w:val="16"/>
        <w:szCs w:val="16"/>
      </w:rPr>
      <w:t>.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XXII. La información curricular, desde el nivel de jefe de departamento o equivalente, hasta el titular del sujeto obligado; así como, en su caso, las sanciones administrativas de que haya sido objeto.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4653" w:rsidRDefault="004F4653" w:rsidP="00B809E0">
      <w:pPr>
        <w:spacing w:after="0"/>
      </w:pPr>
      <w:r>
        <w:separator/>
      </w:r>
    </w:p>
  </w:footnote>
  <w:footnote w:type="continuationSeparator" w:id="0">
    <w:p w:rsidR="004F4653" w:rsidRDefault="004F4653" w:rsidP="00B809E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51D" w:rsidRDefault="0056151D">
    <w:pPr>
      <w:pStyle w:val="Encabezado"/>
    </w:pPr>
  </w:p>
  <w:p w:rsidR="00F279A9" w:rsidRDefault="00F279A9">
    <w:pPr>
      <w:pStyle w:val="Encabezado"/>
    </w:pPr>
  </w:p>
  <w:p w:rsidR="00F279A9" w:rsidRDefault="00F279A9">
    <w:pPr>
      <w:pStyle w:val="Encabezado"/>
    </w:pPr>
    <w:r>
      <w:rPr>
        <w:noProof/>
      </w:rPr>
      <w:drawing>
        <wp:inline distT="0" distB="0" distL="0" distR="0" wp14:anchorId="3D4C889C" wp14:editId="3C21AD3A">
          <wp:extent cx="4081280" cy="810770"/>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ondo blanc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81280" cy="81077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81155C"/>
    <w:multiLevelType w:val="hybridMultilevel"/>
    <w:tmpl w:val="BD1086DE"/>
    <w:lvl w:ilvl="0" w:tplc="D7E2BB02">
      <w:numFmt w:val="bullet"/>
      <w:lvlText w:val="-"/>
      <w:lvlJc w:val="left"/>
      <w:pPr>
        <w:ind w:left="915" w:hanging="360"/>
      </w:pPr>
      <w:rPr>
        <w:rFonts w:ascii="Calibri" w:eastAsia="Calibri" w:hAnsi="Calibri" w:cs="Calibri" w:hint="default"/>
      </w:rPr>
    </w:lvl>
    <w:lvl w:ilvl="1" w:tplc="080A0003">
      <w:start w:val="1"/>
      <w:numFmt w:val="bullet"/>
      <w:lvlText w:val="o"/>
      <w:lvlJc w:val="left"/>
      <w:pPr>
        <w:ind w:left="1635" w:hanging="360"/>
      </w:pPr>
      <w:rPr>
        <w:rFonts w:ascii="Courier New" w:hAnsi="Courier New" w:cs="Courier New" w:hint="default"/>
      </w:rPr>
    </w:lvl>
    <w:lvl w:ilvl="2" w:tplc="080A0005" w:tentative="1">
      <w:start w:val="1"/>
      <w:numFmt w:val="bullet"/>
      <w:lvlText w:val=""/>
      <w:lvlJc w:val="left"/>
      <w:pPr>
        <w:ind w:left="2355" w:hanging="360"/>
      </w:pPr>
      <w:rPr>
        <w:rFonts w:ascii="Wingdings" w:hAnsi="Wingdings" w:hint="default"/>
      </w:rPr>
    </w:lvl>
    <w:lvl w:ilvl="3" w:tplc="080A0001" w:tentative="1">
      <w:start w:val="1"/>
      <w:numFmt w:val="bullet"/>
      <w:lvlText w:val=""/>
      <w:lvlJc w:val="left"/>
      <w:pPr>
        <w:ind w:left="3075" w:hanging="360"/>
      </w:pPr>
      <w:rPr>
        <w:rFonts w:ascii="Symbol" w:hAnsi="Symbol" w:hint="default"/>
      </w:rPr>
    </w:lvl>
    <w:lvl w:ilvl="4" w:tplc="080A0003" w:tentative="1">
      <w:start w:val="1"/>
      <w:numFmt w:val="bullet"/>
      <w:lvlText w:val="o"/>
      <w:lvlJc w:val="left"/>
      <w:pPr>
        <w:ind w:left="3795" w:hanging="360"/>
      </w:pPr>
      <w:rPr>
        <w:rFonts w:ascii="Courier New" w:hAnsi="Courier New" w:cs="Courier New" w:hint="default"/>
      </w:rPr>
    </w:lvl>
    <w:lvl w:ilvl="5" w:tplc="080A0005" w:tentative="1">
      <w:start w:val="1"/>
      <w:numFmt w:val="bullet"/>
      <w:lvlText w:val=""/>
      <w:lvlJc w:val="left"/>
      <w:pPr>
        <w:ind w:left="4515" w:hanging="360"/>
      </w:pPr>
      <w:rPr>
        <w:rFonts w:ascii="Wingdings" w:hAnsi="Wingdings" w:hint="default"/>
      </w:rPr>
    </w:lvl>
    <w:lvl w:ilvl="6" w:tplc="080A0001" w:tentative="1">
      <w:start w:val="1"/>
      <w:numFmt w:val="bullet"/>
      <w:lvlText w:val=""/>
      <w:lvlJc w:val="left"/>
      <w:pPr>
        <w:ind w:left="5235" w:hanging="360"/>
      </w:pPr>
      <w:rPr>
        <w:rFonts w:ascii="Symbol" w:hAnsi="Symbol" w:hint="default"/>
      </w:rPr>
    </w:lvl>
    <w:lvl w:ilvl="7" w:tplc="080A0003" w:tentative="1">
      <w:start w:val="1"/>
      <w:numFmt w:val="bullet"/>
      <w:lvlText w:val="o"/>
      <w:lvlJc w:val="left"/>
      <w:pPr>
        <w:ind w:left="5955" w:hanging="360"/>
      </w:pPr>
      <w:rPr>
        <w:rFonts w:ascii="Courier New" w:hAnsi="Courier New" w:cs="Courier New" w:hint="default"/>
      </w:rPr>
    </w:lvl>
    <w:lvl w:ilvl="8" w:tplc="080A0005" w:tentative="1">
      <w:start w:val="1"/>
      <w:numFmt w:val="bullet"/>
      <w:lvlText w:val=""/>
      <w:lvlJc w:val="left"/>
      <w:pPr>
        <w:ind w:left="667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54E"/>
    <w:rsid w:val="00004530"/>
    <w:rsid w:val="000046B2"/>
    <w:rsid w:val="000801E7"/>
    <w:rsid w:val="000C0326"/>
    <w:rsid w:val="00121D89"/>
    <w:rsid w:val="001267B3"/>
    <w:rsid w:val="00156E33"/>
    <w:rsid w:val="00192B72"/>
    <w:rsid w:val="001978AA"/>
    <w:rsid w:val="00210F4C"/>
    <w:rsid w:val="0021397A"/>
    <w:rsid w:val="00254BC1"/>
    <w:rsid w:val="00264B1B"/>
    <w:rsid w:val="00285C0C"/>
    <w:rsid w:val="00290043"/>
    <w:rsid w:val="00294985"/>
    <w:rsid w:val="00296AA7"/>
    <w:rsid w:val="002B3F29"/>
    <w:rsid w:val="002B7D2B"/>
    <w:rsid w:val="002C5AE1"/>
    <w:rsid w:val="002C7F01"/>
    <w:rsid w:val="00307488"/>
    <w:rsid w:val="003531AE"/>
    <w:rsid w:val="0036015E"/>
    <w:rsid w:val="003607BA"/>
    <w:rsid w:val="0036693C"/>
    <w:rsid w:val="003706A3"/>
    <w:rsid w:val="00390BE5"/>
    <w:rsid w:val="00391FC6"/>
    <w:rsid w:val="003A0631"/>
    <w:rsid w:val="00406092"/>
    <w:rsid w:val="004328E2"/>
    <w:rsid w:val="00462144"/>
    <w:rsid w:val="00473D47"/>
    <w:rsid w:val="004877D8"/>
    <w:rsid w:val="004A72CF"/>
    <w:rsid w:val="004D2565"/>
    <w:rsid w:val="004E5356"/>
    <w:rsid w:val="004F4653"/>
    <w:rsid w:val="00502EC0"/>
    <w:rsid w:val="00514B22"/>
    <w:rsid w:val="005177D2"/>
    <w:rsid w:val="0056151D"/>
    <w:rsid w:val="0057475C"/>
    <w:rsid w:val="005A001E"/>
    <w:rsid w:val="005C570C"/>
    <w:rsid w:val="005E024D"/>
    <w:rsid w:val="005F0A24"/>
    <w:rsid w:val="00605AA0"/>
    <w:rsid w:val="00613E29"/>
    <w:rsid w:val="00613F7E"/>
    <w:rsid w:val="006435AE"/>
    <w:rsid w:val="00646DE5"/>
    <w:rsid w:val="00651381"/>
    <w:rsid w:val="00674BEB"/>
    <w:rsid w:val="006B0CBB"/>
    <w:rsid w:val="006B4CDC"/>
    <w:rsid w:val="006C1D71"/>
    <w:rsid w:val="006C3C8D"/>
    <w:rsid w:val="006C5521"/>
    <w:rsid w:val="006E10F3"/>
    <w:rsid w:val="006E74E1"/>
    <w:rsid w:val="00703F42"/>
    <w:rsid w:val="00714C3D"/>
    <w:rsid w:val="007443CF"/>
    <w:rsid w:val="00760E60"/>
    <w:rsid w:val="00761F0A"/>
    <w:rsid w:val="00781D6A"/>
    <w:rsid w:val="007C111A"/>
    <w:rsid w:val="00877A3F"/>
    <w:rsid w:val="008801ED"/>
    <w:rsid w:val="008C6766"/>
    <w:rsid w:val="00900461"/>
    <w:rsid w:val="009008A3"/>
    <w:rsid w:val="00933E39"/>
    <w:rsid w:val="00941745"/>
    <w:rsid w:val="00941E1D"/>
    <w:rsid w:val="00951906"/>
    <w:rsid w:val="00985148"/>
    <w:rsid w:val="00997E87"/>
    <w:rsid w:val="009A73F2"/>
    <w:rsid w:val="009E2A08"/>
    <w:rsid w:val="00A265BA"/>
    <w:rsid w:val="00A37A56"/>
    <w:rsid w:val="00A713DA"/>
    <w:rsid w:val="00A723C6"/>
    <w:rsid w:val="00A9552B"/>
    <w:rsid w:val="00AA1047"/>
    <w:rsid w:val="00B13DAD"/>
    <w:rsid w:val="00B2036A"/>
    <w:rsid w:val="00B422AB"/>
    <w:rsid w:val="00B76428"/>
    <w:rsid w:val="00B809E0"/>
    <w:rsid w:val="00B857D3"/>
    <w:rsid w:val="00B91872"/>
    <w:rsid w:val="00BE3284"/>
    <w:rsid w:val="00BF6868"/>
    <w:rsid w:val="00C23DC5"/>
    <w:rsid w:val="00C26836"/>
    <w:rsid w:val="00C46794"/>
    <w:rsid w:val="00C4754E"/>
    <w:rsid w:val="00CA5E0B"/>
    <w:rsid w:val="00CC2319"/>
    <w:rsid w:val="00CD4B15"/>
    <w:rsid w:val="00CF045D"/>
    <w:rsid w:val="00D16B13"/>
    <w:rsid w:val="00D3193B"/>
    <w:rsid w:val="00D774F7"/>
    <w:rsid w:val="00DB10E4"/>
    <w:rsid w:val="00DC41F3"/>
    <w:rsid w:val="00DE4872"/>
    <w:rsid w:val="00DE6918"/>
    <w:rsid w:val="00E178DF"/>
    <w:rsid w:val="00EA2171"/>
    <w:rsid w:val="00ED088E"/>
    <w:rsid w:val="00F212D6"/>
    <w:rsid w:val="00F279A9"/>
    <w:rsid w:val="00F83B4C"/>
    <w:rsid w:val="00F93982"/>
    <w:rsid w:val="00FB286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3B377E7-CAA7-4FC4-84C0-4371D67EF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0" w:lineRule="auto"/>
      <w:ind w:left="118" w:hanging="10"/>
    </w:pPr>
    <w:rPr>
      <w:rFonts w:ascii="Calibri" w:eastAsia="Calibri" w:hAnsi="Calibri" w:cs="Calibri"/>
      <w:color w:val="80808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DE4872"/>
    <w:pPr>
      <w:ind w:left="720"/>
      <w:contextualSpacing/>
    </w:pPr>
  </w:style>
  <w:style w:type="table" w:styleId="Tablaconcuadrcula">
    <w:name w:val="Table Grid"/>
    <w:basedOn w:val="Tablanormal"/>
    <w:uiPriority w:val="39"/>
    <w:rsid w:val="00613E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B809E0"/>
    <w:pPr>
      <w:tabs>
        <w:tab w:val="center" w:pos="4419"/>
        <w:tab w:val="right" w:pos="8838"/>
      </w:tabs>
      <w:spacing w:after="0"/>
    </w:pPr>
  </w:style>
  <w:style w:type="character" w:customStyle="1" w:styleId="EncabezadoCar">
    <w:name w:val="Encabezado Car"/>
    <w:basedOn w:val="Fuentedeprrafopredeter"/>
    <w:link w:val="Encabezado"/>
    <w:uiPriority w:val="99"/>
    <w:rsid w:val="00B809E0"/>
    <w:rPr>
      <w:rFonts w:ascii="Calibri" w:eastAsia="Calibri" w:hAnsi="Calibri" w:cs="Calibri"/>
      <w:color w:val="808080"/>
      <w:sz w:val="20"/>
    </w:rPr>
  </w:style>
  <w:style w:type="paragraph" w:styleId="Piedepgina">
    <w:name w:val="footer"/>
    <w:basedOn w:val="Normal"/>
    <w:link w:val="PiedepginaCar"/>
    <w:uiPriority w:val="99"/>
    <w:unhideWhenUsed/>
    <w:rsid w:val="00B809E0"/>
    <w:pPr>
      <w:tabs>
        <w:tab w:val="center" w:pos="4419"/>
        <w:tab w:val="right" w:pos="8838"/>
      </w:tabs>
      <w:spacing w:after="0"/>
    </w:pPr>
  </w:style>
  <w:style w:type="character" w:customStyle="1" w:styleId="PiedepginaCar">
    <w:name w:val="Pie de página Car"/>
    <w:basedOn w:val="Fuentedeprrafopredeter"/>
    <w:link w:val="Piedepgina"/>
    <w:uiPriority w:val="99"/>
    <w:rsid w:val="00B809E0"/>
    <w:rPr>
      <w:rFonts w:ascii="Calibri" w:eastAsia="Calibri" w:hAnsi="Calibri" w:cs="Calibri"/>
      <w:color w:val="80808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95403-4396-4AF0-BC9C-E8B70AA6A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539</Words>
  <Characters>2970</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Cuenta Microsoft</cp:lastModifiedBy>
  <cp:revision>2</cp:revision>
  <dcterms:created xsi:type="dcterms:W3CDTF">2022-02-11T16:04:00Z</dcterms:created>
  <dcterms:modified xsi:type="dcterms:W3CDTF">2022-02-11T16:04:00Z</dcterms:modified>
</cp:coreProperties>
</file>