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A02" w:rsidRDefault="002012E8" w:rsidP="002012E8">
      <w:pPr>
        <w:spacing w:after="0" w:line="276" w:lineRule="auto"/>
        <w:jc w:val="both"/>
        <w:rPr>
          <w:rFonts w:ascii="Arial" w:eastAsia="Calibri" w:hAnsi="Arial" w:cs="Arial"/>
          <w:b/>
          <w:lang w:val="es-MX"/>
        </w:rPr>
      </w:pPr>
      <w:r w:rsidRPr="00FE10DF">
        <w:rPr>
          <w:rFonts w:ascii="Arial" w:eastAsia="Calibri" w:hAnsi="Arial" w:cs="Arial"/>
          <w:b/>
          <w:lang w:val="es-MX"/>
        </w:rPr>
        <w:t>DEMZ-</w:t>
      </w:r>
      <w:r w:rsidR="00604DC7">
        <w:rPr>
          <w:rFonts w:ascii="Arial" w:eastAsia="Calibri" w:hAnsi="Arial" w:cs="Arial"/>
          <w:b/>
          <w:lang w:val="es-MX"/>
        </w:rPr>
        <w:t>1222</w:t>
      </w:r>
      <w:r>
        <w:rPr>
          <w:rFonts w:ascii="Arial" w:eastAsia="Calibri" w:hAnsi="Arial" w:cs="Arial"/>
          <w:b/>
          <w:lang w:val="es-MX"/>
        </w:rPr>
        <w:t xml:space="preserve">/2022. </w:t>
      </w:r>
      <w:r w:rsidR="00604DC7">
        <w:rPr>
          <w:rFonts w:ascii="Arial" w:eastAsia="Calibri" w:hAnsi="Arial" w:cs="Arial"/>
          <w:b/>
          <w:lang w:val="es-MX"/>
        </w:rPr>
        <w:t>TITULAR DEL INSTITUTO MUNICIPAL DE VIVIENDA DE CIUDAD VALLES</w:t>
      </w:r>
    </w:p>
    <w:p w:rsidR="002012E8" w:rsidRDefault="00BD369C" w:rsidP="002012E8">
      <w:pPr>
        <w:spacing w:after="0" w:line="276" w:lineRule="auto"/>
        <w:jc w:val="both"/>
        <w:rPr>
          <w:rFonts w:ascii="Arial" w:eastAsia="Calibri" w:hAnsi="Arial" w:cs="Arial"/>
          <w:b/>
          <w:lang w:val="es-MX"/>
        </w:rPr>
      </w:pPr>
      <w:r w:rsidRPr="00FE10DF">
        <w:rPr>
          <w:rFonts w:ascii="Arial" w:eastAsia="Calibri" w:hAnsi="Arial" w:cs="Arial"/>
          <w:b/>
          <w:lang w:val="es-MX"/>
        </w:rPr>
        <w:t>PRESENTE. -</w:t>
      </w:r>
    </w:p>
    <w:p w:rsidR="00217971" w:rsidRDefault="00217971" w:rsidP="002012E8">
      <w:pPr>
        <w:spacing w:after="0" w:line="276" w:lineRule="auto"/>
        <w:jc w:val="both"/>
        <w:rPr>
          <w:rFonts w:ascii="Arial" w:eastAsia="Calibri" w:hAnsi="Arial" w:cs="Arial"/>
          <w:b/>
          <w:lang w:val="es-MX"/>
        </w:rPr>
      </w:pPr>
    </w:p>
    <w:p w:rsidR="00217971" w:rsidRDefault="00217971" w:rsidP="002012E8">
      <w:pPr>
        <w:spacing w:after="0" w:line="276" w:lineRule="auto"/>
        <w:jc w:val="both"/>
        <w:rPr>
          <w:rFonts w:ascii="Arial" w:eastAsia="Calibri" w:hAnsi="Arial" w:cs="Arial"/>
          <w:b/>
          <w:lang w:val="es-MX"/>
        </w:rPr>
      </w:pPr>
    </w:p>
    <w:p w:rsidR="004B7A02" w:rsidRDefault="00217971" w:rsidP="0021797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604DC7">
        <w:rPr>
          <w:rFonts w:ascii="Arial" w:eastAsia="Calibri" w:hAnsi="Arial" w:cs="Arial"/>
          <w:b/>
          <w:lang w:val="es-MX"/>
        </w:rPr>
        <w:t>1223</w:t>
      </w:r>
      <w:r>
        <w:rPr>
          <w:rFonts w:ascii="Arial" w:eastAsia="Calibri" w:hAnsi="Arial" w:cs="Arial"/>
          <w:b/>
          <w:lang w:val="es-MX"/>
        </w:rPr>
        <w:t xml:space="preserve">/2022. </w:t>
      </w:r>
      <w:r w:rsidR="00604DC7">
        <w:rPr>
          <w:rFonts w:ascii="Arial" w:eastAsia="Calibri" w:hAnsi="Arial" w:cs="Arial"/>
          <w:b/>
          <w:lang w:val="es-MX"/>
        </w:rPr>
        <w:t>TITULAR DE LA UNIDAD DE TRANSPARENCIA DEL INSTITUTO MUNICIPAL DE VIVIENDA DE CIUDAD VALLES.</w:t>
      </w:r>
    </w:p>
    <w:p w:rsidR="00217971" w:rsidRPr="00FE10DF" w:rsidRDefault="00ED2ED7" w:rsidP="00217971">
      <w:pPr>
        <w:spacing w:after="0" w:line="276" w:lineRule="auto"/>
        <w:jc w:val="both"/>
        <w:rPr>
          <w:rFonts w:ascii="Arial" w:eastAsia="Calibri" w:hAnsi="Arial" w:cs="Arial"/>
          <w:b/>
          <w:lang w:val="es-MX"/>
        </w:rPr>
      </w:pPr>
      <w:r w:rsidRPr="00FE10DF">
        <w:rPr>
          <w:rFonts w:ascii="Arial" w:eastAsia="Calibri" w:hAnsi="Arial" w:cs="Arial"/>
          <w:b/>
          <w:lang w:val="es-MX"/>
        </w:rPr>
        <w:t>PRESENTE. -</w:t>
      </w:r>
    </w:p>
    <w:p w:rsidR="00217971" w:rsidRPr="00FE10DF" w:rsidRDefault="00217971" w:rsidP="002012E8">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2012E8" w:rsidRDefault="002012E8" w:rsidP="00E22421">
      <w:pPr>
        <w:spacing w:after="0" w:line="276" w:lineRule="auto"/>
        <w:jc w:val="both"/>
        <w:rPr>
          <w:rFonts w:ascii="Arial" w:eastAsia="Calibri" w:hAnsi="Arial" w:cs="Arial"/>
          <w:b/>
          <w:lang w:val="es-MX"/>
        </w:rPr>
      </w:pPr>
    </w:p>
    <w:p w:rsidR="00E22421" w:rsidRPr="00FE10DF" w:rsidRDefault="00E22421" w:rsidP="005A47D6">
      <w:pPr>
        <w:spacing w:after="200" w:line="276" w:lineRule="auto"/>
        <w:jc w:val="both"/>
        <w:rPr>
          <w:rFonts w:ascii="Arial" w:eastAsia="Calibri" w:hAnsi="Arial" w:cs="Arial"/>
          <w:b/>
          <w:lang w:val="es-MX"/>
        </w:rPr>
      </w:pPr>
    </w:p>
    <w:p w:rsidR="00BD369C" w:rsidRPr="00ED2ED7" w:rsidRDefault="005A47D6" w:rsidP="00BD369C">
      <w:pPr>
        <w:spacing w:after="200" w:line="360" w:lineRule="auto"/>
        <w:jc w:val="both"/>
        <w:rPr>
          <w:rFonts w:ascii="Arial" w:eastAsia="Calibri" w:hAnsi="Arial" w:cs="Arial"/>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3A4007">
        <w:rPr>
          <w:rFonts w:ascii="Arial" w:eastAsia="Calibri" w:hAnsi="Arial" w:cs="Arial"/>
          <w:lang w:val="es-MX"/>
        </w:rPr>
        <w:t xml:space="preserve">15 quince </w:t>
      </w:r>
      <w:r w:rsidR="007F50CF">
        <w:rPr>
          <w:rFonts w:ascii="Arial" w:eastAsia="Calibri" w:hAnsi="Arial" w:cs="Arial"/>
          <w:lang w:val="es-MX"/>
        </w:rPr>
        <w:t xml:space="preserve">de </w:t>
      </w:r>
      <w:r w:rsidR="006E075D">
        <w:rPr>
          <w:rFonts w:ascii="Arial" w:eastAsia="Calibri" w:hAnsi="Arial" w:cs="Arial"/>
          <w:lang w:val="es-MX"/>
        </w:rPr>
        <w:t>julio</w:t>
      </w:r>
      <w:r w:rsidR="0063445C">
        <w:rPr>
          <w:rFonts w:ascii="Arial" w:eastAsia="Calibri" w:hAnsi="Arial" w:cs="Arial"/>
          <w:lang w:val="es-MX"/>
        </w:rPr>
        <w:t xml:space="preserve"> </w:t>
      </w:r>
      <w:r w:rsidR="00E22421" w:rsidRPr="00FE10DF">
        <w:rPr>
          <w:rFonts w:ascii="Arial" w:eastAsia="Calibri" w:hAnsi="Arial" w:cs="Arial"/>
          <w:lang w:val="es-MX"/>
        </w:rPr>
        <w:t>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w:t>
      </w:r>
    </w:p>
    <w:p w:rsidR="00ED2ED7" w:rsidRDefault="00ED2ED7" w:rsidP="00ED2ED7">
      <w:pPr>
        <w:tabs>
          <w:tab w:val="left" w:pos="6840"/>
        </w:tabs>
        <w:spacing w:line="360" w:lineRule="auto"/>
        <w:ind w:firstLine="708"/>
        <w:outlineLvl w:val="5"/>
        <w:rPr>
          <w:rFonts w:ascii="Arial" w:hAnsi="Arial" w:cs="Arial"/>
          <w:i/>
          <w:color w:val="44546A" w:themeColor="text2"/>
          <w:sz w:val="20"/>
          <w:szCs w:val="20"/>
        </w:rPr>
      </w:pPr>
    </w:p>
    <w:p w:rsidR="00604DC7" w:rsidRPr="00604DC7" w:rsidRDefault="00604DC7" w:rsidP="00604DC7">
      <w:pPr>
        <w:tabs>
          <w:tab w:val="left" w:pos="6840"/>
        </w:tabs>
        <w:spacing w:line="360" w:lineRule="auto"/>
        <w:ind w:firstLine="708"/>
        <w:outlineLvl w:val="5"/>
        <w:rPr>
          <w:rFonts w:ascii="Arial" w:hAnsi="Arial" w:cs="Arial"/>
          <w:i/>
          <w:color w:val="44546A" w:themeColor="text2"/>
          <w:sz w:val="20"/>
          <w:szCs w:val="20"/>
        </w:rPr>
      </w:pPr>
      <w:r w:rsidRPr="00604DC7">
        <w:rPr>
          <w:rFonts w:ascii="Arial" w:hAnsi="Arial" w:cs="Arial"/>
          <w:i/>
          <w:color w:val="44546A" w:themeColor="text2"/>
          <w:sz w:val="20"/>
          <w:szCs w:val="20"/>
        </w:rPr>
        <w:t xml:space="preserve">“San Luis Potosí, San Luis Potosí, </w:t>
      </w:r>
      <w:r w:rsidRPr="00604DC7">
        <w:rPr>
          <w:rStyle w:val="il"/>
          <w:rFonts w:ascii="Arial" w:hAnsi="Arial" w:cs="Arial"/>
          <w:i/>
          <w:color w:val="44546A" w:themeColor="text2"/>
          <w:sz w:val="20"/>
          <w:szCs w:val="20"/>
          <w:shd w:val="clear" w:color="auto" w:fill="FFFFFF"/>
        </w:rPr>
        <w:t>a</w:t>
      </w:r>
      <w:r w:rsidRPr="00604DC7">
        <w:rPr>
          <w:rFonts w:ascii="Arial" w:hAnsi="Arial" w:cs="Arial"/>
          <w:i/>
          <w:color w:val="44546A" w:themeColor="text2"/>
          <w:sz w:val="20"/>
          <w:szCs w:val="20"/>
          <w:shd w:val="clear" w:color="auto" w:fill="FFFFFF"/>
        </w:rPr>
        <w:t> </w:t>
      </w:r>
      <w:r w:rsidR="003A4007">
        <w:rPr>
          <w:rFonts w:ascii="Arial" w:hAnsi="Arial" w:cs="Arial"/>
          <w:i/>
          <w:color w:val="44546A" w:themeColor="text2"/>
          <w:sz w:val="20"/>
          <w:szCs w:val="20"/>
          <w:shd w:val="clear" w:color="auto" w:fill="FFFFFF"/>
        </w:rPr>
        <w:t>15 quince</w:t>
      </w:r>
      <w:bookmarkStart w:id="0" w:name="_GoBack"/>
      <w:bookmarkEnd w:id="0"/>
      <w:r w:rsidRPr="00604DC7">
        <w:rPr>
          <w:rFonts w:ascii="Arial" w:hAnsi="Arial" w:cs="Arial"/>
          <w:i/>
          <w:color w:val="44546A" w:themeColor="text2"/>
          <w:sz w:val="20"/>
          <w:szCs w:val="20"/>
          <w:shd w:val="clear" w:color="auto" w:fill="FFFFFF"/>
        </w:rPr>
        <w:t xml:space="preserve"> de julio de 2022 dos mil veintidós.</w:t>
      </w:r>
    </w:p>
    <w:p w:rsidR="00604DC7" w:rsidRPr="00604DC7" w:rsidRDefault="00604DC7" w:rsidP="00604DC7">
      <w:pPr>
        <w:spacing w:line="360" w:lineRule="auto"/>
        <w:jc w:val="both"/>
        <w:rPr>
          <w:rFonts w:ascii="Arial" w:hAnsi="Arial" w:cs="Arial"/>
          <w:i/>
          <w:color w:val="44546A" w:themeColor="text2"/>
          <w:sz w:val="20"/>
          <w:szCs w:val="20"/>
        </w:rPr>
      </w:pPr>
    </w:p>
    <w:p w:rsidR="00604DC7" w:rsidRPr="00604DC7" w:rsidRDefault="00604DC7" w:rsidP="00604DC7">
      <w:pPr>
        <w:spacing w:line="360" w:lineRule="auto"/>
        <w:ind w:firstLine="708"/>
        <w:jc w:val="both"/>
        <w:rPr>
          <w:rFonts w:ascii="Arial" w:hAnsi="Arial" w:cs="Arial"/>
          <w:i/>
          <w:color w:val="44546A" w:themeColor="text2"/>
          <w:sz w:val="20"/>
          <w:szCs w:val="20"/>
        </w:rPr>
      </w:pPr>
      <w:r w:rsidRPr="00604DC7">
        <w:rPr>
          <w:rFonts w:ascii="Arial" w:hAnsi="Arial" w:cs="Arial"/>
          <w:i/>
          <w:color w:val="44546A" w:themeColor="text2"/>
          <w:sz w:val="20"/>
          <w:szCs w:val="20"/>
        </w:rPr>
        <w:t xml:space="preserve">Visto el estado que guardan los presentes autos y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604DC7">
        <w:rPr>
          <w:rFonts w:ascii="Arial" w:hAnsi="Arial" w:cs="Arial"/>
          <w:b/>
          <w:i/>
          <w:color w:val="44546A" w:themeColor="text2"/>
          <w:sz w:val="20"/>
          <w:szCs w:val="20"/>
        </w:rPr>
        <w:t>RR-330/2021-1.</w:t>
      </w:r>
    </w:p>
    <w:p w:rsidR="00604DC7" w:rsidRPr="00604DC7" w:rsidRDefault="00604DC7" w:rsidP="00604DC7">
      <w:pPr>
        <w:spacing w:line="360" w:lineRule="auto"/>
        <w:ind w:firstLine="708"/>
        <w:jc w:val="both"/>
        <w:rPr>
          <w:rFonts w:ascii="Arial" w:hAnsi="Arial" w:cs="Arial"/>
          <w:i/>
          <w:color w:val="44546A" w:themeColor="text2"/>
          <w:sz w:val="20"/>
          <w:szCs w:val="20"/>
        </w:rPr>
      </w:pPr>
    </w:p>
    <w:p w:rsidR="00604DC7" w:rsidRPr="00604DC7" w:rsidRDefault="00604DC7" w:rsidP="00604DC7">
      <w:pPr>
        <w:spacing w:line="360" w:lineRule="auto"/>
        <w:ind w:firstLine="708"/>
        <w:jc w:val="both"/>
        <w:rPr>
          <w:rFonts w:ascii="Arial" w:hAnsi="Arial" w:cs="Arial"/>
          <w:i/>
          <w:color w:val="44546A" w:themeColor="text2"/>
          <w:sz w:val="20"/>
          <w:szCs w:val="20"/>
        </w:rPr>
      </w:pPr>
      <w:r w:rsidRPr="00604DC7">
        <w:rPr>
          <w:rFonts w:ascii="Arial" w:hAnsi="Arial" w:cs="Arial"/>
          <w:i/>
          <w:color w:val="44546A" w:themeColor="text2"/>
          <w:sz w:val="20"/>
          <w:szCs w:val="20"/>
        </w:rPr>
        <w:t>En primer término, resulta necesario insertar los efectos dictados en la resolución:</w:t>
      </w:r>
    </w:p>
    <w:p w:rsidR="00604DC7" w:rsidRPr="00604DC7" w:rsidRDefault="00604DC7" w:rsidP="00604DC7">
      <w:pPr>
        <w:pStyle w:val="corte4fondo"/>
        <w:tabs>
          <w:tab w:val="left" w:pos="567"/>
        </w:tabs>
        <w:spacing w:line="240" w:lineRule="auto"/>
        <w:rPr>
          <w:rFonts w:cs="Arial"/>
          <w:i/>
          <w:color w:val="44546A" w:themeColor="text2"/>
          <w:sz w:val="20"/>
          <w:szCs w:val="20"/>
        </w:rPr>
      </w:pPr>
    </w:p>
    <w:p w:rsidR="00604DC7" w:rsidRPr="00604DC7" w:rsidRDefault="00604DC7" w:rsidP="00604DC7">
      <w:pPr>
        <w:pStyle w:val="corte4fondo"/>
        <w:tabs>
          <w:tab w:val="left" w:pos="567"/>
        </w:tabs>
        <w:spacing w:line="240" w:lineRule="auto"/>
        <w:rPr>
          <w:rFonts w:cs="Arial"/>
          <w:i/>
          <w:color w:val="44546A" w:themeColor="text2"/>
          <w:sz w:val="20"/>
          <w:szCs w:val="20"/>
        </w:rPr>
      </w:pPr>
      <w:r w:rsidRPr="00604DC7">
        <w:rPr>
          <w:rFonts w:cs="Arial"/>
          <w:i/>
          <w:color w:val="44546A" w:themeColor="text2"/>
          <w:sz w:val="20"/>
          <w:szCs w:val="20"/>
        </w:rPr>
        <w:t>“[…]</w:t>
      </w:r>
    </w:p>
    <w:p w:rsidR="00604DC7" w:rsidRPr="00604DC7" w:rsidRDefault="00604DC7" w:rsidP="00604DC7">
      <w:pPr>
        <w:pStyle w:val="corte4fondo"/>
        <w:tabs>
          <w:tab w:val="left" w:pos="567"/>
        </w:tabs>
        <w:ind w:left="680"/>
        <w:rPr>
          <w:rFonts w:cs="Arial"/>
          <w:b/>
          <w:i/>
          <w:color w:val="44546A" w:themeColor="text2"/>
          <w:sz w:val="20"/>
          <w:szCs w:val="20"/>
        </w:rPr>
      </w:pPr>
      <w:r w:rsidRPr="00604DC7">
        <w:rPr>
          <w:rFonts w:cs="Arial"/>
          <w:b/>
          <w:i/>
          <w:color w:val="44546A" w:themeColor="text2"/>
          <w:sz w:val="20"/>
          <w:szCs w:val="20"/>
        </w:rPr>
        <w:t>6.1. Sentido y efectos de esta resolución.</w:t>
      </w:r>
    </w:p>
    <w:p w:rsidR="00604DC7" w:rsidRPr="00604DC7" w:rsidRDefault="00604DC7" w:rsidP="00604DC7">
      <w:pPr>
        <w:pStyle w:val="corte4fondo"/>
        <w:tabs>
          <w:tab w:val="left" w:pos="567"/>
        </w:tabs>
        <w:ind w:left="680"/>
        <w:rPr>
          <w:rFonts w:cs="Arial"/>
          <w:i/>
          <w:color w:val="44546A" w:themeColor="text2"/>
          <w:sz w:val="20"/>
          <w:szCs w:val="20"/>
        </w:rPr>
      </w:pPr>
      <w:r w:rsidRPr="00604DC7">
        <w:rPr>
          <w:rFonts w:cs="Arial"/>
          <w:i/>
          <w:color w:val="44546A" w:themeColor="text2"/>
          <w:sz w:val="20"/>
          <w:szCs w:val="20"/>
        </w:rPr>
        <w:t>Por las consideraciones expuestas, esta Comisión Estatal de Garantía de Acceso a la Información Pública de conformidad con el artículo 175 fracción III de la Ley de Transparencia y Acceso a la Información Pública del Estado, MODIFICA EL ACTO IMPUGNADO y conmina al sujeto obligado para que:</w:t>
      </w:r>
    </w:p>
    <w:p w:rsidR="00604DC7" w:rsidRPr="00604DC7" w:rsidRDefault="00604DC7" w:rsidP="00604DC7">
      <w:pPr>
        <w:pStyle w:val="corte4fondo"/>
        <w:tabs>
          <w:tab w:val="left" w:pos="567"/>
        </w:tabs>
        <w:ind w:left="680"/>
        <w:rPr>
          <w:rFonts w:cs="Arial"/>
          <w:i/>
          <w:color w:val="44546A" w:themeColor="text2"/>
          <w:sz w:val="20"/>
          <w:szCs w:val="20"/>
        </w:rPr>
      </w:pPr>
      <w:r w:rsidRPr="00604DC7">
        <w:rPr>
          <w:rFonts w:cs="Arial"/>
          <w:i/>
          <w:color w:val="44546A" w:themeColor="text2"/>
          <w:sz w:val="20"/>
          <w:szCs w:val="20"/>
        </w:rPr>
        <w:t xml:space="preserve">6.1.1. entregue una respuesta donde oriente de manera precisa y sencilla, la forma de comunicarse con el municipio de Ciudad Valles, DIF, DAPA y FENAHUAP, por lo cual deberá de proporcionar la dirección, teléfonos, horario de atención, correo electrónico y/o </w:t>
      </w:r>
      <w:proofErr w:type="spellStart"/>
      <w:r w:rsidRPr="00604DC7">
        <w:rPr>
          <w:rFonts w:cs="Arial"/>
          <w:i/>
          <w:color w:val="44546A" w:themeColor="text2"/>
          <w:sz w:val="20"/>
          <w:szCs w:val="20"/>
        </w:rPr>
        <w:t>pagina</w:t>
      </w:r>
      <w:proofErr w:type="spellEnd"/>
      <w:r w:rsidRPr="00604DC7">
        <w:rPr>
          <w:rFonts w:cs="Arial"/>
          <w:i/>
          <w:color w:val="44546A" w:themeColor="text2"/>
          <w:sz w:val="20"/>
          <w:szCs w:val="20"/>
        </w:rPr>
        <w:t xml:space="preserve"> de internet, así como cualquier otro dato para dirigir su solicitud de información.</w:t>
      </w:r>
    </w:p>
    <w:p w:rsidR="00604DC7" w:rsidRPr="00604DC7" w:rsidRDefault="00604DC7" w:rsidP="00604DC7">
      <w:pPr>
        <w:spacing w:line="360" w:lineRule="auto"/>
        <w:jc w:val="both"/>
        <w:rPr>
          <w:rFonts w:ascii="Arial" w:hAnsi="Arial" w:cs="Arial"/>
          <w:i/>
          <w:color w:val="44546A" w:themeColor="text2"/>
          <w:sz w:val="20"/>
          <w:szCs w:val="20"/>
        </w:rPr>
      </w:pPr>
    </w:p>
    <w:p w:rsidR="00604DC7" w:rsidRPr="00604DC7" w:rsidRDefault="00604DC7" w:rsidP="00604DC7">
      <w:pPr>
        <w:spacing w:line="360" w:lineRule="auto"/>
        <w:ind w:firstLine="708"/>
        <w:jc w:val="both"/>
        <w:rPr>
          <w:rFonts w:ascii="Arial" w:hAnsi="Arial" w:cs="Arial"/>
          <w:i/>
          <w:color w:val="44546A" w:themeColor="text2"/>
          <w:sz w:val="20"/>
          <w:szCs w:val="20"/>
        </w:rPr>
      </w:pPr>
      <w:r w:rsidRPr="00604DC7">
        <w:rPr>
          <w:rFonts w:ascii="Arial" w:hAnsi="Arial" w:cs="Arial"/>
          <w:i/>
          <w:color w:val="44546A" w:themeColor="text2"/>
          <w:sz w:val="20"/>
          <w:szCs w:val="20"/>
        </w:rPr>
        <w:lastRenderedPageBreak/>
        <w:t>Derivado de lo anterior, y de una revisión a las constancias que integran el recurso de revisión en que se actúa, se advierte ha transcurrido el termino otorgado 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mérito.</w:t>
      </w:r>
    </w:p>
    <w:p w:rsidR="00604DC7" w:rsidRPr="00604DC7" w:rsidRDefault="00604DC7" w:rsidP="00604DC7">
      <w:pPr>
        <w:spacing w:line="360" w:lineRule="auto"/>
        <w:jc w:val="both"/>
        <w:rPr>
          <w:rFonts w:ascii="Arial" w:hAnsi="Arial" w:cs="Arial"/>
          <w:i/>
          <w:color w:val="44546A" w:themeColor="text2"/>
          <w:sz w:val="20"/>
          <w:szCs w:val="20"/>
        </w:rPr>
      </w:pPr>
    </w:p>
    <w:p w:rsidR="00604DC7" w:rsidRPr="00604DC7" w:rsidRDefault="00604DC7" w:rsidP="00604DC7">
      <w:pPr>
        <w:spacing w:line="360" w:lineRule="auto"/>
        <w:ind w:firstLine="708"/>
        <w:jc w:val="both"/>
        <w:rPr>
          <w:rFonts w:ascii="Arial" w:hAnsi="Arial" w:cs="Arial"/>
          <w:i/>
          <w:color w:val="44546A" w:themeColor="text2"/>
          <w:sz w:val="20"/>
          <w:szCs w:val="20"/>
        </w:rPr>
      </w:pPr>
      <w:r w:rsidRPr="00604DC7">
        <w:rPr>
          <w:rFonts w:ascii="Arial" w:hAnsi="Arial" w:cs="Arial"/>
          <w:i/>
          <w:color w:val="44546A" w:themeColor="text2"/>
          <w:sz w:val="20"/>
          <w:szCs w:val="20"/>
        </w:rPr>
        <w:t xml:space="preserve">En las condiciones anotadas, de la revisión al citado recurso de revisión se desprende que el sujeto obligado no acredita el cumplimiento a la resolución de </w:t>
      </w:r>
      <w:proofErr w:type="spellStart"/>
      <w:r w:rsidRPr="00604DC7">
        <w:rPr>
          <w:rFonts w:ascii="Arial" w:hAnsi="Arial" w:cs="Arial"/>
          <w:i/>
          <w:color w:val="44546A" w:themeColor="text2"/>
          <w:sz w:val="20"/>
          <w:szCs w:val="20"/>
        </w:rPr>
        <w:t>merito</w:t>
      </w:r>
      <w:proofErr w:type="spellEnd"/>
      <w:r w:rsidRPr="00604DC7">
        <w:rPr>
          <w:rFonts w:ascii="Arial" w:hAnsi="Arial" w:cs="Arial"/>
          <w:i/>
          <w:color w:val="44546A" w:themeColor="text2"/>
          <w:sz w:val="20"/>
          <w:szCs w:val="20"/>
        </w:rPr>
        <w:t>.</w:t>
      </w:r>
    </w:p>
    <w:p w:rsidR="00604DC7" w:rsidRPr="00604DC7" w:rsidRDefault="00604DC7" w:rsidP="00604DC7">
      <w:pPr>
        <w:spacing w:line="360" w:lineRule="auto"/>
        <w:ind w:firstLine="708"/>
        <w:jc w:val="both"/>
        <w:rPr>
          <w:rFonts w:ascii="AvantGarde Bk BT" w:hAnsi="AvantGarde Bk BT" w:cs="Arial"/>
          <w:i/>
          <w:color w:val="44546A" w:themeColor="text2"/>
          <w:sz w:val="20"/>
          <w:szCs w:val="20"/>
        </w:rPr>
      </w:pPr>
    </w:p>
    <w:p w:rsidR="00604DC7" w:rsidRPr="00604DC7" w:rsidRDefault="00604DC7" w:rsidP="00604DC7">
      <w:pPr>
        <w:spacing w:line="360" w:lineRule="auto"/>
        <w:ind w:firstLine="680"/>
        <w:jc w:val="both"/>
        <w:rPr>
          <w:rFonts w:ascii="Arial" w:hAnsi="Arial" w:cs="Arial"/>
          <w:i/>
          <w:color w:val="44546A" w:themeColor="text2"/>
          <w:sz w:val="20"/>
          <w:szCs w:val="20"/>
          <w:lang w:val="es-MX"/>
        </w:rPr>
      </w:pPr>
      <w:r w:rsidRPr="00604DC7">
        <w:rPr>
          <w:rFonts w:ascii="Arial" w:hAnsi="Arial" w:cs="Arial"/>
          <w:i/>
          <w:color w:val="44546A" w:themeColor="text2"/>
          <w:sz w:val="20"/>
          <w:szCs w:val="20"/>
        </w:rPr>
        <w:t xml:space="preserve">Consecuentemente, </w:t>
      </w:r>
      <w:r w:rsidRPr="00604DC7">
        <w:rPr>
          <w:rFonts w:ascii="Arial" w:hAnsi="Arial" w:cs="Arial"/>
          <w:i/>
          <w:color w:val="44546A" w:themeColor="text2"/>
          <w:sz w:val="20"/>
          <w:szCs w:val="20"/>
          <w:u w:val="single"/>
        </w:rPr>
        <w:t>este organismo garante no cuenta con los elementos suficientes para analizar si el sujeto obligado dio o no cumplimiento a la ya citada resolución</w:t>
      </w:r>
      <w:r w:rsidRPr="00604DC7">
        <w:rPr>
          <w:rFonts w:ascii="Arial" w:hAnsi="Arial" w:cs="Arial"/>
          <w:i/>
          <w:color w:val="44546A" w:themeColor="text2"/>
          <w:sz w:val="20"/>
          <w:szCs w:val="20"/>
        </w:rPr>
        <w:t xml:space="preserve"> y por tanto la resolución se encuentra incumplida.</w:t>
      </w:r>
    </w:p>
    <w:p w:rsidR="00604DC7" w:rsidRPr="00604DC7" w:rsidRDefault="00604DC7" w:rsidP="00604DC7">
      <w:pPr>
        <w:spacing w:line="360" w:lineRule="auto"/>
        <w:jc w:val="both"/>
        <w:rPr>
          <w:rFonts w:ascii="Arial" w:hAnsi="Arial" w:cs="Arial"/>
          <w:i/>
          <w:color w:val="44546A" w:themeColor="text2"/>
          <w:sz w:val="20"/>
          <w:szCs w:val="20"/>
        </w:rPr>
      </w:pPr>
    </w:p>
    <w:p w:rsidR="00604DC7" w:rsidRPr="00604DC7" w:rsidRDefault="00604DC7" w:rsidP="00604DC7">
      <w:pPr>
        <w:spacing w:line="360" w:lineRule="auto"/>
        <w:ind w:firstLine="708"/>
        <w:jc w:val="both"/>
        <w:rPr>
          <w:rFonts w:ascii="Arial" w:hAnsi="Arial" w:cs="Arial"/>
          <w:i/>
          <w:color w:val="44546A" w:themeColor="text2"/>
          <w:sz w:val="20"/>
          <w:szCs w:val="20"/>
        </w:rPr>
      </w:pPr>
      <w:r w:rsidRPr="00604DC7">
        <w:rPr>
          <w:rFonts w:ascii="Arial" w:hAnsi="Arial" w:cs="Arial"/>
          <w:i/>
          <w:color w:val="44546A" w:themeColor="text2"/>
          <w:sz w:val="20"/>
          <w:szCs w:val="20"/>
        </w:rPr>
        <w:t>Bajo este contexto, resulta pertinente transcribir lo dispuesto por la Ley de transparencia señala en sus artículos 183 y 184 lo siguiente:</w:t>
      </w:r>
    </w:p>
    <w:p w:rsidR="00604DC7" w:rsidRPr="00604DC7" w:rsidRDefault="00604DC7" w:rsidP="00604DC7">
      <w:pPr>
        <w:spacing w:line="360" w:lineRule="auto"/>
        <w:jc w:val="both"/>
        <w:rPr>
          <w:rFonts w:ascii="Arial" w:hAnsi="Arial" w:cs="Arial"/>
          <w:b/>
          <w:i/>
          <w:color w:val="44546A" w:themeColor="text2"/>
          <w:sz w:val="20"/>
          <w:szCs w:val="20"/>
        </w:rPr>
      </w:pPr>
    </w:p>
    <w:p w:rsidR="00604DC7" w:rsidRPr="00604DC7" w:rsidRDefault="00604DC7" w:rsidP="00604DC7">
      <w:pPr>
        <w:spacing w:line="360" w:lineRule="auto"/>
        <w:ind w:left="680"/>
        <w:jc w:val="both"/>
        <w:rPr>
          <w:rFonts w:ascii="Arial" w:hAnsi="Arial" w:cs="Arial"/>
          <w:b/>
          <w:i/>
          <w:color w:val="44546A" w:themeColor="text2"/>
          <w:sz w:val="20"/>
          <w:szCs w:val="20"/>
          <w:u w:val="single"/>
        </w:rPr>
      </w:pPr>
      <w:r w:rsidRPr="00604DC7">
        <w:rPr>
          <w:rFonts w:ascii="Arial" w:hAnsi="Arial" w:cs="Arial"/>
          <w:b/>
          <w:i/>
          <w:color w:val="44546A" w:themeColor="text2"/>
          <w:sz w:val="20"/>
          <w:szCs w:val="20"/>
        </w:rPr>
        <w:t>“ARTÍCULO 183.</w:t>
      </w:r>
      <w:r w:rsidRPr="00604DC7">
        <w:rPr>
          <w:rFonts w:ascii="Arial" w:hAnsi="Arial" w:cs="Arial"/>
          <w:i/>
          <w:color w:val="44546A" w:themeColor="text2"/>
          <w:sz w:val="20"/>
          <w:szCs w:val="20"/>
        </w:rPr>
        <w:t xml:space="preserve"> Los sujetos obligados, a través de la Unidad de Transparencia, </w:t>
      </w:r>
      <w:r w:rsidRPr="00604DC7">
        <w:rPr>
          <w:rFonts w:ascii="Arial" w:hAnsi="Arial" w:cs="Arial"/>
          <w:b/>
          <w:i/>
          <w:color w:val="44546A" w:themeColor="text2"/>
          <w:sz w:val="20"/>
          <w:szCs w:val="20"/>
          <w:u w:val="single"/>
        </w:rPr>
        <w:t>darán estricto cumplimiento a las resoluciones de la CEGAIP y deberán informar a estos sobre su cumplimiento.”</w:t>
      </w:r>
    </w:p>
    <w:p w:rsidR="00604DC7" w:rsidRPr="00604DC7" w:rsidRDefault="00604DC7" w:rsidP="00604DC7">
      <w:pPr>
        <w:spacing w:line="360" w:lineRule="auto"/>
        <w:ind w:left="680"/>
        <w:jc w:val="both"/>
        <w:rPr>
          <w:rFonts w:ascii="Arial" w:hAnsi="Arial" w:cs="Arial"/>
          <w:b/>
          <w:i/>
          <w:color w:val="44546A" w:themeColor="text2"/>
          <w:sz w:val="20"/>
          <w:szCs w:val="20"/>
        </w:rPr>
      </w:pPr>
    </w:p>
    <w:p w:rsidR="00604DC7" w:rsidRPr="00604DC7" w:rsidRDefault="00604DC7" w:rsidP="00604DC7">
      <w:pPr>
        <w:spacing w:line="360" w:lineRule="auto"/>
        <w:ind w:left="680"/>
        <w:jc w:val="both"/>
        <w:rPr>
          <w:rFonts w:ascii="Arial" w:hAnsi="Arial" w:cs="Arial"/>
          <w:i/>
          <w:color w:val="44546A" w:themeColor="text2"/>
          <w:sz w:val="20"/>
          <w:szCs w:val="20"/>
        </w:rPr>
      </w:pPr>
      <w:r w:rsidRPr="00604DC7">
        <w:rPr>
          <w:rFonts w:ascii="Arial" w:hAnsi="Arial" w:cs="Arial"/>
          <w:b/>
          <w:i/>
          <w:color w:val="44546A" w:themeColor="text2"/>
          <w:sz w:val="20"/>
          <w:szCs w:val="20"/>
        </w:rPr>
        <w:t>“ARTÍCULO 184.</w:t>
      </w:r>
      <w:r w:rsidRPr="00604DC7">
        <w:rPr>
          <w:rFonts w:ascii="Arial" w:hAnsi="Arial" w:cs="Arial"/>
          <w:i/>
          <w:color w:val="44546A" w:themeColor="text2"/>
          <w:sz w:val="20"/>
          <w:szCs w:val="20"/>
        </w:rPr>
        <w:t xml:space="preserve"> Transcurrido el plazo señalado en el artículo anterior, el sujeto obligado deberá informar a la CEGAIP sobre el cumplimento de la resolución.</w:t>
      </w:r>
    </w:p>
    <w:p w:rsidR="00604DC7" w:rsidRPr="00604DC7" w:rsidRDefault="00604DC7" w:rsidP="00604DC7">
      <w:pPr>
        <w:spacing w:line="360" w:lineRule="auto"/>
        <w:ind w:left="680"/>
        <w:jc w:val="both"/>
        <w:rPr>
          <w:rFonts w:ascii="Arial" w:hAnsi="Arial" w:cs="Arial"/>
          <w:i/>
          <w:color w:val="44546A" w:themeColor="text2"/>
          <w:sz w:val="20"/>
          <w:szCs w:val="20"/>
        </w:rPr>
      </w:pPr>
    </w:p>
    <w:p w:rsidR="00604DC7" w:rsidRPr="00604DC7" w:rsidRDefault="00604DC7" w:rsidP="00604DC7">
      <w:pPr>
        <w:spacing w:line="360" w:lineRule="auto"/>
        <w:ind w:left="680"/>
        <w:jc w:val="both"/>
        <w:rPr>
          <w:rFonts w:ascii="Arial" w:hAnsi="Arial" w:cs="Arial"/>
          <w:i/>
          <w:color w:val="44546A" w:themeColor="text2"/>
          <w:sz w:val="20"/>
          <w:szCs w:val="20"/>
        </w:rPr>
      </w:pPr>
      <w:r w:rsidRPr="00604DC7">
        <w:rPr>
          <w:rFonts w:ascii="Arial" w:hAnsi="Arial" w:cs="Arial"/>
          <w:i/>
          <w:color w:val="44546A" w:themeColor="text2"/>
          <w:sz w:val="20"/>
          <w:szCs w:val="20"/>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604DC7" w:rsidRPr="00604DC7" w:rsidRDefault="00604DC7" w:rsidP="00604DC7">
      <w:pPr>
        <w:spacing w:line="360" w:lineRule="auto"/>
        <w:ind w:left="680" w:firstLine="708"/>
        <w:jc w:val="both"/>
        <w:rPr>
          <w:rFonts w:ascii="Arial" w:hAnsi="Arial" w:cs="Arial"/>
          <w:i/>
          <w:color w:val="44546A" w:themeColor="text2"/>
          <w:sz w:val="20"/>
          <w:szCs w:val="20"/>
        </w:rPr>
      </w:pPr>
    </w:p>
    <w:p w:rsidR="00604DC7" w:rsidRPr="00604DC7" w:rsidRDefault="00604DC7" w:rsidP="00604DC7">
      <w:pPr>
        <w:spacing w:line="360" w:lineRule="auto"/>
        <w:ind w:firstLine="709"/>
        <w:jc w:val="both"/>
        <w:rPr>
          <w:rFonts w:ascii="Arial" w:hAnsi="Arial" w:cs="Arial"/>
          <w:i/>
          <w:color w:val="44546A" w:themeColor="text2"/>
          <w:sz w:val="20"/>
          <w:szCs w:val="20"/>
        </w:rPr>
      </w:pPr>
      <w:r w:rsidRPr="00604DC7">
        <w:rPr>
          <w:rFonts w:ascii="Arial" w:hAnsi="Arial" w:cs="Arial"/>
          <w:i/>
          <w:color w:val="44546A" w:themeColor="text2"/>
          <w:sz w:val="20"/>
          <w:szCs w:val="20"/>
        </w:rPr>
        <w:t xml:space="preserve">Así las cosas, </w:t>
      </w:r>
      <w:r w:rsidRPr="00604DC7">
        <w:rPr>
          <w:rFonts w:ascii="Arial" w:hAnsi="Arial" w:cs="Arial"/>
          <w:b/>
          <w:i/>
          <w:color w:val="44546A" w:themeColor="text2"/>
          <w:sz w:val="20"/>
          <w:szCs w:val="20"/>
          <w:u w:val="single"/>
        </w:rPr>
        <w:t>se tiene por incumplida la resolución del Recurso de Revisión 330/2021-1;</w:t>
      </w:r>
      <w:r w:rsidRPr="00604DC7">
        <w:rPr>
          <w:rFonts w:ascii="Arial" w:hAnsi="Arial" w:cs="Arial"/>
          <w:i/>
          <w:color w:val="44546A" w:themeColor="text2"/>
          <w:sz w:val="20"/>
          <w:szCs w:val="20"/>
        </w:rPr>
        <w:t xml:space="preserve"> ya que no se cumple con lo establecido en el resolutivo en análisis, en virtud </w:t>
      </w:r>
      <w:r w:rsidRPr="00604DC7">
        <w:rPr>
          <w:rFonts w:ascii="Arial" w:hAnsi="Arial" w:cs="Arial"/>
          <w:i/>
          <w:color w:val="44546A" w:themeColor="text2"/>
          <w:sz w:val="20"/>
          <w:szCs w:val="20"/>
        </w:rPr>
        <w:lastRenderedPageBreak/>
        <w:t>de que como ha quedado visto en el presente acuerdo, el sujeto obligado no rindió informe mediante el cual acredite el cumplimiento a la resolución de mérito, y en consecuencia, se conmina al sujeto obligado a que:</w:t>
      </w:r>
    </w:p>
    <w:p w:rsidR="00604DC7" w:rsidRPr="00604DC7" w:rsidRDefault="00604DC7" w:rsidP="00604DC7">
      <w:pPr>
        <w:spacing w:line="360" w:lineRule="auto"/>
        <w:ind w:firstLine="709"/>
        <w:jc w:val="both"/>
        <w:rPr>
          <w:rFonts w:ascii="Arial" w:hAnsi="Arial" w:cs="Arial"/>
          <w:i/>
          <w:color w:val="44546A" w:themeColor="text2"/>
          <w:sz w:val="20"/>
          <w:szCs w:val="20"/>
        </w:rPr>
      </w:pPr>
    </w:p>
    <w:p w:rsidR="00604DC7" w:rsidRPr="00604DC7" w:rsidRDefault="00604DC7" w:rsidP="00604DC7">
      <w:pPr>
        <w:pStyle w:val="corte4fondo"/>
        <w:numPr>
          <w:ilvl w:val="0"/>
          <w:numId w:val="2"/>
        </w:numPr>
        <w:tabs>
          <w:tab w:val="left" w:pos="567"/>
        </w:tabs>
        <w:rPr>
          <w:rFonts w:cs="Arial"/>
          <w:i/>
          <w:color w:val="44546A" w:themeColor="text2"/>
          <w:sz w:val="20"/>
          <w:szCs w:val="20"/>
        </w:rPr>
      </w:pPr>
      <w:r w:rsidRPr="00604DC7">
        <w:rPr>
          <w:rFonts w:cs="Arial"/>
          <w:i/>
          <w:color w:val="44546A" w:themeColor="text2"/>
          <w:sz w:val="20"/>
          <w:szCs w:val="20"/>
        </w:rPr>
        <w:t>entregue una respuesta donde oriente de manera precisa y sencilla, la forma de comunicarse con el municipio de Ciudad Valles, DIF, DAPA y FENAHUAP, por lo cual deberá de proporcionar la dirección, teléfonos, horario de atención, correo electrónico y/o página de internet, así como cualquier otro dato para dirigir su solicitud de información.</w:t>
      </w:r>
    </w:p>
    <w:p w:rsidR="00604DC7" w:rsidRPr="00604DC7" w:rsidRDefault="00604DC7" w:rsidP="00604DC7">
      <w:pPr>
        <w:pStyle w:val="Prrafodelista"/>
        <w:numPr>
          <w:ilvl w:val="0"/>
          <w:numId w:val="2"/>
        </w:numPr>
        <w:spacing w:line="360" w:lineRule="auto"/>
        <w:jc w:val="both"/>
        <w:rPr>
          <w:rFonts w:cs="Arial"/>
          <w:i/>
          <w:color w:val="44546A" w:themeColor="text2"/>
          <w:sz w:val="20"/>
        </w:rPr>
      </w:pPr>
      <w:r w:rsidRPr="00604DC7">
        <w:rPr>
          <w:rFonts w:cs="Arial"/>
          <w:i/>
          <w:color w:val="44546A" w:themeColor="text2"/>
          <w:sz w:val="20"/>
        </w:rPr>
        <w:t>En la inteligencia de que de lo contrario será acreedor</w:t>
      </w:r>
      <w:r w:rsidRPr="00604DC7">
        <w:rPr>
          <w:rFonts w:cs="Arial"/>
          <w:b/>
          <w:i/>
          <w:color w:val="44546A" w:themeColor="text2"/>
          <w:sz w:val="20"/>
        </w:rPr>
        <w:t xml:space="preserve"> </w:t>
      </w:r>
      <w:r w:rsidRPr="00604DC7">
        <w:rPr>
          <w:rFonts w:cs="Arial"/>
          <w:i/>
          <w:color w:val="44546A" w:themeColor="text2"/>
          <w:sz w:val="20"/>
        </w:rPr>
        <w:t xml:space="preserve">a la medida de apremio consistente en una </w:t>
      </w:r>
      <w:r w:rsidRPr="00604DC7">
        <w:rPr>
          <w:rFonts w:cs="Arial"/>
          <w:b/>
          <w:i/>
          <w:color w:val="44546A" w:themeColor="text2"/>
          <w:sz w:val="20"/>
          <w:u w:val="single"/>
        </w:rPr>
        <w:t>MULTA</w:t>
      </w:r>
      <w:r w:rsidRPr="00604DC7">
        <w:rPr>
          <w:rFonts w:cs="Arial"/>
          <w:i/>
          <w:color w:val="44546A" w:themeColor="text2"/>
          <w:sz w:val="20"/>
        </w:rPr>
        <w:t>, de conformidad con el artículo 190 fracción II y 197 fracción XV de la Ley de Transparencia y Acceso a la Información Pública del Estado.</w:t>
      </w:r>
    </w:p>
    <w:p w:rsidR="00604DC7" w:rsidRPr="00604DC7" w:rsidRDefault="00604DC7" w:rsidP="00604DC7">
      <w:pPr>
        <w:pStyle w:val="Prrafodelista"/>
        <w:numPr>
          <w:ilvl w:val="0"/>
          <w:numId w:val="2"/>
        </w:numPr>
        <w:spacing w:line="360" w:lineRule="auto"/>
        <w:jc w:val="both"/>
        <w:rPr>
          <w:rFonts w:cs="Arial"/>
          <w:i/>
          <w:color w:val="44546A" w:themeColor="text2"/>
          <w:sz w:val="20"/>
        </w:rPr>
      </w:pPr>
      <w:r w:rsidRPr="00604DC7">
        <w:rPr>
          <w:rFonts w:cs="Arial"/>
          <w:i/>
          <w:color w:val="44546A" w:themeColor="text2"/>
          <w:sz w:val="20"/>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604DC7" w:rsidRPr="00604DC7" w:rsidRDefault="00604DC7" w:rsidP="00604DC7">
      <w:pPr>
        <w:spacing w:line="360" w:lineRule="auto"/>
        <w:jc w:val="both"/>
        <w:rPr>
          <w:rFonts w:ascii="Arial" w:hAnsi="Arial" w:cs="Arial"/>
          <w:i/>
          <w:color w:val="44546A" w:themeColor="text2"/>
          <w:sz w:val="20"/>
          <w:szCs w:val="20"/>
        </w:rPr>
      </w:pPr>
    </w:p>
    <w:p w:rsidR="00604DC7" w:rsidRPr="00604DC7" w:rsidRDefault="00604DC7" w:rsidP="00604DC7">
      <w:pPr>
        <w:spacing w:line="360" w:lineRule="auto"/>
        <w:ind w:firstLine="680"/>
        <w:jc w:val="both"/>
        <w:rPr>
          <w:rFonts w:ascii="Arial" w:hAnsi="Arial" w:cs="Arial"/>
          <w:b/>
          <w:i/>
          <w:color w:val="44546A" w:themeColor="text2"/>
          <w:sz w:val="20"/>
          <w:szCs w:val="20"/>
        </w:rPr>
      </w:pPr>
      <w:r w:rsidRPr="00604DC7">
        <w:rPr>
          <w:rFonts w:ascii="Arial" w:hAnsi="Arial" w:cs="Arial"/>
          <w:i/>
          <w:color w:val="44546A" w:themeColor="text2"/>
          <w:sz w:val="20"/>
          <w:szCs w:val="20"/>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604DC7">
        <w:rPr>
          <w:rFonts w:ascii="Arial" w:hAnsi="Arial" w:cs="Arial"/>
          <w:b/>
          <w:i/>
          <w:color w:val="44546A" w:themeColor="text2"/>
          <w:sz w:val="20"/>
          <w:szCs w:val="20"/>
          <w:u w:val="single"/>
        </w:rPr>
        <w:t>se requiere al Titular del Instituto Municipal de Vivienda de Ciudad Valles,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dentro del recurso de revisión en que se actúa</w:t>
      </w:r>
      <w:r w:rsidRPr="00604DC7">
        <w:rPr>
          <w:rFonts w:ascii="Arial" w:hAnsi="Arial" w:cs="Arial"/>
          <w:i/>
          <w:color w:val="44546A" w:themeColor="text2"/>
          <w:sz w:val="20"/>
          <w:szCs w:val="20"/>
        </w:rPr>
        <w:t xml:space="preserve">, tomando en cuenta las consideraciones contenidas en el presente proveído, </w:t>
      </w:r>
      <w:r w:rsidRPr="00604DC7">
        <w:rPr>
          <w:rFonts w:ascii="Arial" w:hAnsi="Arial" w:cs="Arial"/>
          <w:b/>
          <w:i/>
          <w:color w:val="44546A" w:themeColor="text2"/>
          <w:sz w:val="20"/>
          <w:szCs w:val="20"/>
          <w:u w:val="single"/>
        </w:rPr>
        <w:t>apercibido</w:t>
      </w:r>
      <w:r w:rsidRPr="00604DC7">
        <w:rPr>
          <w:rFonts w:ascii="Arial" w:hAnsi="Arial" w:cs="Arial"/>
          <w:i/>
          <w:color w:val="44546A" w:themeColor="text2"/>
          <w:sz w:val="20"/>
          <w:szCs w:val="20"/>
        </w:rPr>
        <w:t xml:space="preserve"> de que de no hacerlo, se impondrá en su contra la medida de apremio consistente en una </w:t>
      </w:r>
      <w:r w:rsidRPr="00604DC7">
        <w:rPr>
          <w:rFonts w:ascii="Arial" w:hAnsi="Arial" w:cs="Arial"/>
          <w:b/>
          <w:i/>
          <w:color w:val="44546A" w:themeColor="text2"/>
          <w:sz w:val="20"/>
          <w:szCs w:val="20"/>
          <w:u w:val="single"/>
        </w:rPr>
        <w:t>MULTA</w:t>
      </w:r>
      <w:r w:rsidRPr="00604DC7">
        <w:rPr>
          <w:rFonts w:ascii="Arial" w:hAnsi="Arial" w:cs="Arial"/>
          <w:i/>
          <w:color w:val="44546A" w:themeColor="text2"/>
          <w:sz w:val="20"/>
          <w:szCs w:val="20"/>
        </w:rPr>
        <w:t xml:space="preserve">, de conformidad con el artículo 190 fracción II y 197 fracción XV de la Ley de Transparencia y Acceso a la Información Pública del Estado. </w:t>
      </w:r>
    </w:p>
    <w:p w:rsidR="00604DC7" w:rsidRPr="00604DC7" w:rsidRDefault="00604DC7" w:rsidP="00604DC7">
      <w:pPr>
        <w:spacing w:line="360" w:lineRule="auto"/>
        <w:ind w:firstLine="680"/>
        <w:jc w:val="both"/>
        <w:rPr>
          <w:rFonts w:ascii="Arial" w:hAnsi="Arial" w:cs="Arial"/>
          <w:i/>
          <w:color w:val="44546A" w:themeColor="text2"/>
          <w:sz w:val="20"/>
          <w:szCs w:val="20"/>
          <w:lang w:val="es-MX"/>
        </w:rPr>
      </w:pPr>
    </w:p>
    <w:p w:rsidR="00604DC7" w:rsidRPr="00604DC7" w:rsidRDefault="00604DC7" w:rsidP="00604DC7">
      <w:pPr>
        <w:spacing w:line="360" w:lineRule="auto"/>
        <w:ind w:firstLine="680"/>
        <w:jc w:val="both"/>
        <w:rPr>
          <w:rFonts w:ascii="Arial" w:hAnsi="Arial" w:cs="Arial"/>
          <w:i/>
          <w:color w:val="44546A" w:themeColor="text2"/>
          <w:sz w:val="20"/>
          <w:szCs w:val="20"/>
        </w:rPr>
      </w:pPr>
      <w:r w:rsidRPr="00604DC7">
        <w:rPr>
          <w:rFonts w:ascii="Arial" w:hAnsi="Arial" w:cs="Arial"/>
          <w:i/>
          <w:color w:val="44546A" w:themeColor="text2"/>
          <w:sz w:val="20"/>
          <w:szCs w:val="20"/>
        </w:rPr>
        <w:t xml:space="preserve">De igual modo, </w:t>
      </w:r>
      <w:r w:rsidRPr="00604DC7">
        <w:rPr>
          <w:rFonts w:ascii="Arial" w:hAnsi="Arial" w:cs="Arial"/>
          <w:b/>
          <w:i/>
          <w:color w:val="44546A" w:themeColor="text2"/>
          <w:sz w:val="20"/>
          <w:szCs w:val="20"/>
          <w:u w:val="single"/>
        </w:rPr>
        <w:t xml:space="preserve">se requiere al Titular del Instituto Municipal de Vivienda de Ciudad Valles,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w:t>
      </w:r>
      <w:r w:rsidRPr="00604DC7">
        <w:rPr>
          <w:rFonts w:ascii="Arial" w:hAnsi="Arial" w:cs="Arial"/>
          <w:b/>
          <w:i/>
          <w:color w:val="44546A" w:themeColor="text2"/>
          <w:sz w:val="20"/>
          <w:szCs w:val="20"/>
          <w:u w:val="single"/>
        </w:rPr>
        <w:lastRenderedPageBreak/>
        <w:t>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604DC7">
        <w:rPr>
          <w:rFonts w:ascii="Arial" w:hAnsi="Arial" w:cs="Arial"/>
          <w:i/>
          <w:color w:val="44546A" w:themeColor="text2"/>
          <w:sz w:val="20"/>
          <w:szCs w:val="20"/>
        </w:rPr>
        <w:t>:</w:t>
      </w:r>
    </w:p>
    <w:p w:rsidR="00604DC7" w:rsidRPr="00604DC7" w:rsidRDefault="00604DC7" w:rsidP="00604DC7">
      <w:pPr>
        <w:spacing w:line="360" w:lineRule="auto"/>
        <w:ind w:firstLine="680"/>
        <w:jc w:val="both"/>
        <w:rPr>
          <w:rFonts w:ascii="Arial" w:hAnsi="Arial" w:cs="Arial"/>
          <w:b/>
          <w:i/>
          <w:color w:val="44546A" w:themeColor="text2"/>
          <w:sz w:val="20"/>
          <w:szCs w:val="20"/>
          <w:u w:val="single"/>
        </w:rPr>
      </w:pPr>
    </w:p>
    <w:p w:rsidR="00604DC7" w:rsidRPr="00604DC7" w:rsidRDefault="00604DC7" w:rsidP="00604DC7">
      <w:pPr>
        <w:spacing w:line="360" w:lineRule="auto"/>
        <w:ind w:left="680"/>
        <w:jc w:val="both"/>
        <w:rPr>
          <w:rFonts w:ascii="Arial" w:hAnsi="Arial" w:cs="Arial"/>
          <w:i/>
          <w:color w:val="44546A" w:themeColor="text2"/>
          <w:sz w:val="20"/>
          <w:szCs w:val="20"/>
        </w:rPr>
      </w:pPr>
      <w:r w:rsidRPr="00604DC7">
        <w:rPr>
          <w:rFonts w:ascii="Arial" w:hAnsi="Arial" w:cs="Arial"/>
          <w:i/>
          <w:color w:val="44546A" w:themeColor="text2"/>
          <w:sz w:val="20"/>
          <w:szCs w:val="20"/>
        </w:rPr>
        <w:t>“</w:t>
      </w:r>
      <w:r w:rsidRPr="00604DC7">
        <w:rPr>
          <w:rFonts w:ascii="Arial" w:hAnsi="Arial" w:cs="Arial"/>
          <w:b/>
          <w:i/>
          <w:color w:val="44546A" w:themeColor="text2"/>
          <w:sz w:val="20"/>
          <w:szCs w:val="20"/>
        </w:rPr>
        <w:t>ARTÍCULO 192.</w:t>
      </w:r>
      <w:r w:rsidRPr="00604DC7">
        <w:rPr>
          <w:rFonts w:ascii="Arial" w:hAnsi="Arial" w:cs="Arial"/>
          <w:i/>
          <w:color w:val="44546A" w:themeColor="text2"/>
          <w:sz w:val="20"/>
          <w:szCs w:val="20"/>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rsidR="00604DC7" w:rsidRPr="00604DC7" w:rsidRDefault="00604DC7" w:rsidP="00604DC7">
      <w:pPr>
        <w:spacing w:line="360" w:lineRule="auto"/>
        <w:ind w:firstLine="709"/>
        <w:jc w:val="both"/>
        <w:rPr>
          <w:rFonts w:ascii="Arial" w:hAnsi="Arial" w:cs="Arial"/>
          <w:i/>
          <w:color w:val="44546A" w:themeColor="text2"/>
          <w:sz w:val="20"/>
          <w:szCs w:val="20"/>
        </w:rPr>
      </w:pPr>
    </w:p>
    <w:p w:rsidR="00604DC7" w:rsidRPr="00604DC7" w:rsidRDefault="00604DC7" w:rsidP="00604DC7">
      <w:pPr>
        <w:spacing w:line="360" w:lineRule="auto"/>
        <w:ind w:firstLine="680"/>
        <w:jc w:val="both"/>
        <w:rPr>
          <w:rFonts w:ascii="Arial" w:hAnsi="Arial" w:cs="Arial"/>
          <w:i/>
          <w:color w:val="44546A" w:themeColor="text2"/>
          <w:sz w:val="20"/>
          <w:szCs w:val="20"/>
        </w:rPr>
      </w:pPr>
      <w:r w:rsidRPr="00604DC7">
        <w:rPr>
          <w:rFonts w:ascii="Arial" w:hAnsi="Arial" w:cs="Arial"/>
          <w:i/>
          <w:color w:val="44546A" w:themeColor="text2"/>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604DC7">
        <w:rPr>
          <w:rFonts w:ascii="Arial" w:hAnsi="Arial" w:cs="Arial"/>
          <w:i/>
          <w:color w:val="44546A" w:themeColor="text2"/>
          <w:sz w:val="20"/>
          <w:szCs w:val="20"/>
        </w:rPr>
        <w:t xml:space="preserve"> </w:t>
      </w:r>
      <w:r w:rsidRPr="00604DC7">
        <w:rPr>
          <w:rFonts w:ascii="Arial" w:hAnsi="Arial" w:cs="Arial"/>
          <w:b/>
          <w:i/>
          <w:color w:val="44546A" w:themeColor="text2"/>
          <w:sz w:val="20"/>
          <w:szCs w:val="20"/>
        </w:rPr>
        <w:t>Notifíquese por lista y personalmente a las partes.”</w:t>
      </w:r>
    </w:p>
    <w:bookmarkEnd w:id="1"/>
    <w:p w:rsidR="00ED2ED7" w:rsidRPr="00ED2ED7" w:rsidRDefault="00ED2ED7" w:rsidP="00ED2ED7">
      <w:pPr>
        <w:rPr>
          <w:rFonts w:ascii="Arial" w:hAnsi="Arial" w:cs="Arial"/>
          <w:i/>
          <w:color w:val="44546A" w:themeColor="text2"/>
          <w:sz w:val="16"/>
          <w:szCs w:val="16"/>
          <w:vertAlign w:val="superscript"/>
        </w:rPr>
      </w:pPr>
      <w:r w:rsidRPr="00ED2ED7">
        <w:rPr>
          <w:rFonts w:ascii="Arial" w:hAnsi="Arial" w:cs="Arial"/>
          <w:i/>
          <w:color w:val="44546A" w:themeColor="text2"/>
          <w:sz w:val="16"/>
          <w:szCs w:val="16"/>
          <w:vertAlign w:val="superscript"/>
        </w:rPr>
        <w:t>HVI.</w:t>
      </w:r>
    </w:p>
    <w:p w:rsidR="00BD4366" w:rsidRPr="00AD3AA3" w:rsidRDefault="00BD4366" w:rsidP="00AD3AA3">
      <w:pPr>
        <w:spacing w:line="360" w:lineRule="auto"/>
        <w:ind w:firstLine="567"/>
        <w:jc w:val="both"/>
        <w:rPr>
          <w:rFonts w:ascii="Arial" w:hAnsi="Arial" w:cs="Arial"/>
          <w:i/>
          <w:color w:val="44546A" w:themeColor="text2"/>
          <w:sz w:val="20"/>
          <w:szCs w:val="20"/>
        </w:rPr>
      </w:pPr>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C12886">
      <w:pPr>
        <w:rPr>
          <w:lang w:val="es-MX"/>
        </w:rPr>
      </w:pPr>
    </w:p>
    <w:sectPr w:rsidR="000A404C" w:rsidRPr="005A47D6" w:rsidSect="002C6B9F">
      <w:headerReference w:type="default" r:id="rId7"/>
      <w:pgSz w:w="12247" w:h="19335" w:code="300"/>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2886" w:rsidRDefault="00C12886" w:rsidP="005A47D6">
      <w:pPr>
        <w:spacing w:after="0" w:line="240" w:lineRule="auto"/>
      </w:pPr>
      <w:r>
        <w:separator/>
      </w:r>
    </w:p>
  </w:endnote>
  <w:endnote w:type="continuationSeparator" w:id="0">
    <w:p w:rsidR="00C12886" w:rsidRDefault="00C12886"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2886" w:rsidRDefault="00C12886" w:rsidP="005A47D6">
      <w:pPr>
        <w:spacing w:after="0" w:line="240" w:lineRule="auto"/>
      </w:pPr>
      <w:r>
        <w:separator/>
      </w:r>
    </w:p>
  </w:footnote>
  <w:footnote w:type="continuationSeparator" w:id="0">
    <w:p w:rsidR="00C12886" w:rsidRDefault="00C12886"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0DF" w:rsidRPr="00FE10DF" w:rsidRDefault="00E5298F" w:rsidP="00FE10DF">
    <w:pPr>
      <w:pStyle w:val="Piedepgina"/>
      <w:rPr>
        <w:i/>
      </w:rPr>
    </w:pPr>
    <w:r>
      <w:rPr>
        <w:rFonts w:ascii="Arial" w:hAnsi="Arial" w:cs="Arial"/>
        <w:i/>
        <w:color w:val="222222"/>
        <w:shd w:val="clear" w:color="auto" w:fill="FFFFFF"/>
      </w:rPr>
      <w:tab/>
      <w:t xml:space="preserve">                  </w:t>
    </w:r>
    <w:r w:rsidR="00FE10DF"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w:t>
    </w:r>
    <w:r w:rsidR="00E5298F">
      <w:rPr>
        <w:rFonts w:ascii="Arial" w:hAnsi="Arial" w:cs="Arial"/>
        <w:b/>
        <w:sz w:val="24"/>
        <w:szCs w:val="24"/>
        <w:lang w:val="es-MX"/>
      </w:rPr>
      <w:tab/>
    </w:r>
    <w:r>
      <w:rPr>
        <w:rFonts w:ascii="Arial" w:hAnsi="Arial" w:cs="Arial"/>
        <w:b/>
        <w:sz w:val="24"/>
        <w:szCs w:val="24"/>
        <w:lang w:val="es-MX"/>
      </w:rPr>
      <w:t>RR-</w:t>
    </w:r>
    <w:r w:rsidR="00604DC7">
      <w:rPr>
        <w:rFonts w:ascii="Arial" w:hAnsi="Arial" w:cs="Arial"/>
        <w:b/>
        <w:sz w:val="24"/>
        <w:szCs w:val="24"/>
        <w:lang w:val="es-MX"/>
      </w:rPr>
      <w:t>330</w:t>
    </w:r>
    <w:r>
      <w:rPr>
        <w:rFonts w:ascii="Arial" w:hAnsi="Arial" w:cs="Arial"/>
        <w:b/>
        <w:sz w:val="24"/>
        <w:szCs w:val="24"/>
        <w:lang w:val="es-MX"/>
      </w:rPr>
      <w:t>/202</w:t>
    </w:r>
    <w:r w:rsidR="00604DC7">
      <w:rPr>
        <w:rFonts w:ascii="Arial" w:hAnsi="Arial" w:cs="Arial"/>
        <w:b/>
        <w:sz w:val="24"/>
        <w:szCs w:val="24"/>
        <w:lang w:val="es-MX"/>
      </w:rPr>
      <w:t>1</w:t>
    </w:r>
    <w:r>
      <w:rPr>
        <w:rFonts w:ascii="Arial" w:hAnsi="Arial" w:cs="Arial"/>
        <w:b/>
        <w:sz w:val="24"/>
        <w:szCs w:val="24"/>
        <w:lang w:val="es-MX"/>
      </w:rPr>
      <w:t>-1</w:t>
    </w:r>
    <w:r w:rsidR="00ED2ED7">
      <w:rPr>
        <w:rFonts w:ascii="Arial" w:hAnsi="Arial" w:cs="Arial"/>
        <w:b/>
        <w:sz w:val="24"/>
        <w:szCs w:val="24"/>
        <w:lang w:val="es-MX"/>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7D6"/>
    <w:rsid w:val="000F0B5C"/>
    <w:rsid w:val="00127FA7"/>
    <w:rsid w:val="0014282D"/>
    <w:rsid w:val="00186AC9"/>
    <w:rsid w:val="00187D95"/>
    <w:rsid w:val="00192149"/>
    <w:rsid w:val="001F39C4"/>
    <w:rsid w:val="001F64E6"/>
    <w:rsid w:val="002012E8"/>
    <w:rsid w:val="0021399A"/>
    <w:rsid w:val="00217971"/>
    <w:rsid w:val="00217E18"/>
    <w:rsid w:val="00256E7E"/>
    <w:rsid w:val="002C6B9F"/>
    <w:rsid w:val="003073AA"/>
    <w:rsid w:val="00336320"/>
    <w:rsid w:val="003427A6"/>
    <w:rsid w:val="003679C1"/>
    <w:rsid w:val="00385A2A"/>
    <w:rsid w:val="003A4007"/>
    <w:rsid w:val="003B283A"/>
    <w:rsid w:val="003F0712"/>
    <w:rsid w:val="00405767"/>
    <w:rsid w:val="00461777"/>
    <w:rsid w:val="004B7A02"/>
    <w:rsid w:val="00525DCB"/>
    <w:rsid w:val="00553665"/>
    <w:rsid w:val="005A47D6"/>
    <w:rsid w:val="005D178C"/>
    <w:rsid w:val="00604DC7"/>
    <w:rsid w:val="0062064B"/>
    <w:rsid w:val="0063445C"/>
    <w:rsid w:val="006C5C84"/>
    <w:rsid w:val="006E075D"/>
    <w:rsid w:val="007753D2"/>
    <w:rsid w:val="007B53A2"/>
    <w:rsid w:val="007F50CF"/>
    <w:rsid w:val="00912C6D"/>
    <w:rsid w:val="00981FD3"/>
    <w:rsid w:val="009A4425"/>
    <w:rsid w:val="009C0FA5"/>
    <w:rsid w:val="00A30CBD"/>
    <w:rsid w:val="00AD3AA3"/>
    <w:rsid w:val="00B579DD"/>
    <w:rsid w:val="00BA592B"/>
    <w:rsid w:val="00BD369C"/>
    <w:rsid w:val="00BD4366"/>
    <w:rsid w:val="00C07FEA"/>
    <w:rsid w:val="00C12886"/>
    <w:rsid w:val="00C308F1"/>
    <w:rsid w:val="00C523D0"/>
    <w:rsid w:val="00C80C1A"/>
    <w:rsid w:val="00C92295"/>
    <w:rsid w:val="00D1597D"/>
    <w:rsid w:val="00DB4FC7"/>
    <w:rsid w:val="00DC7720"/>
    <w:rsid w:val="00E22421"/>
    <w:rsid w:val="00E5298F"/>
    <w:rsid w:val="00ED2ED7"/>
    <w:rsid w:val="00F0110B"/>
    <w:rsid w:val="00F238FB"/>
    <w:rsid w:val="00F802ED"/>
    <w:rsid w:val="00F90264"/>
    <w:rsid w:val="00F9181C"/>
    <w:rsid w:val="00F96BEE"/>
    <w:rsid w:val="00FC4A5E"/>
    <w:rsid w:val="00FE0120"/>
    <w:rsid w:val="00FE10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FF0DCE"/>
  <w15:docId w15:val="{F5B72182-9E46-47B9-9B9F-F05C8A36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customStyle="1" w:styleId="xmsonormal">
    <w:name w:val="x_msonormal"/>
    <w:basedOn w:val="Normal"/>
    <w:rsid w:val="0063445C"/>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Sinespaciado">
    <w:name w:val="No Spacing"/>
    <w:qFormat/>
    <w:rsid w:val="00AD3AA3"/>
    <w:pPr>
      <w:spacing w:after="0" w:line="240" w:lineRule="auto"/>
    </w:pPr>
    <w:rPr>
      <w:rFonts w:ascii="Calibri" w:eastAsia="Calibri" w:hAnsi="Calibri" w:cs="Times New Roman"/>
      <w:lang w:val="es-MX"/>
    </w:rPr>
  </w:style>
  <w:style w:type="paragraph" w:styleId="Prrafodelista">
    <w:name w:val="List Paragraph"/>
    <w:basedOn w:val="Normal"/>
    <w:uiPriority w:val="34"/>
    <w:qFormat/>
    <w:rsid w:val="00BD369C"/>
    <w:pPr>
      <w:spacing w:after="0" w:line="240" w:lineRule="auto"/>
      <w:ind w:left="720"/>
      <w:contextualSpacing/>
    </w:pPr>
    <w:rPr>
      <w:rFonts w:ascii="Arial" w:eastAsia="Times New Roman" w:hAnsi="Arial" w:cs="Times New Roman"/>
      <w:sz w:val="24"/>
      <w:szCs w:val="20"/>
      <w:lang w:eastAsia="es-MX"/>
    </w:rPr>
  </w:style>
  <w:style w:type="character" w:customStyle="1" w:styleId="corte4fondoCar1">
    <w:name w:val="corte4 fondo Car1"/>
    <w:link w:val="corte4fondo"/>
    <w:locked/>
    <w:rsid w:val="00BD369C"/>
    <w:rPr>
      <w:rFonts w:ascii="Arial" w:eastAsia="Times New Roman" w:hAnsi="Arial"/>
      <w:sz w:val="30"/>
    </w:rPr>
  </w:style>
  <w:style w:type="paragraph" w:customStyle="1" w:styleId="corte4fondo">
    <w:name w:val="corte4 fondo"/>
    <w:basedOn w:val="Normal"/>
    <w:link w:val="corte4fondoCar1"/>
    <w:qFormat/>
    <w:rsid w:val="00BD369C"/>
    <w:pPr>
      <w:spacing w:after="0" w:line="360" w:lineRule="auto"/>
      <w:ind w:firstLine="709"/>
      <w:jc w:val="both"/>
    </w:pPr>
    <w:rPr>
      <w:rFonts w:ascii="Arial" w:eastAsia="Times New Roman" w:hAnsi="Arial"/>
      <w:sz w:val="30"/>
    </w:rPr>
  </w:style>
  <w:style w:type="character" w:customStyle="1" w:styleId="il">
    <w:name w:val="il"/>
    <w:basedOn w:val="Fuentedeprrafopredeter"/>
    <w:rsid w:val="00604D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1178</Words>
  <Characters>6479</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Monsivais</dc:creator>
  <cp:lastModifiedBy>Marcela</cp:lastModifiedBy>
  <cp:revision>5</cp:revision>
  <cp:lastPrinted>2022-06-08T19:27:00Z</cp:lastPrinted>
  <dcterms:created xsi:type="dcterms:W3CDTF">2022-08-01T07:32:00Z</dcterms:created>
  <dcterms:modified xsi:type="dcterms:W3CDTF">2022-08-10T14:27:00Z</dcterms:modified>
</cp:coreProperties>
</file>