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37B7D" w14:textId="77E674CA" w:rsidR="007F205A" w:rsidRPr="009A10E6" w:rsidRDefault="0055137A" w:rsidP="007F205A">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9A10E6">
        <w:rPr>
          <w:rFonts w:ascii="Arial" w:hAnsi="Arial" w:cs="Arial"/>
          <w:b/>
          <w:sz w:val="22"/>
        </w:rPr>
        <w:t xml:space="preserve">- </w:t>
      </w:r>
      <w:r w:rsidR="00016CF1" w:rsidRPr="009A10E6">
        <w:rPr>
          <w:rFonts w:ascii="Arial" w:hAnsi="Arial" w:cs="Arial"/>
          <w:b/>
          <w:sz w:val="22"/>
        </w:rPr>
        <w:t xml:space="preserve">- - - - - - - </w:t>
      </w:r>
      <w:r w:rsidR="007135B3" w:rsidRPr="009A10E6">
        <w:rPr>
          <w:rFonts w:ascii="Arial" w:hAnsi="Arial" w:cs="Arial"/>
          <w:b/>
          <w:sz w:val="22"/>
        </w:rPr>
        <w:t xml:space="preserve">- - - - - - - - - - - - - - - - - - - - </w:t>
      </w:r>
      <w:r w:rsidR="00016CF1" w:rsidRPr="009A10E6">
        <w:rPr>
          <w:rFonts w:ascii="Arial" w:hAnsi="Arial" w:cs="Arial"/>
          <w:b/>
          <w:sz w:val="22"/>
        </w:rPr>
        <w:t xml:space="preserve">- - - - - - - - </w:t>
      </w:r>
      <w:r w:rsidRPr="009A10E6">
        <w:rPr>
          <w:rFonts w:ascii="Arial" w:hAnsi="Arial" w:cs="Arial"/>
          <w:b/>
          <w:sz w:val="22"/>
        </w:rPr>
        <w:t xml:space="preserve">- - - - - - C E R T I F I C A - - - - - - - - </w:t>
      </w:r>
      <w:r w:rsidR="007F205A" w:rsidRPr="009A10E6">
        <w:rPr>
          <w:rFonts w:ascii="Arial" w:hAnsi="Arial" w:cs="Arial"/>
          <w:b/>
          <w:sz w:val="22"/>
        </w:rPr>
        <w:t xml:space="preserve">- - - - - - --- - - - - - --- - - - - - </w:t>
      </w:r>
      <w:r w:rsidRPr="009A10E6">
        <w:rPr>
          <w:rFonts w:ascii="Arial" w:hAnsi="Arial" w:cs="Arial"/>
          <w:sz w:val="22"/>
        </w:rPr>
        <w:t xml:space="preserve">Que el término de </w:t>
      </w:r>
      <w:r w:rsidR="00CE1212">
        <w:rPr>
          <w:rFonts w:ascii="Arial" w:hAnsi="Arial" w:cs="Arial"/>
          <w:sz w:val="22"/>
        </w:rPr>
        <w:t>05 cinco</w:t>
      </w:r>
      <w:r w:rsidR="009F48C0" w:rsidRPr="009A10E6">
        <w:rPr>
          <w:rFonts w:ascii="Arial" w:hAnsi="Arial" w:cs="Arial"/>
          <w:sz w:val="22"/>
        </w:rPr>
        <w:t xml:space="preserve"> </w:t>
      </w:r>
      <w:r w:rsidRPr="009A10E6">
        <w:rPr>
          <w:rFonts w:ascii="Arial" w:hAnsi="Arial" w:cs="Arial"/>
          <w:sz w:val="22"/>
        </w:rPr>
        <w:t xml:space="preserve">días hábiles que se le concedió al sujeto obligado de conformidad con resolución de </w:t>
      </w:r>
      <w:r w:rsidR="00E7258D" w:rsidRPr="009A10E6">
        <w:rPr>
          <w:rFonts w:ascii="Arial" w:hAnsi="Arial" w:cs="Arial"/>
          <w:sz w:val="22"/>
        </w:rPr>
        <w:t>mérito</w:t>
      </w:r>
      <w:r w:rsidRPr="009A10E6">
        <w:rPr>
          <w:rFonts w:ascii="Arial" w:hAnsi="Arial" w:cs="Arial"/>
          <w:sz w:val="22"/>
        </w:rPr>
        <w:t xml:space="preserve">, para dar cumplimiento a las determinaciones vertida en la resolución dictada dentro del presente recurso de revisión; mismo que fue  notificado el </w:t>
      </w:r>
      <w:r w:rsidR="00CE1212">
        <w:rPr>
          <w:rFonts w:ascii="Arial" w:hAnsi="Arial" w:cs="Arial"/>
          <w:sz w:val="22"/>
        </w:rPr>
        <w:t>19</w:t>
      </w:r>
      <w:r w:rsidR="0007365A">
        <w:rPr>
          <w:rFonts w:ascii="Arial" w:hAnsi="Arial" w:cs="Arial"/>
          <w:sz w:val="22"/>
        </w:rPr>
        <w:t xml:space="preserve"> diecinueve de noviembre</w:t>
      </w:r>
      <w:r w:rsidR="007F205A" w:rsidRPr="009A10E6">
        <w:rPr>
          <w:rFonts w:ascii="Arial" w:hAnsi="Arial" w:cs="Arial"/>
          <w:sz w:val="22"/>
        </w:rPr>
        <w:t xml:space="preserve"> </w:t>
      </w:r>
      <w:r w:rsidR="004A15FC">
        <w:rPr>
          <w:rFonts w:ascii="Arial" w:hAnsi="Arial" w:cs="Arial"/>
          <w:sz w:val="22"/>
        </w:rPr>
        <w:t>de 2021 dos mil veintiuno</w:t>
      </w:r>
      <w:r w:rsidRPr="009A10E6">
        <w:rPr>
          <w:rFonts w:ascii="Arial" w:hAnsi="Arial" w:cs="Arial"/>
          <w:sz w:val="22"/>
        </w:rPr>
        <w:t xml:space="preserve">, por lo que dicho plazo comenzó a correr el </w:t>
      </w:r>
      <w:r w:rsidR="00E01B64">
        <w:rPr>
          <w:rFonts w:ascii="Arial" w:hAnsi="Arial" w:cs="Arial"/>
          <w:sz w:val="22"/>
        </w:rPr>
        <w:t>22 veintidós</w:t>
      </w:r>
      <w:r w:rsidR="0007365A">
        <w:rPr>
          <w:rFonts w:ascii="Arial" w:hAnsi="Arial" w:cs="Arial"/>
          <w:sz w:val="22"/>
        </w:rPr>
        <w:t xml:space="preserve"> de noviem</w:t>
      </w:r>
      <w:r w:rsidR="007F205A" w:rsidRPr="009A10E6">
        <w:rPr>
          <w:rFonts w:ascii="Arial" w:hAnsi="Arial" w:cs="Arial"/>
          <w:sz w:val="22"/>
        </w:rPr>
        <w:t xml:space="preserve">bre </w:t>
      </w:r>
      <w:r w:rsidRPr="009A10E6">
        <w:rPr>
          <w:rFonts w:ascii="Arial" w:hAnsi="Arial" w:cs="Arial"/>
          <w:sz w:val="22"/>
        </w:rPr>
        <w:t xml:space="preserve">y concluyó el </w:t>
      </w:r>
      <w:r w:rsidR="0007365A">
        <w:rPr>
          <w:rFonts w:ascii="Arial" w:hAnsi="Arial" w:cs="Arial"/>
          <w:sz w:val="22"/>
        </w:rPr>
        <w:t>26 veintiséis</w:t>
      </w:r>
      <w:r w:rsidR="00A337EB">
        <w:rPr>
          <w:rFonts w:ascii="Arial" w:hAnsi="Arial" w:cs="Arial"/>
          <w:sz w:val="22"/>
        </w:rPr>
        <w:t xml:space="preserve"> de novi</w:t>
      </w:r>
      <w:r w:rsidR="004A15FC">
        <w:rPr>
          <w:rFonts w:ascii="Arial" w:hAnsi="Arial" w:cs="Arial"/>
          <w:sz w:val="22"/>
        </w:rPr>
        <w:t>em</w:t>
      </w:r>
      <w:r w:rsidR="007F205A" w:rsidRPr="009A10E6">
        <w:rPr>
          <w:rFonts w:ascii="Arial" w:hAnsi="Arial" w:cs="Arial"/>
          <w:sz w:val="22"/>
        </w:rPr>
        <w:t>bre</w:t>
      </w:r>
      <w:r w:rsidRPr="009A10E6">
        <w:rPr>
          <w:rFonts w:ascii="Arial" w:hAnsi="Arial" w:cs="Arial"/>
          <w:sz w:val="22"/>
        </w:rPr>
        <w:t xml:space="preserve">, ambos de </w:t>
      </w:r>
      <w:r w:rsidR="004A15FC">
        <w:rPr>
          <w:rFonts w:ascii="Arial" w:hAnsi="Arial" w:cs="Arial"/>
          <w:sz w:val="22"/>
        </w:rPr>
        <w:t>2021</w:t>
      </w:r>
      <w:r w:rsidR="007F205A" w:rsidRPr="009A10E6">
        <w:rPr>
          <w:rFonts w:ascii="Arial" w:hAnsi="Arial" w:cs="Arial"/>
          <w:sz w:val="22"/>
        </w:rPr>
        <w:t xml:space="preserve"> dos mil v</w:t>
      </w:r>
      <w:r w:rsidR="004A15FC">
        <w:rPr>
          <w:rFonts w:ascii="Arial" w:hAnsi="Arial" w:cs="Arial"/>
          <w:sz w:val="22"/>
        </w:rPr>
        <w:t>eintiuno</w:t>
      </w:r>
      <w:r w:rsidRPr="009A10E6">
        <w:rPr>
          <w:rFonts w:ascii="Arial" w:hAnsi="Arial" w:cs="Arial"/>
          <w:sz w:val="22"/>
        </w:rPr>
        <w:t xml:space="preserve">; descontándose los días inhábiles. Lo que se asienta para constancia legal en la ciudad de San Luis Potosí, San Luis Potosí a </w:t>
      </w:r>
      <w:r w:rsidR="0001694D">
        <w:rPr>
          <w:rFonts w:ascii="Arial" w:hAnsi="Arial" w:cs="Arial"/>
          <w:sz w:val="22"/>
        </w:rPr>
        <w:t>28 veintiocho de octubre</w:t>
      </w:r>
      <w:r w:rsidR="004A15FC">
        <w:rPr>
          <w:rFonts w:ascii="Arial" w:hAnsi="Arial" w:cs="Arial"/>
          <w:sz w:val="22"/>
        </w:rPr>
        <w:t xml:space="preserve"> de 2022 dos mil veintidós</w:t>
      </w:r>
      <w:r w:rsidR="007F205A" w:rsidRPr="009A10E6">
        <w:rPr>
          <w:rFonts w:ascii="Arial" w:hAnsi="Arial" w:cs="Arial"/>
          <w:sz w:val="22"/>
        </w:rPr>
        <w:t>.</w:t>
      </w:r>
    </w:p>
    <w:p w14:paraId="6F154DFD" w14:textId="77777777" w:rsidR="0055137A" w:rsidRPr="009A10E6" w:rsidRDefault="0055137A" w:rsidP="0055137A">
      <w:pPr>
        <w:tabs>
          <w:tab w:val="left" w:pos="6840"/>
        </w:tabs>
        <w:spacing w:line="360" w:lineRule="auto"/>
        <w:jc w:val="both"/>
        <w:outlineLvl w:val="5"/>
        <w:rPr>
          <w:rFonts w:ascii="Arial" w:hAnsi="Arial" w:cs="Arial"/>
          <w:sz w:val="22"/>
        </w:rPr>
      </w:pPr>
      <w:r w:rsidRPr="009A10E6">
        <w:rPr>
          <w:rFonts w:ascii="Arial" w:hAnsi="Arial" w:cs="Arial"/>
          <w:b/>
          <w:sz w:val="22"/>
        </w:rPr>
        <w:t>DOY FE. –</w:t>
      </w:r>
    </w:p>
    <w:p w14:paraId="1F5DCC1D" w14:textId="77777777" w:rsidR="0055137A" w:rsidRPr="009A10E6" w:rsidRDefault="0055137A" w:rsidP="0007284C">
      <w:pPr>
        <w:tabs>
          <w:tab w:val="left" w:pos="6840"/>
        </w:tabs>
        <w:spacing w:line="360" w:lineRule="auto"/>
        <w:outlineLvl w:val="5"/>
        <w:rPr>
          <w:rFonts w:ascii="Arial" w:hAnsi="Arial" w:cs="Arial"/>
          <w:sz w:val="22"/>
        </w:rPr>
      </w:pPr>
      <w:r w:rsidRPr="009A10E6">
        <w:rPr>
          <w:rFonts w:ascii="Arial" w:hAnsi="Arial" w:cs="Arial"/>
          <w:sz w:val="22"/>
        </w:rPr>
        <w:t xml:space="preserve">                                                                                                                                       </w:t>
      </w:r>
    </w:p>
    <w:p w14:paraId="6C6C28E8" w14:textId="3FD8AE14" w:rsidR="0055137A" w:rsidRPr="009A10E6" w:rsidRDefault="0055137A" w:rsidP="004A15FC">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San Luis Potosí, San Luis Potosí, </w:t>
      </w:r>
      <w:r w:rsidR="004A15FC" w:rsidRPr="009A10E6">
        <w:rPr>
          <w:rFonts w:ascii="Arial" w:hAnsi="Arial" w:cs="Arial"/>
          <w:sz w:val="22"/>
        </w:rPr>
        <w:t xml:space="preserve">a </w:t>
      </w:r>
      <w:r w:rsidR="0001694D" w:rsidRPr="0001694D">
        <w:rPr>
          <w:rFonts w:ascii="Arial" w:hAnsi="Arial" w:cs="Arial"/>
          <w:sz w:val="22"/>
        </w:rPr>
        <w:t xml:space="preserve">28 veintiocho de octubre </w:t>
      </w:r>
      <w:r w:rsidR="004A15FC">
        <w:rPr>
          <w:rFonts w:ascii="Arial" w:hAnsi="Arial" w:cs="Arial"/>
          <w:sz w:val="22"/>
        </w:rPr>
        <w:t>de 2022 dos mil veintidós</w:t>
      </w:r>
      <w:r w:rsidR="004A15FC" w:rsidRPr="009A10E6">
        <w:rPr>
          <w:rFonts w:ascii="Arial" w:hAnsi="Arial" w:cs="Arial"/>
          <w:sz w:val="22"/>
        </w:rPr>
        <w:t>.</w:t>
      </w:r>
    </w:p>
    <w:p w14:paraId="0C6A4B37" w14:textId="77777777" w:rsidR="00443312" w:rsidRPr="009A10E6" w:rsidRDefault="00443312" w:rsidP="001A763C">
      <w:pPr>
        <w:spacing w:line="360" w:lineRule="auto"/>
        <w:jc w:val="both"/>
        <w:rPr>
          <w:rFonts w:ascii="Arial" w:hAnsi="Arial" w:cs="Arial"/>
          <w:sz w:val="22"/>
        </w:rPr>
      </w:pPr>
    </w:p>
    <w:p w14:paraId="64D42511"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Visto el estado que guardan los presentes autos </w:t>
      </w:r>
      <w:r w:rsidR="009A10E6" w:rsidRPr="009A10E6">
        <w:rPr>
          <w:rFonts w:ascii="Arial" w:hAnsi="Arial" w:cs="Arial"/>
          <w:sz w:val="22"/>
        </w:rPr>
        <w:t>y con</w:t>
      </w:r>
      <w:r w:rsidRPr="009A10E6">
        <w:rPr>
          <w:rFonts w:ascii="Arial" w:hAnsi="Arial" w:cs="Arial"/>
          <w:sz w:val="22"/>
        </w:rPr>
        <w:t xml:space="preserve">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sidRPr="009A10E6">
        <w:rPr>
          <w:rFonts w:ascii="Arial" w:hAnsi="Arial" w:cs="Arial"/>
          <w:b/>
          <w:sz w:val="22"/>
        </w:rPr>
        <w:t>RR-</w:t>
      </w:r>
      <w:r w:rsidR="00A6094B">
        <w:rPr>
          <w:rFonts w:ascii="Arial" w:hAnsi="Arial" w:cs="Arial"/>
          <w:b/>
          <w:sz w:val="22"/>
        </w:rPr>
        <w:t>226/2018</w:t>
      </w:r>
      <w:r w:rsidR="00EE1000" w:rsidRPr="009A10E6">
        <w:rPr>
          <w:rFonts w:ascii="Arial" w:hAnsi="Arial" w:cs="Arial"/>
          <w:b/>
          <w:sz w:val="22"/>
        </w:rPr>
        <w:t>-1</w:t>
      </w:r>
      <w:r w:rsidR="00295A46" w:rsidRPr="009A10E6">
        <w:rPr>
          <w:rFonts w:ascii="Arial" w:hAnsi="Arial" w:cs="Arial"/>
          <w:b/>
          <w:sz w:val="22"/>
        </w:rPr>
        <w:t>.</w:t>
      </w:r>
    </w:p>
    <w:p w14:paraId="399EDDD6" w14:textId="77777777" w:rsidR="0055137A" w:rsidRPr="009A10E6" w:rsidRDefault="0055137A" w:rsidP="0055137A">
      <w:pPr>
        <w:spacing w:line="360" w:lineRule="auto"/>
        <w:ind w:firstLine="708"/>
        <w:jc w:val="both"/>
        <w:rPr>
          <w:rFonts w:ascii="Arial" w:hAnsi="Arial" w:cs="Arial"/>
          <w:sz w:val="22"/>
        </w:rPr>
      </w:pPr>
    </w:p>
    <w:p w14:paraId="1EB11A5C"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En primer término, resulta necesario insertar los efectos dictados en la resolución:</w:t>
      </w:r>
    </w:p>
    <w:p w14:paraId="0B4CF711" w14:textId="77777777" w:rsidR="0055137A" w:rsidRPr="009A10E6" w:rsidRDefault="0055137A" w:rsidP="0055137A">
      <w:pPr>
        <w:pStyle w:val="corte4fondo"/>
        <w:tabs>
          <w:tab w:val="left" w:pos="567"/>
        </w:tabs>
        <w:spacing w:line="240" w:lineRule="auto"/>
        <w:rPr>
          <w:rFonts w:cs="Arial"/>
          <w:i/>
          <w:sz w:val="18"/>
        </w:rPr>
      </w:pPr>
    </w:p>
    <w:p w14:paraId="22AF1122" w14:textId="77777777" w:rsidR="0055137A" w:rsidRPr="009A10E6" w:rsidRDefault="0055137A" w:rsidP="0055137A">
      <w:pPr>
        <w:pStyle w:val="corte4fondo"/>
        <w:tabs>
          <w:tab w:val="left" w:pos="567"/>
        </w:tabs>
        <w:spacing w:line="240" w:lineRule="auto"/>
        <w:rPr>
          <w:rFonts w:cs="Arial"/>
          <w:i/>
          <w:sz w:val="18"/>
        </w:rPr>
      </w:pPr>
      <w:r w:rsidRPr="009A10E6">
        <w:rPr>
          <w:rFonts w:cs="Arial"/>
          <w:i/>
          <w:sz w:val="18"/>
        </w:rPr>
        <w:t>“[…]</w:t>
      </w:r>
    </w:p>
    <w:p w14:paraId="3131038B" w14:textId="77777777" w:rsidR="007F205A" w:rsidRPr="009A10E6" w:rsidRDefault="007F205A" w:rsidP="007F205A">
      <w:pPr>
        <w:pStyle w:val="corte4fondo"/>
        <w:tabs>
          <w:tab w:val="left" w:pos="567"/>
        </w:tabs>
        <w:ind w:left="680"/>
        <w:rPr>
          <w:rFonts w:cs="Arial"/>
          <w:b/>
          <w:color w:val="000000" w:themeColor="text1"/>
          <w:sz w:val="22"/>
          <w:szCs w:val="24"/>
        </w:rPr>
      </w:pPr>
      <w:r w:rsidRPr="009A10E6">
        <w:rPr>
          <w:rFonts w:cs="Arial"/>
          <w:b/>
          <w:color w:val="000000" w:themeColor="text1"/>
          <w:sz w:val="22"/>
          <w:szCs w:val="24"/>
        </w:rPr>
        <w:t>6.1. Sentido y efectos de esta resolución.</w:t>
      </w:r>
    </w:p>
    <w:p w14:paraId="4061BC32" w14:textId="77777777" w:rsidR="007F205A"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Por las consideraciones expuestas, esta Comisión Estatal de Garantía de Acceso a la Información Pública de conformidad</w:t>
      </w:r>
      <w:r w:rsidR="00E01B64">
        <w:rPr>
          <w:rFonts w:cs="Arial"/>
          <w:color w:val="000000" w:themeColor="text1"/>
          <w:sz w:val="22"/>
          <w:szCs w:val="24"/>
        </w:rPr>
        <w:t xml:space="preserve"> </w:t>
      </w:r>
      <w:r w:rsidR="00A6094B">
        <w:rPr>
          <w:rFonts w:cs="Arial"/>
          <w:color w:val="000000" w:themeColor="text1"/>
          <w:sz w:val="22"/>
          <w:szCs w:val="24"/>
        </w:rPr>
        <w:t>con el artículo 175</w:t>
      </w:r>
      <w:r w:rsidR="00A6094B" w:rsidRPr="009A10E6">
        <w:rPr>
          <w:rFonts w:cs="Arial"/>
          <w:color w:val="000000" w:themeColor="text1"/>
          <w:sz w:val="22"/>
          <w:szCs w:val="24"/>
        </w:rPr>
        <w:t>,</w:t>
      </w:r>
      <w:r w:rsidR="00A6094B">
        <w:rPr>
          <w:rFonts w:cs="Arial"/>
          <w:color w:val="000000" w:themeColor="text1"/>
          <w:sz w:val="22"/>
          <w:szCs w:val="24"/>
        </w:rPr>
        <w:t xml:space="preserve"> fracción III </w:t>
      </w:r>
      <w:r w:rsidRPr="009A10E6">
        <w:rPr>
          <w:rFonts w:cs="Arial"/>
          <w:color w:val="000000" w:themeColor="text1"/>
          <w:sz w:val="22"/>
          <w:szCs w:val="24"/>
        </w:rPr>
        <w:t>de la Ley de Transparencia y Acceso a la Información Pública del Es</w:t>
      </w:r>
      <w:r w:rsidR="00B66E29">
        <w:rPr>
          <w:rFonts w:cs="Arial"/>
          <w:color w:val="000000" w:themeColor="text1"/>
          <w:sz w:val="22"/>
          <w:szCs w:val="24"/>
        </w:rPr>
        <w:t xml:space="preserve">tado, </w:t>
      </w:r>
      <w:r w:rsidR="00A6094B">
        <w:rPr>
          <w:rFonts w:cs="Arial"/>
          <w:b/>
          <w:color w:val="000000" w:themeColor="text1"/>
          <w:sz w:val="22"/>
          <w:szCs w:val="24"/>
        </w:rPr>
        <w:t xml:space="preserve">MODIFICA </w:t>
      </w:r>
      <w:r w:rsidR="00A6094B">
        <w:rPr>
          <w:rFonts w:cs="Arial"/>
          <w:color w:val="000000" w:themeColor="text1"/>
          <w:sz w:val="22"/>
          <w:szCs w:val="24"/>
        </w:rPr>
        <w:t>la respuesta proporcionada por el sujeto obligado y</w:t>
      </w:r>
      <w:r w:rsidRPr="009A10E6">
        <w:rPr>
          <w:rFonts w:cs="Arial"/>
          <w:color w:val="000000" w:themeColor="text1"/>
          <w:sz w:val="22"/>
          <w:szCs w:val="24"/>
        </w:rPr>
        <w:t xml:space="preserve"> con</w:t>
      </w:r>
      <w:r w:rsidR="00A6094B">
        <w:rPr>
          <w:rFonts w:cs="Arial"/>
          <w:color w:val="000000" w:themeColor="text1"/>
          <w:sz w:val="22"/>
          <w:szCs w:val="24"/>
        </w:rPr>
        <w:t>mina al sujeto obligado para que desclasifique la información reservada y entregue</w:t>
      </w:r>
      <w:r w:rsidRPr="009A10E6">
        <w:rPr>
          <w:rFonts w:cs="Arial"/>
          <w:color w:val="000000" w:themeColor="text1"/>
          <w:sz w:val="22"/>
          <w:szCs w:val="24"/>
        </w:rPr>
        <w:t>:</w:t>
      </w:r>
    </w:p>
    <w:p w14:paraId="007D95B2" w14:textId="77777777" w:rsidR="00B66E29" w:rsidRPr="00A6094B" w:rsidRDefault="00A6094B" w:rsidP="00A6094B">
      <w:pPr>
        <w:pStyle w:val="Prrafodelista"/>
        <w:numPr>
          <w:ilvl w:val="0"/>
          <w:numId w:val="16"/>
        </w:numPr>
        <w:spacing w:line="360" w:lineRule="auto"/>
        <w:jc w:val="both"/>
        <w:rPr>
          <w:rFonts w:cs="Arial"/>
          <w:color w:val="000000" w:themeColor="text1"/>
          <w:sz w:val="22"/>
          <w:lang w:val="es-MX"/>
        </w:rPr>
      </w:pPr>
      <w:r>
        <w:rPr>
          <w:rFonts w:cs="Arial"/>
          <w:color w:val="000000" w:themeColor="text1"/>
          <w:sz w:val="22"/>
          <w:lang w:val="es-MX"/>
        </w:rPr>
        <w:lastRenderedPageBreak/>
        <w:t>REUC VIGENTE DE TODAS LAS EMPRESAS A LAS QUE SE LES HAYAN ADJUDICADO OBRAS EN LOS EJERCICIOS 2016 Y 2017.</w:t>
      </w:r>
    </w:p>
    <w:p w14:paraId="6CE484BC" w14:textId="77777777" w:rsidR="00A337EB" w:rsidRPr="00A337EB" w:rsidRDefault="00A6094B" w:rsidP="00A6094B">
      <w:pPr>
        <w:pStyle w:val="Prrafodelista"/>
        <w:spacing w:line="360" w:lineRule="auto"/>
        <w:jc w:val="both"/>
        <w:rPr>
          <w:rFonts w:cs="Arial"/>
          <w:color w:val="000000" w:themeColor="text1"/>
          <w:sz w:val="22"/>
          <w:lang w:val="es-MX"/>
        </w:rPr>
      </w:pPr>
      <w:r w:rsidRPr="00A337EB">
        <w:rPr>
          <w:rFonts w:cs="Arial"/>
          <w:color w:val="000000" w:themeColor="text1"/>
          <w:sz w:val="22"/>
          <w:lang w:val="es-MX"/>
        </w:rPr>
        <w:t xml:space="preserve"> </w:t>
      </w:r>
    </w:p>
    <w:p w14:paraId="15C50D8C" w14:textId="77777777" w:rsidR="00295A46" w:rsidRPr="009A10E6" w:rsidRDefault="0055137A" w:rsidP="00295A46">
      <w:pPr>
        <w:spacing w:line="360" w:lineRule="auto"/>
        <w:ind w:firstLine="708"/>
        <w:jc w:val="both"/>
        <w:rPr>
          <w:rFonts w:ascii="Arial" w:hAnsi="Arial" w:cs="Arial"/>
          <w:sz w:val="22"/>
        </w:rPr>
      </w:pPr>
      <w:r w:rsidRPr="009A10E6">
        <w:rPr>
          <w:rFonts w:ascii="Arial" w:hAnsi="Arial" w:cs="Arial"/>
          <w:sz w:val="22"/>
        </w:rPr>
        <w:t xml:space="preserve">Derivado de lo anterior, </w:t>
      </w:r>
      <w:r w:rsidR="00295A46" w:rsidRPr="009A10E6">
        <w:rPr>
          <w:rFonts w:ascii="Arial" w:hAnsi="Arial" w:cs="Arial"/>
          <w:sz w:val="22"/>
        </w:rPr>
        <w:t>y de una revisión a las constancias que integran el recurso de revisión en que se actúa, se advierte ha transcurrido el termino</w:t>
      </w:r>
      <w:r w:rsidR="001A763C" w:rsidRPr="009A10E6">
        <w:rPr>
          <w:rFonts w:ascii="Arial" w:hAnsi="Arial" w:cs="Arial"/>
          <w:sz w:val="22"/>
        </w:rPr>
        <w:t xml:space="preserve"> otorgado</w:t>
      </w:r>
      <w:r w:rsidR="00594759" w:rsidRPr="009A10E6">
        <w:rPr>
          <w:rFonts w:ascii="Arial" w:hAnsi="Arial" w:cs="Arial"/>
          <w:sz w:val="22"/>
        </w:rPr>
        <w:t xml:space="preserve"> </w:t>
      </w:r>
      <w:r w:rsidR="00295A46" w:rsidRPr="009A10E6">
        <w:rPr>
          <w:rFonts w:ascii="Arial" w:hAnsi="Arial" w:cs="Arial"/>
          <w:sz w:val="22"/>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9A10E6">
        <w:rPr>
          <w:rFonts w:ascii="Arial" w:hAnsi="Arial" w:cs="Arial"/>
          <w:sz w:val="22"/>
        </w:rPr>
        <w:t>mérito</w:t>
      </w:r>
      <w:r w:rsidR="00295A46" w:rsidRPr="009A10E6">
        <w:rPr>
          <w:rFonts w:ascii="Arial" w:hAnsi="Arial" w:cs="Arial"/>
          <w:sz w:val="22"/>
        </w:rPr>
        <w:t>.</w:t>
      </w:r>
    </w:p>
    <w:p w14:paraId="43A56C6E" w14:textId="77777777" w:rsidR="0055137A" w:rsidRPr="009A10E6" w:rsidRDefault="0055137A" w:rsidP="007E0C95">
      <w:pPr>
        <w:spacing w:line="360" w:lineRule="auto"/>
        <w:jc w:val="both"/>
        <w:rPr>
          <w:rFonts w:ascii="Arial" w:hAnsi="Arial" w:cs="Arial"/>
          <w:sz w:val="22"/>
        </w:rPr>
      </w:pPr>
    </w:p>
    <w:p w14:paraId="3C3D971F"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En las condiciones anotadas, de la revisión al citado </w:t>
      </w:r>
      <w:r w:rsidR="003773C6" w:rsidRPr="009A10E6">
        <w:rPr>
          <w:rFonts w:ascii="Arial" w:hAnsi="Arial" w:cs="Arial"/>
          <w:sz w:val="22"/>
        </w:rPr>
        <w:t>recurso de revisión</w:t>
      </w:r>
      <w:r w:rsidRPr="009A10E6">
        <w:rPr>
          <w:rFonts w:ascii="Arial" w:hAnsi="Arial" w:cs="Arial"/>
          <w:sz w:val="22"/>
        </w:rPr>
        <w:t xml:space="preserve"> </w:t>
      </w:r>
      <w:r w:rsidR="003773C6" w:rsidRPr="009A10E6">
        <w:rPr>
          <w:rFonts w:ascii="Arial" w:hAnsi="Arial" w:cs="Arial"/>
          <w:sz w:val="22"/>
        </w:rPr>
        <w:t xml:space="preserve">se desprende que el sujeto obligado no acredita el cumplimiento a la </w:t>
      </w:r>
      <w:r w:rsidR="001A763C" w:rsidRPr="009A10E6">
        <w:rPr>
          <w:rFonts w:ascii="Arial" w:hAnsi="Arial" w:cs="Arial"/>
          <w:sz w:val="22"/>
        </w:rPr>
        <w:t xml:space="preserve">resolución de </w:t>
      </w:r>
      <w:r w:rsidR="00B66E29" w:rsidRPr="009A10E6">
        <w:rPr>
          <w:rFonts w:ascii="Arial" w:hAnsi="Arial" w:cs="Arial"/>
          <w:sz w:val="22"/>
        </w:rPr>
        <w:t>mérito</w:t>
      </w:r>
      <w:r w:rsidR="001A763C" w:rsidRPr="009A10E6">
        <w:rPr>
          <w:rFonts w:ascii="Arial" w:hAnsi="Arial" w:cs="Arial"/>
          <w:sz w:val="22"/>
        </w:rPr>
        <w:t>.</w:t>
      </w:r>
    </w:p>
    <w:p w14:paraId="21DB4DF7" w14:textId="77777777" w:rsidR="0055137A" w:rsidRPr="009A10E6" w:rsidRDefault="0055137A" w:rsidP="0055137A">
      <w:pPr>
        <w:spacing w:line="360" w:lineRule="auto"/>
        <w:ind w:firstLine="708"/>
        <w:jc w:val="both"/>
        <w:rPr>
          <w:rFonts w:ascii="AvantGarde Bk BT" w:hAnsi="AvantGarde Bk BT" w:cs="Arial"/>
          <w:color w:val="000000" w:themeColor="text1"/>
          <w:sz w:val="22"/>
        </w:rPr>
      </w:pPr>
    </w:p>
    <w:p w14:paraId="754ABE11" w14:textId="77777777" w:rsidR="0055137A" w:rsidRPr="009A10E6" w:rsidRDefault="0055137A" w:rsidP="0055137A">
      <w:pPr>
        <w:spacing w:line="360" w:lineRule="auto"/>
        <w:ind w:firstLine="680"/>
        <w:jc w:val="both"/>
        <w:rPr>
          <w:rFonts w:ascii="Arial" w:hAnsi="Arial" w:cs="Arial"/>
          <w:i/>
          <w:sz w:val="22"/>
          <w:lang w:val="es-MX" w:eastAsia="en-US"/>
        </w:rPr>
      </w:pPr>
      <w:r w:rsidRPr="009A10E6">
        <w:rPr>
          <w:rFonts w:ascii="Arial" w:hAnsi="Arial" w:cs="Arial"/>
          <w:sz w:val="22"/>
        </w:rPr>
        <w:t xml:space="preserve">Consecuentemente, </w:t>
      </w:r>
      <w:r w:rsidR="003773C6" w:rsidRPr="009A10E6">
        <w:rPr>
          <w:rFonts w:ascii="Arial" w:hAnsi="Arial" w:cs="Arial"/>
          <w:sz w:val="22"/>
          <w:u w:val="single"/>
        </w:rPr>
        <w:t xml:space="preserve">este organismo garante no cuenta con </w:t>
      </w:r>
      <w:r w:rsidR="001A2543" w:rsidRPr="009A10E6">
        <w:rPr>
          <w:rFonts w:ascii="Arial" w:hAnsi="Arial" w:cs="Arial"/>
          <w:sz w:val="22"/>
          <w:u w:val="single"/>
        </w:rPr>
        <w:t>los elementos suficientes</w:t>
      </w:r>
      <w:r w:rsidR="003773C6" w:rsidRPr="009A10E6">
        <w:rPr>
          <w:rFonts w:ascii="Arial" w:hAnsi="Arial" w:cs="Arial"/>
          <w:sz w:val="22"/>
          <w:u w:val="single"/>
        </w:rPr>
        <w:t xml:space="preserve"> para a</w:t>
      </w:r>
      <w:r w:rsidR="00594759" w:rsidRPr="009A10E6">
        <w:rPr>
          <w:rFonts w:ascii="Arial" w:hAnsi="Arial" w:cs="Arial"/>
          <w:sz w:val="22"/>
          <w:u w:val="single"/>
        </w:rPr>
        <w:t>nalizar si el sujeto obligado dio</w:t>
      </w:r>
      <w:r w:rsidR="003773C6" w:rsidRPr="009A10E6">
        <w:rPr>
          <w:rFonts w:ascii="Arial" w:hAnsi="Arial" w:cs="Arial"/>
          <w:sz w:val="22"/>
          <w:u w:val="single"/>
        </w:rPr>
        <w:t xml:space="preserve"> o no cumplimiento a la ya citada resolución</w:t>
      </w:r>
      <w:r w:rsidR="003773C6" w:rsidRPr="009A10E6">
        <w:rPr>
          <w:rFonts w:ascii="Arial" w:hAnsi="Arial" w:cs="Arial"/>
          <w:sz w:val="22"/>
        </w:rPr>
        <w:t xml:space="preserve"> </w:t>
      </w:r>
      <w:r w:rsidRPr="009A10E6">
        <w:rPr>
          <w:rFonts w:ascii="Arial" w:hAnsi="Arial" w:cs="Arial"/>
          <w:sz w:val="22"/>
        </w:rPr>
        <w:t>y por tanto la resolución se encuentra incumplida.</w:t>
      </w:r>
    </w:p>
    <w:p w14:paraId="4F6A7B00" w14:textId="77777777" w:rsidR="0055137A" w:rsidRPr="009A10E6" w:rsidRDefault="0055137A" w:rsidP="0055137A">
      <w:pPr>
        <w:spacing w:line="360" w:lineRule="auto"/>
        <w:jc w:val="both"/>
        <w:rPr>
          <w:rFonts w:ascii="Arial" w:hAnsi="Arial" w:cs="Arial"/>
          <w:sz w:val="22"/>
        </w:rPr>
      </w:pPr>
    </w:p>
    <w:p w14:paraId="42FD8D56" w14:textId="77777777"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Bajo este contexto, resulta pertinente transcribir lo dispuesto por la Ley de transparencia señala en sus artículos 183 y 184 lo siguiente:</w:t>
      </w:r>
    </w:p>
    <w:p w14:paraId="1423EA05" w14:textId="77777777" w:rsidR="0055137A" w:rsidRPr="009A10E6" w:rsidRDefault="0055137A" w:rsidP="0055137A">
      <w:pPr>
        <w:spacing w:line="360" w:lineRule="auto"/>
        <w:jc w:val="both"/>
        <w:rPr>
          <w:rFonts w:ascii="Arial" w:hAnsi="Arial" w:cs="Arial"/>
          <w:b/>
          <w:i/>
          <w:sz w:val="22"/>
        </w:rPr>
      </w:pPr>
    </w:p>
    <w:p w14:paraId="40D58A1F" w14:textId="77777777" w:rsidR="0055137A" w:rsidRPr="009A10E6" w:rsidRDefault="0055137A" w:rsidP="0055137A">
      <w:pPr>
        <w:spacing w:line="360" w:lineRule="auto"/>
        <w:ind w:left="680"/>
        <w:jc w:val="both"/>
        <w:rPr>
          <w:rFonts w:ascii="Arial" w:hAnsi="Arial" w:cs="Arial"/>
          <w:b/>
          <w:i/>
          <w:sz w:val="22"/>
          <w:u w:val="single"/>
        </w:rPr>
      </w:pPr>
      <w:r w:rsidRPr="009A10E6">
        <w:rPr>
          <w:rFonts w:ascii="Arial" w:hAnsi="Arial" w:cs="Arial"/>
          <w:b/>
          <w:i/>
          <w:sz w:val="22"/>
        </w:rPr>
        <w:t>“ARTÍCULO 183.</w:t>
      </w:r>
      <w:r w:rsidRPr="009A10E6">
        <w:rPr>
          <w:rFonts w:ascii="Arial" w:hAnsi="Arial" w:cs="Arial"/>
          <w:i/>
          <w:sz w:val="22"/>
        </w:rPr>
        <w:t xml:space="preserve"> Los sujetos obligados, a través de la Unidad de Transparencia, </w:t>
      </w:r>
      <w:r w:rsidRPr="009A10E6">
        <w:rPr>
          <w:rFonts w:ascii="Arial" w:hAnsi="Arial" w:cs="Arial"/>
          <w:b/>
          <w:i/>
          <w:sz w:val="22"/>
          <w:u w:val="single"/>
        </w:rPr>
        <w:t>darán estricto cumplimiento a las resoluciones de la CEGAIP y deberán informar a estos sobre su cumplimiento.”</w:t>
      </w:r>
    </w:p>
    <w:p w14:paraId="5B20ABF7" w14:textId="77777777" w:rsidR="0055137A" w:rsidRPr="009A10E6" w:rsidRDefault="0055137A" w:rsidP="0055137A">
      <w:pPr>
        <w:spacing w:line="360" w:lineRule="auto"/>
        <w:ind w:left="680"/>
        <w:jc w:val="both"/>
        <w:rPr>
          <w:rFonts w:ascii="Arial" w:hAnsi="Arial" w:cs="Arial"/>
          <w:b/>
          <w:i/>
          <w:sz w:val="22"/>
        </w:rPr>
      </w:pPr>
    </w:p>
    <w:p w14:paraId="0F72015E" w14:textId="77777777" w:rsidR="0055137A" w:rsidRPr="009A10E6" w:rsidRDefault="0055137A" w:rsidP="0055137A">
      <w:pPr>
        <w:spacing w:line="360" w:lineRule="auto"/>
        <w:ind w:left="680"/>
        <w:jc w:val="both"/>
        <w:rPr>
          <w:rFonts w:ascii="Arial" w:hAnsi="Arial" w:cs="Arial"/>
          <w:i/>
          <w:sz w:val="22"/>
        </w:rPr>
      </w:pPr>
      <w:r w:rsidRPr="009A10E6">
        <w:rPr>
          <w:rFonts w:ascii="Arial" w:hAnsi="Arial" w:cs="Arial"/>
          <w:b/>
          <w:i/>
          <w:sz w:val="22"/>
        </w:rPr>
        <w:t>“ARTÍCULO 184.</w:t>
      </w:r>
      <w:r w:rsidRPr="009A10E6">
        <w:rPr>
          <w:rFonts w:ascii="Arial" w:hAnsi="Arial" w:cs="Arial"/>
          <w:i/>
          <w:sz w:val="22"/>
        </w:rPr>
        <w:t xml:space="preserve"> Transcurrido el plazo señalado en el artículo anterior, el sujeto obligado deberá informar a la CEGAIP sobre el cumplimento de la resolución.</w:t>
      </w:r>
    </w:p>
    <w:p w14:paraId="23AB3670" w14:textId="77777777" w:rsidR="0055137A" w:rsidRPr="009A10E6" w:rsidRDefault="0055137A" w:rsidP="0055137A">
      <w:pPr>
        <w:spacing w:line="360" w:lineRule="auto"/>
        <w:ind w:left="680"/>
        <w:jc w:val="both"/>
        <w:rPr>
          <w:rFonts w:ascii="Arial" w:hAnsi="Arial" w:cs="Arial"/>
          <w:i/>
          <w:sz w:val="22"/>
        </w:rPr>
      </w:pPr>
    </w:p>
    <w:p w14:paraId="7A541E81" w14:textId="77777777" w:rsidR="0055137A" w:rsidRPr="009A10E6" w:rsidRDefault="0055137A" w:rsidP="0055137A">
      <w:pPr>
        <w:spacing w:line="360" w:lineRule="auto"/>
        <w:ind w:left="680"/>
        <w:jc w:val="both"/>
        <w:rPr>
          <w:rFonts w:ascii="Arial" w:hAnsi="Arial" w:cs="Arial"/>
          <w:i/>
          <w:sz w:val="22"/>
        </w:rPr>
      </w:pPr>
      <w:r w:rsidRPr="009A10E6">
        <w:rPr>
          <w:rFonts w:ascii="Arial" w:hAnsi="Arial" w:cs="Arial"/>
          <w:i/>
          <w:sz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823476F" w14:textId="77777777" w:rsidR="0055137A" w:rsidRPr="009A10E6" w:rsidRDefault="0055137A" w:rsidP="0055137A">
      <w:pPr>
        <w:spacing w:line="360" w:lineRule="auto"/>
        <w:ind w:left="680" w:firstLine="708"/>
        <w:jc w:val="both"/>
        <w:rPr>
          <w:rFonts w:ascii="Arial" w:hAnsi="Arial" w:cs="Arial"/>
          <w:sz w:val="22"/>
        </w:rPr>
      </w:pPr>
    </w:p>
    <w:p w14:paraId="4C781782" w14:textId="77777777" w:rsidR="0055137A" w:rsidRPr="009A10E6" w:rsidRDefault="0055137A" w:rsidP="0055137A">
      <w:pPr>
        <w:spacing w:line="360" w:lineRule="auto"/>
        <w:ind w:firstLine="709"/>
        <w:jc w:val="both"/>
        <w:rPr>
          <w:rFonts w:ascii="Arial" w:hAnsi="Arial" w:cs="Arial"/>
          <w:sz w:val="22"/>
        </w:rPr>
      </w:pPr>
      <w:r w:rsidRPr="009A10E6">
        <w:rPr>
          <w:rFonts w:ascii="Arial" w:hAnsi="Arial" w:cs="Arial"/>
          <w:sz w:val="22"/>
        </w:rPr>
        <w:t xml:space="preserve">Así las cosas, </w:t>
      </w:r>
      <w:r w:rsidRPr="009A10E6">
        <w:rPr>
          <w:rFonts w:ascii="Arial" w:hAnsi="Arial" w:cs="Arial"/>
          <w:b/>
          <w:sz w:val="22"/>
          <w:u w:val="single"/>
        </w:rPr>
        <w:t>se tiene por incumplida la resolución de</w:t>
      </w:r>
      <w:r w:rsidR="009A3106" w:rsidRPr="009A10E6">
        <w:rPr>
          <w:rFonts w:ascii="Arial" w:hAnsi="Arial" w:cs="Arial"/>
          <w:b/>
          <w:sz w:val="22"/>
          <w:u w:val="single"/>
        </w:rPr>
        <w:t xml:space="preserve">l Recurso de Revisión </w:t>
      </w:r>
      <w:r w:rsidR="00A6094B">
        <w:rPr>
          <w:rFonts w:ascii="Arial" w:hAnsi="Arial" w:cs="Arial"/>
          <w:b/>
          <w:sz w:val="22"/>
          <w:u w:val="single"/>
        </w:rPr>
        <w:t>226</w:t>
      </w:r>
      <w:r w:rsidR="001A763C" w:rsidRPr="009A10E6">
        <w:rPr>
          <w:rFonts w:ascii="Arial" w:hAnsi="Arial" w:cs="Arial"/>
          <w:b/>
          <w:sz w:val="22"/>
          <w:u w:val="single"/>
        </w:rPr>
        <w:t>/2</w:t>
      </w:r>
      <w:r w:rsidR="00A6094B">
        <w:rPr>
          <w:rFonts w:ascii="Arial" w:hAnsi="Arial" w:cs="Arial"/>
          <w:b/>
          <w:sz w:val="22"/>
          <w:u w:val="single"/>
        </w:rPr>
        <w:t>018</w:t>
      </w:r>
      <w:r w:rsidRPr="009A10E6">
        <w:rPr>
          <w:rFonts w:ascii="Arial" w:hAnsi="Arial" w:cs="Arial"/>
          <w:b/>
          <w:sz w:val="22"/>
          <w:u w:val="single"/>
        </w:rPr>
        <w:t>-</w:t>
      </w:r>
      <w:r w:rsidR="005C04DE" w:rsidRPr="009A10E6">
        <w:rPr>
          <w:rFonts w:ascii="Arial" w:hAnsi="Arial" w:cs="Arial"/>
          <w:b/>
          <w:sz w:val="22"/>
          <w:u w:val="single"/>
        </w:rPr>
        <w:t>1;</w:t>
      </w:r>
      <w:r w:rsidRPr="009A10E6">
        <w:rPr>
          <w:rFonts w:ascii="Arial" w:hAnsi="Arial" w:cs="Arial"/>
          <w:sz w:val="22"/>
        </w:rPr>
        <w:t xml:space="preserve"> ya que no se cumple con lo establecido en el resolutivo en análisis, en virtud de que como ha quedado visto en el presente acuerdo, </w:t>
      </w:r>
      <w:r w:rsidR="001A763C" w:rsidRPr="009A10E6">
        <w:rPr>
          <w:rFonts w:ascii="Arial" w:hAnsi="Arial" w:cs="Arial"/>
          <w:sz w:val="22"/>
        </w:rPr>
        <w:t>el sujeto obligado no rindió informe mediante el cual acredite el cumplimiento a la resolución de mérito</w:t>
      </w:r>
      <w:r w:rsidRPr="009A10E6">
        <w:rPr>
          <w:rFonts w:ascii="Arial" w:hAnsi="Arial" w:cs="Arial"/>
          <w:sz w:val="22"/>
        </w:rPr>
        <w:t xml:space="preserve">, </w:t>
      </w:r>
      <w:r w:rsidR="00B66E29" w:rsidRPr="009A10E6">
        <w:rPr>
          <w:rFonts w:ascii="Arial" w:hAnsi="Arial" w:cs="Arial"/>
          <w:sz w:val="22"/>
        </w:rPr>
        <w:t>y,</w:t>
      </w:r>
      <w:r w:rsidRPr="009A10E6">
        <w:rPr>
          <w:rFonts w:ascii="Arial" w:hAnsi="Arial" w:cs="Arial"/>
          <w:sz w:val="22"/>
        </w:rPr>
        <w:t xml:space="preserve"> en consecuencia, se conmina al sujeto obligado a que:</w:t>
      </w:r>
    </w:p>
    <w:p w14:paraId="362ABA2F" w14:textId="77777777" w:rsidR="001F54B5" w:rsidRDefault="001F54B5" w:rsidP="001F54B5">
      <w:pPr>
        <w:spacing w:line="360" w:lineRule="auto"/>
        <w:jc w:val="both"/>
        <w:rPr>
          <w:rFonts w:ascii="Arial" w:hAnsi="Arial" w:cs="Arial"/>
          <w:color w:val="000000" w:themeColor="text1"/>
          <w:sz w:val="22"/>
          <w:lang w:val="es-MX" w:eastAsia="es-MX"/>
        </w:rPr>
      </w:pPr>
      <w:r w:rsidRPr="00A337EB">
        <w:rPr>
          <w:rFonts w:ascii="Arial" w:hAnsi="Arial" w:cs="Arial"/>
          <w:b/>
          <w:color w:val="000000" w:themeColor="text1"/>
          <w:sz w:val="22"/>
          <w:lang w:val="es-MX" w:eastAsia="es-MX"/>
        </w:rPr>
        <w:t>.</w:t>
      </w:r>
      <w:r w:rsidRPr="00A337EB">
        <w:rPr>
          <w:rFonts w:ascii="Arial" w:hAnsi="Arial" w:cs="Arial"/>
          <w:color w:val="000000" w:themeColor="text1"/>
          <w:sz w:val="22"/>
          <w:lang w:val="es-MX" w:eastAsia="es-MX"/>
        </w:rPr>
        <w:t xml:space="preserve"> La información referente a los puntos número 01, 02, 03, 04, 05, 06, consistentes en lo siguiente:</w:t>
      </w:r>
    </w:p>
    <w:p w14:paraId="20355C64" w14:textId="77777777" w:rsidR="00A6094B" w:rsidRPr="00A6094B" w:rsidRDefault="00A6094B" w:rsidP="00A6094B">
      <w:pPr>
        <w:pStyle w:val="Prrafodelista"/>
        <w:numPr>
          <w:ilvl w:val="0"/>
          <w:numId w:val="8"/>
        </w:numPr>
        <w:spacing w:line="360" w:lineRule="auto"/>
        <w:jc w:val="both"/>
        <w:rPr>
          <w:rFonts w:cs="Arial"/>
          <w:i/>
          <w:color w:val="000000" w:themeColor="text1"/>
          <w:sz w:val="22"/>
          <w:lang w:val="es-MX"/>
        </w:rPr>
      </w:pPr>
      <w:r w:rsidRPr="00A6094B">
        <w:rPr>
          <w:rFonts w:cs="Arial"/>
          <w:i/>
          <w:color w:val="000000" w:themeColor="text1"/>
          <w:sz w:val="22"/>
          <w:lang w:val="es-MX"/>
        </w:rPr>
        <w:t>REUC VIGENTE DE TODAS LAS EMPRESAS A LAS QUE SE LES HAYAN ADJUDICADO OBRAS EN LOS EJERCICIOS 2016 Y 2017.</w:t>
      </w:r>
    </w:p>
    <w:p w14:paraId="3A262E76" w14:textId="77777777" w:rsidR="0055137A" w:rsidRPr="009A10E6" w:rsidRDefault="001A763C" w:rsidP="001A763C">
      <w:pPr>
        <w:pStyle w:val="Prrafodelista"/>
        <w:numPr>
          <w:ilvl w:val="0"/>
          <w:numId w:val="8"/>
        </w:numPr>
        <w:spacing w:line="360" w:lineRule="auto"/>
        <w:jc w:val="both"/>
        <w:rPr>
          <w:rFonts w:cs="Arial"/>
          <w:i/>
          <w:szCs w:val="22"/>
        </w:rPr>
      </w:pPr>
      <w:r w:rsidRPr="009A10E6">
        <w:rPr>
          <w:rFonts w:cs="Arial"/>
          <w:i/>
          <w:szCs w:val="22"/>
        </w:rPr>
        <w:t>E</w:t>
      </w:r>
      <w:r w:rsidR="0055137A" w:rsidRPr="009A10E6">
        <w:rPr>
          <w:rFonts w:cs="Arial"/>
          <w:i/>
          <w:szCs w:val="22"/>
        </w:rPr>
        <w:t>n la inteligencia de que de lo contrario será acreedor</w:t>
      </w:r>
      <w:r w:rsidR="0055137A" w:rsidRPr="009A10E6">
        <w:rPr>
          <w:rFonts w:cs="Arial"/>
          <w:b/>
          <w:i/>
          <w:szCs w:val="22"/>
        </w:rPr>
        <w:t xml:space="preserve"> </w:t>
      </w:r>
      <w:r w:rsidR="0055137A" w:rsidRPr="009A10E6">
        <w:rPr>
          <w:rFonts w:cs="Arial"/>
          <w:i/>
          <w:szCs w:val="22"/>
        </w:rPr>
        <w:t xml:space="preserve">a la medida de apremio consistente en una </w:t>
      </w:r>
      <w:r w:rsidR="0055137A" w:rsidRPr="009A10E6">
        <w:rPr>
          <w:rFonts w:cs="Arial"/>
          <w:b/>
          <w:i/>
          <w:szCs w:val="22"/>
          <w:u w:val="single"/>
        </w:rPr>
        <w:t>MULTA</w:t>
      </w:r>
      <w:r w:rsidR="0055137A" w:rsidRPr="009A10E6">
        <w:rPr>
          <w:rFonts w:cs="Arial"/>
          <w:i/>
          <w:szCs w:val="22"/>
        </w:rPr>
        <w:t>, de conformidad con el artículo 190 fracción II y 197 fracción XV de la Ley de Transparencia y Acceso a la Información Pública del Estado.</w:t>
      </w:r>
    </w:p>
    <w:p w14:paraId="65D13F4E" w14:textId="77777777" w:rsidR="0055137A" w:rsidRPr="009A10E6" w:rsidRDefault="0055137A" w:rsidP="0055137A">
      <w:pPr>
        <w:pStyle w:val="Prrafodelista"/>
        <w:numPr>
          <w:ilvl w:val="0"/>
          <w:numId w:val="8"/>
        </w:numPr>
        <w:spacing w:line="360" w:lineRule="auto"/>
        <w:jc w:val="both"/>
        <w:rPr>
          <w:rFonts w:cs="Arial"/>
          <w:i/>
          <w:szCs w:val="22"/>
        </w:rPr>
      </w:pPr>
      <w:r w:rsidRPr="009A10E6">
        <w:rPr>
          <w:rFonts w:cs="Arial"/>
          <w:i/>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14:paraId="27767665" w14:textId="77777777" w:rsidR="0055137A" w:rsidRPr="009A10E6" w:rsidRDefault="0055137A" w:rsidP="0055137A">
      <w:pPr>
        <w:spacing w:line="360" w:lineRule="auto"/>
        <w:jc w:val="both"/>
        <w:rPr>
          <w:rFonts w:ascii="Arial" w:hAnsi="Arial" w:cs="Arial"/>
          <w:sz w:val="22"/>
        </w:rPr>
      </w:pPr>
    </w:p>
    <w:p w14:paraId="06A8B91E" w14:textId="77777777" w:rsidR="0055137A" w:rsidRPr="009A10E6" w:rsidRDefault="0055137A" w:rsidP="0055137A">
      <w:pPr>
        <w:spacing w:line="360" w:lineRule="auto"/>
        <w:ind w:firstLine="680"/>
        <w:jc w:val="both"/>
        <w:rPr>
          <w:rFonts w:ascii="Arial" w:hAnsi="Arial" w:cs="Arial"/>
          <w:b/>
          <w:sz w:val="22"/>
        </w:rPr>
      </w:pPr>
      <w:r w:rsidRPr="009A10E6">
        <w:rPr>
          <w:rFonts w:ascii="Arial" w:hAnsi="Arial" w:cs="Arial"/>
          <w:sz w:val="22"/>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00DB5FD3">
        <w:rPr>
          <w:rFonts w:ascii="Arial" w:hAnsi="Arial" w:cs="Arial"/>
          <w:b/>
          <w:sz w:val="22"/>
          <w:u w:val="single"/>
        </w:rPr>
        <w:t>se requiere al Titular</w:t>
      </w:r>
      <w:r w:rsidR="00A6094B">
        <w:rPr>
          <w:rFonts w:ascii="Arial" w:hAnsi="Arial" w:cs="Arial"/>
          <w:b/>
          <w:sz w:val="22"/>
          <w:u w:val="single"/>
        </w:rPr>
        <w:t xml:space="preserve"> del Municipio de Aquismon</w:t>
      </w:r>
      <w:r w:rsidR="001F54B5" w:rsidRPr="009A10E6">
        <w:rPr>
          <w:rFonts w:ascii="Arial" w:hAnsi="Arial" w:cs="Arial"/>
          <w:b/>
          <w:sz w:val="22"/>
          <w:u w:val="single"/>
        </w:rPr>
        <w:t>,</w:t>
      </w:r>
      <w:r w:rsidR="00DB5FD3">
        <w:rPr>
          <w:rFonts w:ascii="Arial" w:hAnsi="Arial" w:cs="Arial"/>
          <w:b/>
          <w:sz w:val="22"/>
          <w:u w:val="single"/>
        </w:rPr>
        <w:t xml:space="preserve"> </w:t>
      </w:r>
      <w:r w:rsidRPr="009A10E6">
        <w:rPr>
          <w:rFonts w:ascii="Arial" w:hAnsi="Arial" w:cs="Arial"/>
          <w:b/>
          <w:sz w:val="22"/>
          <w:u w:val="single"/>
        </w:rPr>
        <w:t xml:space="preserve">en su carácter de superior jerárquico del Titular de la Unidad de Transparencia, para que dentro del término de </w:t>
      </w:r>
      <w:r w:rsidR="001A763C" w:rsidRPr="009A10E6">
        <w:rPr>
          <w:rFonts w:ascii="Arial" w:hAnsi="Arial" w:cs="Arial"/>
          <w:b/>
          <w:sz w:val="22"/>
          <w:u w:val="single"/>
        </w:rPr>
        <w:t>03 tres</w:t>
      </w:r>
      <w:r w:rsidRPr="009A10E6">
        <w:rPr>
          <w:rFonts w:ascii="Arial" w:hAnsi="Arial" w:cs="Arial"/>
          <w:b/>
          <w:sz w:val="22"/>
          <w:u w:val="single"/>
        </w:rPr>
        <w:t xml:space="preserve"> días hábiles contados a partir del día siguiente en que se practique la respectiva notificación, acompañe las constancias necesarias que acrediten el cumplimiento dado a la resolución </w:t>
      </w:r>
      <w:r w:rsidR="005C04DE" w:rsidRPr="009A10E6">
        <w:rPr>
          <w:rFonts w:ascii="Arial" w:hAnsi="Arial" w:cs="Arial"/>
          <w:b/>
          <w:sz w:val="22"/>
          <w:u w:val="single"/>
        </w:rPr>
        <w:t>dictada</w:t>
      </w:r>
      <w:r w:rsidR="00F66BF3" w:rsidRPr="009A10E6">
        <w:rPr>
          <w:rFonts w:ascii="Arial" w:hAnsi="Arial" w:cs="Arial"/>
          <w:b/>
          <w:sz w:val="22"/>
          <w:u w:val="single"/>
        </w:rPr>
        <w:t xml:space="preserve"> </w:t>
      </w:r>
      <w:r w:rsidRPr="009A10E6">
        <w:rPr>
          <w:rFonts w:ascii="Arial" w:hAnsi="Arial" w:cs="Arial"/>
          <w:b/>
          <w:sz w:val="22"/>
          <w:u w:val="single"/>
        </w:rPr>
        <w:t>dentro del recurso de revisión en que se actúa</w:t>
      </w:r>
      <w:r w:rsidRPr="009A10E6">
        <w:rPr>
          <w:rFonts w:ascii="Arial" w:hAnsi="Arial" w:cs="Arial"/>
          <w:sz w:val="22"/>
        </w:rPr>
        <w:t xml:space="preserve">, tomando en cuenta las consideraciones contenidas en el presente proveído, </w:t>
      </w:r>
      <w:r w:rsidRPr="009A10E6">
        <w:rPr>
          <w:rFonts w:ascii="Arial" w:hAnsi="Arial" w:cs="Arial"/>
          <w:b/>
          <w:sz w:val="22"/>
          <w:u w:val="single"/>
        </w:rPr>
        <w:t>apercibido</w:t>
      </w:r>
      <w:r w:rsidRPr="009A10E6">
        <w:rPr>
          <w:rFonts w:ascii="Arial" w:hAnsi="Arial" w:cs="Arial"/>
          <w:sz w:val="22"/>
        </w:rPr>
        <w:t xml:space="preserve"> de que de no hacerlo, se impondrá en su contra la medida de apremio consistente en una </w:t>
      </w:r>
      <w:r w:rsidRPr="009A10E6">
        <w:rPr>
          <w:rFonts w:ascii="Arial" w:hAnsi="Arial" w:cs="Arial"/>
          <w:b/>
          <w:sz w:val="22"/>
          <w:u w:val="single"/>
        </w:rPr>
        <w:t>MULTA</w:t>
      </w:r>
      <w:r w:rsidRPr="009A10E6">
        <w:rPr>
          <w:rFonts w:ascii="Arial" w:hAnsi="Arial" w:cs="Arial"/>
          <w:sz w:val="22"/>
        </w:rPr>
        <w:t xml:space="preserve">, de conformidad con el artículo 190 fracción II y 197 fracción XV de la Ley de Transparencia y Acceso a la Información Pública del Estado. </w:t>
      </w:r>
    </w:p>
    <w:p w14:paraId="11D25EC3" w14:textId="77777777" w:rsidR="0055137A" w:rsidRPr="009A10E6" w:rsidRDefault="0055137A" w:rsidP="0055137A">
      <w:pPr>
        <w:spacing w:line="360" w:lineRule="auto"/>
        <w:ind w:firstLine="680"/>
        <w:jc w:val="both"/>
        <w:rPr>
          <w:rFonts w:ascii="Arial" w:hAnsi="Arial" w:cs="Arial"/>
          <w:sz w:val="22"/>
          <w:lang w:val="es-MX" w:eastAsia="en-US"/>
        </w:rPr>
      </w:pPr>
    </w:p>
    <w:p w14:paraId="4E8A0E6B" w14:textId="77777777"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lastRenderedPageBreak/>
        <w:t xml:space="preserve">De igual modo, </w:t>
      </w:r>
      <w:r w:rsidR="001F54B5">
        <w:rPr>
          <w:rFonts w:ascii="Arial" w:hAnsi="Arial" w:cs="Arial"/>
          <w:b/>
          <w:sz w:val="22"/>
          <w:u w:val="single"/>
        </w:rPr>
        <w:t>se requier</w:t>
      </w:r>
      <w:r w:rsidR="00A6094B">
        <w:rPr>
          <w:rFonts w:ascii="Arial" w:hAnsi="Arial" w:cs="Arial"/>
          <w:b/>
          <w:sz w:val="22"/>
          <w:u w:val="single"/>
        </w:rPr>
        <w:t>e al Titular del Municipio de Aquismon</w:t>
      </w:r>
      <w:r w:rsidR="00D970E7" w:rsidRPr="009A10E6">
        <w:rPr>
          <w:rFonts w:ascii="Arial" w:hAnsi="Arial" w:cs="Arial"/>
          <w:b/>
          <w:sz w:val="22"/>
          <w:u w:val="single"/>
        </w:rPr>
        <w:t>,</w:t>
      </w:r>
      <w:r w:rsidRPr="009A10E6">
        <w:rPr>
          <w:rFonts w:ascii="Arial" w:hAnsi="Arial" w:cs="Arial"/>
          <w:b/>
          <w:sz w:val="22"/>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9A10E6">
        <w:rPr>
          <w:rFonts w:ascii="Arial" w:hAnsi="Arial" w:cs="Arial"/>
          <w:sz w:val="22"/>
        </w:rPr>
        <w:t>:</w:t>
      </w:r>
    </w:p>
    <w:p w14:paraId="215805D3" w14:textId="77777777" w:rsidR="0055137A" w:rsidRPr="009A10E6" w:rsidRDefault="0055137A" w:rsidP="0055137A">
      <w:pPr>
        <w:spacing w:line="360" w:lineRule="auto"/>
        <w:ind w:firstLine="680"/>
        <w:jc w:val="both"/>
        <w:rPr>
          <w:rFonts w:ascii="Arial" w:hAnsi="Arial" w:cs="Arial"/>
          <w:b/>
          <w:sz w:val="22"/>
          <w:u w:val="single"/>
        </w:rPr>
      </w:pPr>
    </w:p>
    <w:p w14:paraId="48E43928" w14:textId="77777777" w:rsidR="0055137A" w:rsidRPr="009A10E6" w:rsidRDefault="0055137A" w:rsidP="0055137A">
      <w:pPr>
        <w:spacing w:line="360" w:lineRule="auto"/>
        <w:ind w:left="680"/>
        <w:jc w:val="both"/>
        <w:rPr>
          <w:rFonts w:ascii="Arial" w:hAnsi="Arial" w:cs="Arial"/>
          <w:sz w:val="22"/>
        </w:rPr>
      </w:pPr>
      <w:r w:rsidRPr="009A10E6">
        <w:rPr>
          <w:rFonts w:ascii="Arial" w:hAnsi="Arial" w:cs="Arial"/>
          <w:sz w:val="22"/>
        </w:rPr>
        <w:t>“</w:t>
      </w:r>
      <w:r w:rsidRPr="009A10E6">
        <w:rPr>
          <w:rFonts w:ascii="Arial" w:hAnsi="Arial" w:cs="Arial"/>
          <w:b/>
          <w:i/>
          <w:sz w:val="22"/>
        </w:rPr>
        <w:t>ARTÍCULO 192.</w:t>
      </w:r>
      <w:r w:rsidRPr="009A10E6">
        <w:rPr>
          <w:rFonts w:ascii="Arial" w:hAnsi="Arial" w:cs="Arial"/>
          <w:i/>
          <w:sz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A10E6">
        <w:rPr>
          <w:rFonts w:ascii="Arial" w:hAnsi="Arial" w:cs="Arial"/>
          <w:sz w:val="22"/>
        </w:rPr>
        <w:t>”</w:t>
      </w:r>
    </w:p>
    <w:p w14:paraId="767194A3" w14:textId="77777777" w:rsidR="0055137A" w:rsidRPr="009A10E6" w:rsidRDefault="0055137A" w:rsidP="0055137A">
      <w:pPr>
        <w:spacing w:line="360" w:lineRule="auto"/>
        <w:ind w:firstLine="709"/>
        <w:jc w:val="both"/>
        <w:rPr>
          <w:rFonts w:ascii="Arial" w:hAnsi="Arial" w:cs="Arial"/>
          <w:sz w:val="22"/>
        </w:rPr>
      </w:pPr>
    </w:p>
    <w:p w14:paraId="7E601AA3" w14:textId="77777777"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0" w:name="_Hlk487626562"/>
      <w:r w:rsidRPr="009A10E6">
        <w:rPr>
          <w:rFonts w:ascii="Arial" w:hAnsi="Arial" w:cs="Arial"/>
          <w:sz w:val="22"/>
        </w:rPr>
        <w:t xml:space="preserve"> </w:t>
      </w:r>
      <w:r w:rsidRPr="009A10E6">
        <w:rPr>
          <w:rFonts w:ascii="Arial" w:hAnsi="Arial" w:cs="Arial"/>
          <w:b/>
          <w:sz w:val="22"/>
        </w:rPr>
        <w:t>Notifíquese por lista y personalmente a las partes.</w:t>
      </w:r>
    </w:p>
    <w:bookmarkEnd w:id="0"/>
    <w:p w14:paraId="47EACEEF" w14:textId="4C42889B" w:rsidR="0055137A" w:rsidRPr="009A10E6" w:rsidRDefault="00F44C8E" w:rsidP="0055137A">
      <w:pPr>
        <w:rPr>
          <w:rFonts w:ascii="Arial" w:hAnsi="Arial" w:cs="Arial"/>
          <w:i/>
          <w:color w:val="000000" w:themeColor="text1"/>
          <w:sz w:val="28"/>
          <w:vertAlign w:val="superscript"/>
        </w:rPr>
      </w:pPr>
      <w:r>
        <w:rPr>
          <w:rFonts w:ascii="Arial" w:hAnsi="Arial" w:cs="Arial"/>
          <w:i/>
          <w:color w:val="000000" w:themeColor="text1"/>
          <w:sz w:val="18"/>
          <w:vertAlign w:val="superscript"/>
        </w:rPr>
        <w:t>HVI./MGTG</w:t>
      </w:r>
    </w:p>
    <w:p w14:paraId="16117A13" w14:textId="77777777" w:rsidR="0055137A" w:rsidRPr="009A10E6" w:rsidRDefault="0055137A" w:rsidP="0055137A">
      <w:pPr>
        <w:jc w:val="both"/>
        <w:rPr>
          <w:color w:val="000000" w:themeColor="text1"/>
          <w:sz w:val="28"/>
        </w:rPr>
      </w:pPr>
    </w:p>
    <w:p w14:paraId="3784D6D0" w14:textId="77777777" w:rsidR="0055137A" w:rsidRPr="009A10E6" w:rsidRDefault="0055137A" w:rsidP="0055137A">
      <w:pPr>
        <w:jc w:val="both"/>
        <w:rPr>
          <w:color w:val="000000" w:themeColor="text1"/>
          <w:sz w:val="28"/>
        </w:rPr>
      </w:pPr>
    </w:p>
    <w:p w14:paraId="7E31ADF8" w14:textId="77777777" w:rsidR="0055137A" w:rsidRPr="009A10E6" w:rsidRDefault="0055137A" w:rsidP="0055137A">
      <w:pPr>
        <w:jc w:val="both"/>
        <w:rPr>
          <w:color w:val="000000" w:themeColor="text1"/>
          <w:sz w:val="28"/>
        </w:rPr>
      </w:pPr>
    </w:p>
    <w:p w14:paraId="52EBFD14" w14:textId="77777777" w:rsidR="0055137A" w:rsidRPr="009A10E6" w:rsidRDefault="00CE1A8B"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59264" behindDoc="0" locked="0" layoutInCell="1" allowOverlap="1" wp14:anchorId="3651C554" wp14:editId="7A0BED7F">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14:paraId="65E8D078"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14:paraId="2F9265CF" w14:textId="77777777"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14:paraId="4258B704" w14:textId="77777777" w:rsidR="0055137A" w:rsidRPr="009A10E6" w:rsidRDefault="00CE1A8B"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60288" behindDoc="0" locked="0" layoutInCell="1" allowOverlap="1" wp14:anchorId="36A31401" wp14:editId="29432F60">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14:paraId="44DA357B"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14:paraId="02427FC9" w14:textId="77777777"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14:paraId="4C2CFC2A" w14:textId="77777777"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v:textbox>
                <w10:wrap anchorx="margin"/>
              </v:shape>
            </w:pict>
          </mc:Fallback>
        </mc:AlternateContent>
      </w:r>
    </w:p>
    <w:p w14:paraId="6071EA9E" w14:textId="77777777" w:rsidR="0055137A" w:rsidRPr="009A10E6" w:rsidRDefault="0055137A" w:rsidP="0055137A">
      <w:pPr>
        <w:jc w:val="both"/>
        <w:rPr>
          <w:color w:val="000000" w:themeColor="text1"/>
          <w:sz w:val="28"/>
        </w:rPr>
      </w:pPr>
    </w:p>
    <w:p w14:paraId="0D42AB42" w14:textId="77777777" w:rsidR="0055137A" w:rsidRPr="009A10E6" w:rsidRDefault="0055137A" w:rsidP="0055137A">
      <w:pPr>
        <w:rPr>
          <w:b/>
          <w:color w:val="000000" w:themeColor="text1"/>
          <w:sz w:val="28"/>
        </w:rPr>
      </w:pPr>
    </w:p>
    <w:p w14:paraId="51B0C01E" w14:textId="77777777" w:rsidR="007316FE" w:rsidRDefault="007316FE" w:rsidP="0055137A">
      <w:pPr>
        <w:rPr>
          <w:sz w:val="28"/>
        </w:rPr>
      </w:pPr>
    </w:p>
    <w:p w14:paraId="04C72122" w14:textId="77777777" w:rsidR="001F54B5" w:rsidRDefault="001F54B5" w:rsidP="0055137A">
      <w:pPr>
        <w:rPr>
          <w:sz w:val="28"/>
        </w:rPr>
      </w:pPr>
    </w:p>
    <w:p w14:paraId="664ECDD8" w14:textId="77777777" w:rsidR="001F54B5" w:rsidRDefault="001F54B5" w:rsidP="0055137A">
      <w:pPr>
        <w:rPr>
          <w:sz w:val="28"/>
        </w:rPr>
      </w:pPr>
    </w:p>
    <w:p w14:paraId="783BD605" w14:textId="77777777" w:rsidR="001F54B5" w:rsidRDefault="001F54B5" w:rsidP="0055137A">
      <w:pPr>
        <w:rPr>
          <w:sz w:val="28"/>
        </w:rPr>
      </w:pPr>
    </w:p>
    <w:p w14:paraId="2A8E7601" w14:textId="77777777" w:rsidR="001F54B5" w:rsidRDefault="001F54B5" w:rsidP="0055137A">
      <w:pPr>
        <w:rPr>
          <w:sz w:val="28"/>
        </w:rPr>
      </w:pPr>
    </w:p>
    <w:sectPr w:rsidR="001F54B5" w:rsidSect="00017371">
      <w:headerReference w:type="default" r:id="rId8"/>
      <w:pgSz w:w="12247" w:h="19335" w:code="300"/>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77EB6" w14:textId="77777777" w:rsidR="00936523" w:rsidRDefault="00936523" w:rsidP="00C13204">
      <w:r>
        <w:separator/>
      </w:r>
    </w:p>
  </w:endnote>
  <w:endnote w:type="continuationSeparator" w:id="0">
    <w:p w14:paraId="0A13D9CF" w14:textId="77777777" w:rsidR="00936523" w:rsidRDefault="00936523"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7D792" w14:textId="77777777" w:rsidR="00936523" w:rsidRDefault="00936523" w:rsidP="00C13204">
      <w:r>
        <w:separator/>
      </w:r>
    </w:p>
  </w:footnote>
  <w:footnote w:type="continuationSeparator" w:id="0">
    <w:p w14:paraId="03120A7D" w14:textId="77777777" w:rsidR="00936523" w:rsidRDefault="00936523"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175E6" w14:textId="77777777" w:rsidR="009262B0" w:rsidRPr="00F715B8" w:rsidRDefault="00000000"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Content>
        <w:r w:rsidR="00064F9C" w:rsidRPr="00F715B8">
          <w:rPr>
            <w:rFonts w:ascii="Arial" w:hAnsi="Arial" w:cs="Arial"/>
            <w:sz w:val="22"/>
            <w:szCs w:val="22"/>
          </w:rPr>
          <w:t xml:space="preserve">                              </w:t>
        </w:r>
        <w:r w:rsidR="00C2426D"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C2426D" w:rsidRPr="00F715B8">
          <w:rPr>
            <w:rFonts w:ascii="Arial" w:hAnsi="Arial" w:cs="Arial"/>
            <w:sz w:val="22"/>
            <w:szCs w:val="22"/>
          </w:rPr>
          <w:fldChar w:fldCharType="separate"/>
        </w:r>
        <w:r w:rsidR="008108EB">
          <w:rPr>
            <w:rFonts w:ascii="Arial" w:hAnsi="Arial" w:cs="Arial"/>
            <w:noProof/>
            <w:sz w:val="22"/>
            <w:szCs w:val="22"/>
          </w:rPr>
          <w:t>4</w:t>
        </w:r>
        <w:r w:rsidR="00C2426D" w:rsidRPr="00F715B8">
          <w:rPr>
            <w:rFonts w:ascii="Arial" w:hAnsi="Arial" w:cs="Arial"/>
            <w:sz w:val="22"/>
            <w:szCs w:val="22"/>
          </w:rPr>
          <w:fldChar w:fldCharType="end"/>
        </w:r>
        <w:r w:rsidR="00064F9C" w:rsidRPr="00F715B8">
          <w:rPr>
            <w:rFonts w:ascii="Arial" w:hAnsi="Arial" w:cs="Arial"/>
            <w:sz w:val="22"/>
            <w:szCs w:val="22"/>
          </w:rPr>
          <w:t xml:space="preserve">                                          RR-</w:t>
        </w:r>
        <w:r w:rsidR="00A6094B">
          <w:rPr>
            <w:rFonts w:ascii="Arial" w:hAnsi="Arial" w:cs="Arial"/>
            <w:sz w:val="22"/>
            <w:szCs w:val="22"/>
          </w:rPr>
          <w:t>226/2018</w:t>
        </w:r>
        <w:r w:rsidR="00064F9C" w:rsidRPr="00F715B8">
          <w:rPr>
            <w:rFonts w:ascii="Arial" w:hAnsi="Arial" w:cs="Arial"/>
            <w:sz w:val="22"/>
            <w:szCs w:val="22"/>
          </w:rPr>
          <w:t>-1</w:t>
        </w:r>
      </w:sdtContent>
    </w:sdt>
  </w:p>
  <w:p w14:paraId="3C14F875" w14:textId="77777777"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5F20FC"/>
    <w:multiLevelType w:val="hybridMultilevel"/>
    <w:tmpl w:val="369A1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BAA0846"/>
    <w:multiLevelType w:val="hybridMultilevel"/>
    <w:tmpl w:val="2444C006"/>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3"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4" w15:restartNumberingAfterBreak="0">
    <w:nsid w:val="32953D0E"/>
    <w:multiLevelType w:val="hybridMultilevel"/>
    <w:tmpl w:val="FF5284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6" w15:restartNumberingAfterBreak="0">
    <w:nsid w:val="392746D3"/>
    <w:multiLevelType w:val="hybridMultilevel"/>
    <w:tmpl w:val="82C89B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8" w15:restartNumberingAfterBreak="0">
    <w:nsid w:val="44077669"/>
    <w:multiLevelType w:val="hybridMultilevel"/>
    <w:tmpl w:val="DD2453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9076338"/>
    <w:multiLevelType w:val="hybridMultilevel"/>
    <w:tmpl w:val="E104D4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68EB3B4E"/>
    <w:multiLevelType w:val="hybridMultilevel"/>
    <w:tmpl w:val="A46442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747579089">
    <w:abstractNumId w:val="10"/>
  </w:num>
  <w:num w:numId="2" w16cid:durableId="538710853">
    <w:abstractNumId w:val="5"/>
  </w:num>
  <w:num w:numId="3" w16cid:durableId="353120617">
    <w:abstractNumId w:val="5"/>
  </w:num>
  <w:num w:numId="4" w16cid:durableId="89087674">
    <w:abstractNumId w:val="5"/>
  </w:num>
  <w:num w:numId="5" w16cid:durableId="139277586">
    <w:abstractNumId w:val="7"/>
  </w:num>
  <w:num w:numId="6" w16cid:durableId="928077505">
    <w:abstractNumId w:val="3"/>
  </w:num>
  <w:num w:numId="7" w16cid:durableId="1847598266">
    <w:abstractNumId w:val="7"/>
  </w:num>
  <w:num w:numId="8" w16cid:durableId="611282770">
    <w:abstractNumId w:val="11"/>
  </w:num>
  <w:num w:numId="9" w16cid:durableId="1415980576">
    <w:abstractNumId w:val="0"/>
  </w:num>
  <w:num w:numId="10" w16cid:durableId="1219173529">
    <w:abstractNumId w:val="12"/>
  </w:num>
  <w:num w:numId="11" w16cid:durableId="1917090024">
    <w:abstractNumId w:val="2"/>
  </w:num>
  <w:num w:numId="12" w16cid:durableId="1195386708">
    <w:abstractNumId w:val="6"/>
  </w:num>
  <w:num w:numId="13" w16cid:durableId="455372084">
    <w:abstractNumId w:val="1"/>
  </w:num>
  <w:num w:numId="14" w16cid:durableId="1371029013">
    <w:abstractNumId w:val="8"/>
  </w:num>
  <w:num w:numId="15" w16cid:durableId="1530220485">
    <w:abstractNumId w:val="9"/>
  </w:num>
  <w:num w:numId="16" w16cid:durableId="219100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C1B"/>
    <w:rsid w:val="00007029"/>
    <w:rsid w:val="0001694D"/>
    <w:rsid w:val="00016CF1"/>
    <w:rsid w:val="00016FC6"/>
    <w:rsid w:val="00017371"/>
    <w:rsid w:val="00036F98"/>
    <w:rsid w:val="0003778D"/>
    <w:rsid w:val="00037EEF"/>
    <w:rsid w:val="00051074"/>
    <w:rsid w:val="00056B4F"/>
    <w:rsid w:val="00057005"/>
    <w:rsid w:val="00060856"/>
    <w:rsid w:val="000634AA"/>
    <w:rsid w:val="00064F9C"/>
    <w:rsid w:val="00070697"/>
    <w:rsid w:val="0007284C"/>
    <w:rsid w:val="0007365A"/>
    <w:rsid w:val="00080174"/>
    <w:rsid w:val="00080641"/>
    <w:rsid w:val="00087EF8"/>
    <w:rsid w:val="00095183"/>
    <w:rsid w:val="00096E34"/>
    <w:rsid w:val="0009701F"/>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A763C"/>
    <w:rsid w:val="001B0B9B"/>
    <w:rsid w:val="001B23A8"/>
    <w:rsid w:val="001B44AC"/>
    <w:rsid w:val="001C095F"/>
    <w:rsid w:val="001C2DA0"/>
    <w:rsid w:val="001C5F96"/>
    <w:rsid w:val="001D2CFB"/>
    <w:rsid w:val="001D6765"/>
    <w:rsid w:val="001F0E4F"/>
    <w:rsid w:val="001F1BC5"/>
    <w:rsid w:val="001F3096"/>
    <w:rsid w:val="001F54B5"/>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03623"/>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B2619"/>
    <w:rsid w:val="003B5297"/>
    <w:rsid w:val="003B6613"/>
    <w:rsid w:val="003C4C01"/>
    <w:rsid w:val="003C5D93"/>
    <w:rsid w:val="003D0ACC"/>
    <w:rsid w:val="003D20D2"/>
    <w:rsid w:val="003D2E36"/>
    <w:rsid w:val="003E5CD1"/>
    <w:rsid w:val="003E648E"/>
    <w:rsid w:val="003E6D0D"/>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15FC"/>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3CD9"/>
    <w:rsid w:val="004F58C4"/>
    <w:rsid w:val="00513682"/>
    <w:rsid w:val="00515D23"/>
    <w:rsid w:val="005273DB"/>
    <w:rsid w:val="005320BF"/>
    <w:rsid w:val="00534CB2"/>
    <w:rsid w:val="00537CAA"/>
    <w:rsid w:val="00541FD5"/>
    <w:rsid w:val="00546488"/>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04DE"/>
    <w:rsid w:val="005C102C"/>
    <w:rsid w:val="005C6B89"/>
    <w:rsid w:val="005C7060"/>
    <w:rsid w:val="005D5DF8"/>
    <w:rsid w:val="005D6604"/>
    <w:rsid w:val="005E1A82"/>
    <w:rsid w:val="005F16CE"/>
    <w:rsid w:val="005F2B6C"/>
    <w:rsid w:val="005F78F7"/>
    <w:rsid w:val="0060323F"/>
    <w:rsid w:val="00604792"/>
    <w:rsid w:val="006053DA"/>
    <w:rsid w:val="006219F9"/>
    <w:rsid w:val="00641145"/>
    <w:rsid w:val="00647CED"/>
    <w:rsid w:val="00650357"/>
    <w:rsid w:val="00653285"/>
    <w:rsid w:val="006538AD"/>
    <w:rsid w:val="006612EE"/>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6F617D"/>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D1036"/>
    <w:rsid w:val="007D13CE"/>
    <w:rsid w:val="007D740C"/>
    <w:rsid w:val="007D78E0"/>
    <w:rsid w:val="007E0C95"/>
    <w:rsid w:val="007F205A"/>
    <w:rsid w:val="00800551"/>
    <w:rsid w:val="008108EB"/>
    <w:rsid w:val="008112FF"/>
    <w:rsid w:val="008116CC"/>
    <w:rsid w:val="00820DE2"/>
    <w:rsid w:val="00821454"/>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E71F2"/>
    <w:rsid w:val="008F4B1A"/>
    <w:rsid w:val="008F7294"/>
    <w:rsid w:val="00900960"/>
    <w:rsid w:val="00901DE5"/>
    <w:rsid w:val="009025F3"/>
    <w:rsid w:val="00905199"/>
    <w:rsid w:val="00924E1F"/>
    <w:rsid w:val="00925147"/>
    <w:rsid w:val="00925BC7"/>
    <w:rsid w:val="009262B0"/>
    <w:rsid w:val="00936523"/>
    <w:rsid w:val="009409B7"/>
    <w:rsid w:val="00950A8E"/>
    <w:rsid w:val="00956D29"/>
    <w:rsid w:val="00970C43"/>
    <w:rsid w:val="00985ABD"/>
    <w:rsid w:val="00987684"/>
    <w:rsid w:val="00996958"/>
    <w:rsid w:val="009A10E6"/>
    <w:rsid w:val="009A3106"/>
    <w:rsid w:val="009B454E"/>
    <w:rsid w:val="009D5D94"/>
    <w:rsid w:val="009D75CB"/>
    <w:rsid w:val="009E0706"/>
    <w:rsid w:val="009E62B0"/>
    <w:rsid w:val="009F1AD7"/>
    <w:rsid w:val="009F2045"/>
    <w:rsid w:val="009F48C0"/>
    <w:rsid w:val="00A02A33"/>
    <w:rsid w:val="00A156D8"/>
    <w:rsid w:val="00A21E9E"/>
    <w:rsid w:val="00A23E61"/>
    <w:rsid w:val="00A337EB"/>
    <w:rsid w:val="00A37BE4"/>
    <w:rsid w:val="00A41619"/>
    <w:rsid w:val="00A4396B"/>
    <w:rsid w:val="00A470AD"/>
    <w:rsid w:val="00A5211C"/>
    <w:rsid w:val="00A5346C"/>
    <w:rsid w:val="00A6094B"/>
    <w:rsid w:val="00A62453"/>
    <w:rsid w:val="00A706BC"/>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66E29"/>
    <w:rsid w:val="00B75A59"/>
    <w:rsid w:val="00B92AEA"/>
    <w:rsid w:val="00B931D9"/>
    <w:rsid w:val="00B940F5"/>
    <w:rsid w:val="00B963F7"/>
    <w:rsid w:val="00BA0868"/>
    <w:rsid w:val="00BA564F"/>
    <w:rsid w:val="00BB0FFE"/>
    <w:rsid w:val="00BB2943"/>
    <w:rsid w:val="00BB5631"/>
    <w:rsid w:val="00BB6C11"/>
    <w:rsid w:val="00BB793B"/>
    <w:rsid w:val="00BC2EEA"/>
    <w:rsid w:val="00BC6EC1"/>
    <w:rsid w:val="00BC743A"/>
    <w:rsid w:val="00BD2F72"/>
    <w:rsid w:val="00BD3D2E"/>
    <w:rsid w:val="00BE7F7F"/>
    <w:rsid w:val="00BF4036"/>
    <w:rsid w:val="00C06E27"/>
    <w:rsid w:val="00C11EC8"/>
    <w:rsid w:val="00C13204"/>
    <w:rsid w:val="00C14F29"/>
    <w:rsid w:val="00C21E4A"/>
    <w:rsid w:val="00C2426D"/>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C0319"/>
    <w:rsid w:val="00CD0D61"/>
    <w:rsid w:val="00CD512B"/>
    <w:rsid w:val="00CD674A"/>
    <w:rsid w:val="00CE0F83"/>
    <w:rsid w:val="00CE1212"/>
    <w:rsid w:val="00CE1A8B"/>
    <w:rsid w:val="00CE3BE5"/>
    <w:rsid w:val="00CF062F"/>
    <w:rsid w:val="00CF2189"/>
    <w:rsid w:val="00CF6D68"/>
    <w:rsid w:val="00D07C8F"/>
    <w:rsid w:val="00D11EA0"/>
    <w:rsid w:val="00D14C70"/>
    <w:rsid w:val="00D15833"/>
    <w:rsid w:val="00D16A7E"/>
    <w:rsid w:val="00D17EF6"/>
    <w:rsid w:val="00D208AB"/>
    <w:rsid w:val="00D25AD6"/>
    <w:rsid w:val="00D2666F"/>
    <w:rsid w:val="00D30DEE"/>
    <w:rsid w:val="00D32C48"/>
    <w:rsid w:val="00D337FE"/>
    <w:rsid w:val="00D360E2"/>
    <w:rsid w:val="00D371C0"/>
    <w:rsid w:val="00D40FB2"/>
    <w:rsid w:val="00D4777B"/>
    <w:rsid w:val="00D544B1"/>
    <w:rsid w:val="00D5483D"/>
    <w:rsid w:val="00D57AC8"/>
    <w:rsid w:val="00D62E00"/>
    <w:rsid w:val="00D67CBD"/>
    <w:rsid w:val="00D7494C"/>
    <w:rsid w:val="00D8189C"/>
    <w:rsid w:val="00D83786"/>
    <w:rsid w:val="00D84821"/>
    <w:rsid w:val="00D904AF"/>
    <w:rsid w:val="00D93A1D"/>
    <w:rsid w:val="00D970E7"/>
    <w:rsid w:val="00DA263F"/>
    <w:rsid w:val="00DA2C16"/>
    <w:rsid w:val="00DA699A"/>
    <w:rsid w:val="00DB5FD3"/>
    <w:rsid w:val="00DC2697"/>
    <w:rsid w:val="00DC6A8E"/>
    <w:rsid w:val="00DD2733"/>
    <w:rsid w:val="00DD3B69"/>
    <w:rsid w:val="00DE3AF4"/>
    <w:rsid w:val="00DF234F"/>
    <w:rsid w:val="00DF2675"/>
    <w:rsid w:val="00DF6180"/>
    <w:rsid w:val="00E0007C"/>
    <w:rsid w:val="00E01B64"/>
    <w:rsid w:val="00E037AA"/>
    <w:rsid w:val="00E07F38"/>
    <w:rsid w:val="00E07FFC"/>
    <w:rsid w:val="00E10E3C"/>
    <w:rsid w:val="00E15151"/>
    <w:rsid w:val="00E20997"/>
    <w:rsid w:val="00E23ACB"/>
    <w:rsid w:val="00E32F86"/>
    <w:rsid w:val="00E41DD6"/>
    <w:rsid w:val="00E42DC3"/>
    <w:rsid w:val="00E4446B"/>
    <w:rsid w:val="00E53ECD"/>
    <w:rsid w:val="00E641F7"/>
    <w:rsid w:val="00E65668"/>
    <w:rsid w:val="00E70322"/>
    <w:rsid w:val="00E7064E"/>
    <w:rsid w:val="00E7258D"/>
    <w:rsid w:val="00E7330B"/>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44C8E"/>
    <w:rsid w:val="00F56B32"/>
    <w:rsid w:val="00F61197"/>
    <w:rsid w:val="00F61A20"/>
    <w:rsid w:val="00F62571"/>
    <w:rsid w:val="00F66088"/>
    <w:rsid w:val="00F66BF3"/>
    <w:rsid w:val="00F66F72"/>
    <w:rsid w:val="00F70682"/>
    <w:rsid w:val="00F715B8"/>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8D9087"/>
  <w15:docId w15:val="{BB9CD806-808F-4B76-B0B8-CBED9FD57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F5C8B-377F-4B05-B73B-328F9A652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1250</Words>
  <Characters>6881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Servicio ponencia 1</cp:lastModifiedBy>
  <cp:revision>5</cp:revision>
  <cp:lastPrinted>2022-07-01T18:46:00Z</cp:lastPrinted>
  <dcterms:created xsi:type="dcterms:W3CDTF">2022-07-01T18:39:00Z</dcterms:created>
  <dcterms:modified xsi:type="dcterms:W3CDTF">2022-10-26T18:31:00Z</dcterms:modified>
</cp:coreProperties>
</file>