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760BF1" w14:textId="05110521" w:rsidR="00E7313A" w:rsidRDefault="00E7313A" w:rsidP="00994C1B">
      <w:pPr>
        <w:spacing w:line="480" w:lineRule="auto"/>
        <w:jc w:val="both"/>
        <w:rPr>
          <w:rFonts w:ascii="Century Gothic" w:hAnsi="Century Gothic"/>
        </w:rPr>
      </w:pPr>
      <w:r>
        <w:rPr>
          <w:rFonts w:ascii="Century Gothic" w:hAnsi="Century Gothic"/>
        </w:rPr>
        <w:t xml:space="preserve">ACTA NUMERO </w:t>
      </w:r>
      <w:r w:rsidR="00101846">
        <w:rPr>
          <w:rFonts w:ascii="Century Gothic" w:hAnsi="Century Gothic"/>
        </w:rPr>
        <w:t>VEINTE</w:t>
      </w:r>
      <w:r>
        <w:rPr>
          <w:rFonts w:ascii="Century Gothic" w:hAnsi="Century Gothic"/>
        </w:rPr>
        <w:t xml:space="preserve">. </w:t>
      </w:r>
    </w:p>
    <w:p w14:paraId="60B4D233" w14:textId="306949CC" w:rsidR="00E7313A" w:rsidRPr="00101846" w:rsidRDefault="00E7313A" w:rsidP="00994C1B">
      <w:pPr>
        <w:spacing w:line="480" w:lineRule="auto"/>
        <w:jc w:val="both"/>
        <w:rPr>
          <w:rFonts w:ascii="Century Gothic" w:hAnsi="Century Gothic"/>
          <w:b/>
        </w:rPr>
      </w:pPr>
      <w:r>
        <w:rPr>
          <w:rFonts w:ascii="Century Gothic" w:hAnsi="Century Gothic"/>
        </w:rPr>
        <w:t xml:space="preserve">En la Ciudad de San Luis Potosí, Capital del Estado del mismo nombre, siendo las </w:t>
      </w:r>
      <w:r w:rsidR="001F5023">
        <w:rPr>
          <w:rFonts w:ascii="Century Gothic" w:hAnsi="Century Gothic"/>
        </w:rPr>
        <w:t>1</w:t>
      </w:r>
      <w:r w:rsidR="00101846">
        <w:rPr>
          <w:rFonts w:ascii="Century Gothic" w:hAnsi="Century Gothic"/>
        </w:rPr>
        <w:t>2</w:t>
      </w:r>
      <w:r>
        <w:rPr>
          <w:rFonts w:ascii="Century Gothic" w:hAnsi="Century Gothic"/>
        </w:rPr>
        <w:t xml:space="preserve">:00 </w:t>
      </w:r>
      <w:r w:rsidR="00101846">
        <w:rPr>
          <w:rFonts w:ascii="Century Gothic" w:hAnsi="Century Gothic"/>
        </w:rPr>
        <w:t>doce</w:t>
      </w:r>
      <w:r w:rsidR="001F5023">
        <w:rPr>
          <w:rFonts w:ascii="Century Gothic" w:hAnsi="Century Gothic"/>
        </w:rPr>
        <w:t xml:space="preserve"> </w:t>
      </w:r>
      <w:r>
        <w:rPr>
          <w:rFonts w:ascii="Century Gothic" w:hAnsi="Century Gothic"/>
        </w:rPr>
        <w:t xml:space="preserve">horas del día </w:t>
      </w:r>
      <w:r w:rsidR="00101846">
        <w:rPr>
          <w:rFonts w:ascii="Century Gothic" w:hAnsi="Century Gothic"/>
        </w:rPr>
        <w:t>13 trece de mayo</w:t>
      </w:r>
      <w:r>
        <w:rPr>
          <w:rFonts w:ascii="Century Gothic" w:hAnsi="Century Gothic"/>
        </w:rPr>
        <w:t xml:space="preserve"> de </w:t>
      </w:r>
      <w:r w:rsidR="002742B7">
        <w:rPr>
          <w:rFonts w:ascii="Century Gothic" w:hAnsi="Century Gothic"/>
        </w:rPr>
        <w:t>202</w:t>
      </w:r>
      <w:r w:rsidR="004736B1">
        <w:rPr>
          <w:rFonts w:ascii="Century Gothic" w:hAnsi="Century Gothic"/>
        </w:rPr>
        <w:t>2</w:t>
      </w:r>
      <w:r>
        <w:rPr>
          <w:rFonts w:ascii="Century Gothic" w:hAnsi="Century Gothic"/>
        </w:rPr>
        <w:t xml:space="preserve"> dos mil </w:t>
      </w:r>
      <w:r w:rsidR="002742B7">
        <w:rPr>
          <w:rFonts w:ascii="Century Gothic" w:hAnsi="Century Gothic"/>
        </w:rPr>
        <w:t>veint</w:t>
      </w:r>
      <w:r w:rsidR="004736B1">
        <w:rPr>
          <w:rFonts w:ascii="Century Gothic" w:hAnsi="Century Gothic"/>
        </w:rPr>
        <w:t>idós</w:t>
      </w:r>
      <w:r>
        <w:rPr>
          <w:rFonts w:ascii="Century Gothic" w:hAnsi="Century Gothic"/>
        </w:rPr>
        <w:t xml:space="preserve">, se reunieron en la sede del Poder Judicial, los señores </w:t>
      </w:r>
      <w:r w:rsidR="00EF170A" w:rsidRPr="00AC2448">
        <w:rPr>
          <w:rFonts w:ascii="Century Gothic" w:hAnsi="Century Gothic"/>
          <w:b/>
          <w:bCs/>
          <w:color w:val="000000"/>
        </w:rPr>
        <w:t>Magistrados licenciados</w:t>
      </w:r>
      <w:r w:rsidR="00EF170A" w:rsidRPr="00AC2448">
        <w:rPr>
          <w:rFonts w:ascii="Century Gothic" w:hAnsi="Century Gothic"/>
          <w:b/>
          <w:bCs/>
        </w:rPr>
        <w:t xml:space="preserve"> Olga Regina García López, Ma. Guadalupe Orozco Santiago, José Armando Martínez Vázquez, Carlos Alejandro Robledo Zapata, Luz María Enriqueta Cabrero Romero, Rebeca Anastacia Medina García, Juan Paulo Almazán Cue, María Manuela García Cázares, María América Onofre Díaz, </w:t>
      </w:r>
      <w:r w:rsidR="00EF170A" w:rsidRPr="00AC2448">
        <w:rPr>
          <w:rFonts w:ascii="Century Gothic" w:hAnsi="Century Gothic"/>
          <w:b/>
        </w:rPr>
        <w:t xml:space="preserve">Armando Rafael Oviedo Ábrego, Silvia Torres Sánchez, </w:t>
      </w:r>
      <w:r w:rsidR="00101846">
        <w:rPr>
          <w:rFonts w:ascii="Century Gothic" w:hAnsi="Century Gothic"/>
          <w:b/>
        </w:rPr>
        <w:t xml:space="preserve">Abel Rodríguez Ramírez, Claudia Hernández Ibarra, </w:t>
      </w:r>
      <w:r w:rsidR="00EF170A" w:rsidRPr="00AC2448">
        <w:rPr>
          <w:rFonts w:ascii="Century Gothic" w:hAnsi="Century Gothic"/>
          <w:b/>
        </w:rPr>
        <w:t>Alma Delia González Centeno, Jesús María Ponce De León M</w:t>
      </w:r>
      <w:r w:rsidR="00101846">
        <w:rPr>
          <w:rFonts w:ascii="Century Gothic" w:hAnsi="Century Gothic"/>
          <w:b/>
        </w:rPr>
        <w:t xml:space="preserve">ontes, Adriana Monter Guerrero; </w:t>
      </w:r>
      <w:r w:rsidR="00EF170A" w:rsidRPr="00F73B09">
        <w:rPr>
          <w:rFonts w:ascii="Century Gothic" w:hAnsi="Century Gothic"/>
          <w:bCs/>
        </w:rPr>
        <w:t>así como la</w:t>
      </w:r>
      <w:r w:rsidR="00EF170A" w:rsidRPr="00F73B09">
        <w:rPr>
          <w:rFonts w:ascii="Century Gothic" w:hAnsi="Century Gothic"/>
          <w:b/>
          <w:bCs/>
        </w:rPr>
        <w:t xml:space="preserve"> Consejera Diana Isela Soria Hernández, Consejeros Jesús Javier Delgado Sam y </w:t>
      </w:r>
      <w:proofErr w:type="spellStart"/>
      <w:r w:rsidR="00EF170A" w:rsidRPr="00F73B09">
        <w:rPr>
          <w:rFonts w:ascii="Century Gothic" w:hAnsi="Century Gothic"/>
          <w:b/>
          <w:bCs/>
        </w:rPr>
        <w:t>Huitzilihuitl</w:t>
      </w:r>
      <w:proofErr w:type="spellEnd"/>
      <w:r w:rsidR="00EF170A" w:rsidRPr="00F73B09">
        <w:rPr>
          <w:rFonts w:ascii="Century Gothic" w:hAnsi="Century Gothic"/>
          <w:b/>
          <w:bCs/>
        </w:rPr>
        <w:t xml:space="preserve"> Ortega Pérez,</w:t>
      </w:r>
      <w:r w:rsidR="00EF170A">
        <w:rPr>
          <w:rFonts w:cs="Century Gothic"/>
        </w:rPr>
        <w:t xml:space="preserve"> </w:t>
      </w:r>
      <w:r w:rsidR="00EF170A" w:rsidRPr="009229DE">
        <w:rPr>
          <w:rFonts w:ascii="Century Gothic" w:hAnsi="Century Gothic" w:cs="Century Gothic"/>
        </w:rPr>
        <w:t>para celebrar sesión privada de Pleno extraordinari</w:t>
      </w:r>
      <w:r w:rsidR="00EF170A">
        <w:rPr>
          <w:rFonts w:ascii="Century Gothic" w:hAnsi="Century Gothic" w:cs="Century Gothic"/>
        </w:rPr>
        <w:t xml:space="preserve">o </w:t>
      </w:r>
      <w:r w:rsidR="00EF170A" w:rsidRPr="00F73B09">
        <w:rPr>
          <w:rFonts w:ascii="Century Gothic" w:hAnsi="Century Gothic" w:cs="Century Gothic"/>
        </w:rPr>
        <w:t xml:space="preserve">conjunto, </w:t>
      </w:r>
      <w:r w:rsidR="00EF170A">
        <w:rPr>
          <w:rFonts w:ascii="Century Gothic" w:hAnsi="Century Gothic" w:cs="Century Gothic"/>
        </w:rPr>
        <w:t>y según la convocatoria de la misma fecha</w:t>
      </w:r>
      <w:r w:rsidR="00EF170A" w:rsidRPr="009229DE">
        <w:rPr>
          <w:rFonts w:ascii="Century Gothic" w:hAnsi="Century Gothic" w:cs="Century Gothic"/>
        </w:rPr>
        <w:t xml:space="preserve">, que la Presidenta del Supremo Tribunal de Justicia, </w:t>
      </w:r>
      <w:r w:rsidR="00EF170A" w:rsidRPr="009229DE">
        <w:rPr>
          <w:rFonts w:ascii="Century Gothic" w:hAnsi="Century Gothic" w:cs="Century Gothic"/>
          <w:b/>
          <w:bCs/>
        </w:rPr>
        <w:t>Magistrada Olga Regina García López</w:t>
      </w:r>
      <w:r w:rsidR="00EF170A" w:rsidRPr="009229DE">
        <w:rPr>
          <w:rFonts w:ascii="Century Gothic" w:hAnsi="Century Gothic" w:cs="Century Gothic"/>
        </w:rPr>
        <w:t xml:space="preserve">, dirigió </w:t>
      </w:r>
      <w:r w:rsidR="00EF170A">
        <w:rPr>
          <w:rFonts w:ascii="Century Gothic" w:hAnsi="Century Gothic" w:cs="Century Gothic"/>
        </w:rPr>
        <w:t xml:space="preserve">a los referidos </w:t>
      </w:r>
      <w:r w:rsidR="00EF170A" w:rsidRPr="00F73B09">
        <w:rPr>
          <w:rFonts w:ascii="Century Gothic" w:hAnsi="Century Gothic" w:cs="Century Gothic"/>
        </w:rPr>
        <w:t xml:space="preserve">Magistrados y Magistradas, Consejera y Consejeros, con base a la facultad que le confieren los artículos 12, </w:t>
      </w:r>
      <w:r w:rsidR="00EF170A">
        <w:rPr>
          <w:rFonts w:ascii="Century Gothic" w:hAnsi="Century Gothic" w:cs="Century Gothic"/>
        </w:rPr>
        <w:t>17, fracción IV</w:t>
      </w:r>
      <w:r w:rsidR="00EF170A" w:rsidRPr="00F73B09">
        <w:rPr>
          <w:rFonts w:ascii="Century Gothic" w:hAnsi="Century Gothic" w:cs="Century Gothic"/>
        </w:rPr>
        <w:t xml:space="preserve"> y 90 de la Ley Orgánica del Poder Judicial del Estado</w:t>
      </w:r>
      <w:r w:rsidR="00EF170A" w:rsidRPr="009229DE">
        <w:rPr>
          <w:rFonts w:ascii="Century Gothic" w:hAnsi="Century Gothic" w:cs="Century Gothic"/>
        </w:rPr>
        <w:t xml:space="preserve">; </w:t>
      </w:r>
      <w:r w:rsidR="00EF170A" w:rsidRPr="00F93949">
        <w:rPr>
          <w:rFonts w:ascii="Century Gothic" w:hAnsi="Century Gothic"/>
        </w:rPr>
        <w:t xml:space="preserve">y de conformidad con el numeral 7º </w:t>
      </w:r>
      <w:r w:rsidR="00EF170A" w:rsidRPr="00F93949">
        <w:rPr>
          <w:rFonts w:ascii="Century Gothic" w:hAnsi="Century Gothic"/>
          <w:lang w:val="es-MX"/>
        </w:rPr>
        <w:t>del Reglamento Interior del Poder Judicial del Estado,</w:t>
      </w:r>
      <w:r w:rsidR="00EF170A" w:rsidRPr="00B870E7">
        <w:rPr>
          <w:rFonts w:ascii="Century Gothic" w:hAnsi="Century Gothic"/>
          <w:lang w:val="es-MX"/>
        </w:rPr>
        <w:t xml:space="preserve"> </w:t>
      </w:r>
      <w:r w:rsidR="00EF170A" w:rsidRPr="00914CFD">
        <w:rPr>
          <w:rFonts w:ascii="Century Gothic" w:hAnsi="Century Gothic"/>
        </w:rPr>
        <w:t>ante la Declaratoria de Emergencia Sanitaria de Fuerza Mayor a la Epidemia Generada por el Virus Sarscov2 (Covid-19), con todas las mediadas de sanidad; en forma presencial,</w:t>
      </w:r>
      <w:r w:rsidR="00EF170A" w:rsidRPr="00B870E7">
        <w:rPr>
          <w:rFonts w:ascii="Century Gothic" w:hAnsi="Century Gothic"/>
        </w:rPr>
        <w:t xml:space="preserve"> para el día de la fecha a las </w:t>
      </w:r>
      <w:r w:rsidR="00101846">
        <w:rPr>
          <w:rFonts w:ascii="Century Gothic" w:hAnsi="Century Gothic"/>
        </w:rPr>
        <w:t>12:00 doce</w:t>
      </w:r>
      <w:r w:rsidR="00EF170A" w:rsidRPr="00B870E7">
        <w:rPr>
          <w:rFonts w:ascii="Century Gothic" w:hAnsi="Century Gothic"/>
        </w:rPr>
        <w:t xml:space="preserve"> horas</w:t>
      </w:r>
      <w:r w:rsidR="00EF170A">
        <w:rPr>
          <w:rFonts w:ascii="Century Gothic" w:hAnsi="Century Gothic"/>
        </w:rPr>
        <w:t xml:space="preserve">, </w:t>
      </w:r>
      <w:r w:rsidR="00EF170A" w:rsidRPr="009229DE">
        <w:rPr>
          <w:rFonts w:ascii="Century Gothic" w:hAnsi="Century Gothic" w:cs="Century Gothic"/>
        </w:rPr>
        <w:t xml:space="preserve">comunicación, en la cual se les hizo saber, de conformidad con lo dispuesto por el artículo 5 de su Reglamento Interior, la fecha, hora y lugar de su celebración, </w:t>
      </w:r>
      <w:r w:rsidR="00EF170A" w:rsidRPr="009229DE">
        <w:rPr>
          <w:rFonts w:ascii="Century Gothic" w:hAnsi="Century Gothic" w:cs="Century Gothic"/>
          <w:lang w:val="es-MX"/>
        </w:rPr>
        <w:t xml:space="preserve">así como los asuntos a tratar al tenor del </w:t>
      </w:r>
      <w:r w:rsidR="00EF170A" w:rsidRPr="009229DE">
        <w:rPr>
          <w:rFonts w:ascii="Century Gothic" w:hAnsi="Century Gothic" w:cs="Century Gothic"/>
          <w:lang w:val="es-MX"/>
        </w:rPr>
        <w:lastRenderedPageBreak/>
        <w:t>siguiente orden del día</w:t>
      </w:r>
      <w:r>
        <w:rPr>
          <w:rFonts w:ascii="Century Gothic" w:hAnsi="Century Gothic"/>
        </w:rPr>
        <w:t xml:space="preserve">: </w:t>
      </w:r>
      <w:r>
        <w:rPr>
          <w:rFonts w:ascii="Century Gothic" w:hAnsi="Century Gothic"/>
          <w:b/>
          <w:bCs/>
        </w:rPr>
        <w:t>Primero:</w:t>
      </w:r>
      <w:r>
        <w:rPr>
          <w:rFonts w:ascii="Century Gothic" w:hAnsi="Century Gothic"/>
        </w:rPr>
        <w:t xml:space="preserve"> Lista de asistencia. </w:t>
      </w:r>
      <w:r>
        <w:rPr>
          <w:rFonts w:ascii="Century Gothic" w:hAnsi="Century Gothic"/>
          <w:b/>
          <w:bCs/>
        </w:rPr>
        <w:t>Segundo</w:t>
      </w:r>
      <w:r>
        <w:rPr>
          <w:rFonts w:ascii="Century Gothic" w:hAnsi="Century Gothic"/>
        </w:rPr>
        <w:t xml:space="preserve">: </w:t>
      </w:r>
      <w:r w:rsidRPr="001F5023">
        <w:rPr>
          <w:rFonts w:ascii="Century Gothic" w:hAnsi="Century Gothic" w:cs="Arial"/>
          <w:lang w:val="es-MX"/>
        </w:rPr>
        <w:t>Lectura, discusión y en su caso aprobación, del orden del día.</w:t>
      </w:r>
      <w:r w:rsidRPr="001F5023">
        <w:rPr>
          <w:rFonts w:ascii="Century Gothic" w:hAnsi="Century Gothic"/>
        </w:rPr>
        <w:t xml:space="preserve"> </w:t>
      </w:r>
      <w:r w:rsidRPr="001F5023">
        <w:rPr>
          <w:rFonts w:ascii="Century Gothic" w:hAnsi="Century Gothic"/>
          <w:b/>
          <w:bCs/>
        </w:rPr>
        <w:t>Tercero:</w:t>
      </w:r>
      <w:r w:rsidR="004736B1" w:rsidRPr="001F5023">
        <w:rPr>
          <w:rFonts w:ascii="Century Gothic" w:hAnsi="Century Gothic"/>
          <w:b/>
          <w:bCs/>
        </w:rPr>
        <w:t xml:space="preserve"> </w:t>
      </w:r>
      <w:r w:rsidR="00101846" w:rsidRPr="00B37ED0">
        <w:rPr>
          <w:rFonts w:ascii="Century Gothic" w:hAnsi="Century Gothic"/>
          <w:i/>
          <w:lang w:val="es-ES_tradnl" w:eastAsia="en-US"/>
        </w:rPr>
        <w:t>S</w:t>
      </w:r>
      <w:proofErr w:type="spellStart"/>
      <w:r w:rsidR="00101846" w:rsidRPr="00B37ED0">
        <w:rPr>
          <w:rFonts w:ascii="Century Gothic" w:hAnsi="Century Gothic" w:cs="Arial"/>
          <w:lang w:val="es-MX" w:eastAsia="en-US"/>
        </w:rPr>
        <w:t>e</w:t>
      </w:r>
      <w:proofErr w:type="spellEnd"/>
      <w:r w:rsidR="00101846" w:rsidRPr="00B37ED0">
        <w:rPr>
          <w:rFonts w:ascii="Century Gothic" w:hAnsi="Century Gothic" w:cs="Arial"/>
          <w:lang w:val="es-MX" w:eastAsia="en-US"/>
        </w:rPr>
        <w:t xml:space="preserve"> somete a consideración, discusión y en su caso, determinación, el </w:t>
      </w:r>
      <w:r w:rsidR="00101846" w:rsidRPr="00B37ED0">
        <w:rPr>
          <w:rFonts w:ascii="Century Gothic" w:hAnsi="Century Gothic" w:cs="Arial"/>
          <w:b/>
          <w:lang w:eastAsia="es-MX"/>
        </w:rPr>
        <w:t xml:space="preserve">ACUERDO GENERAL DÉCIMO TERCERO QUE SUSCRIBEN LOS PLENOS DEL SUPREMO TRIBUNAL DE JUSTICIA Y DEL CONSEJO DE LA JUDICATURA DEL PODER JUDICIAL DEL ESTADO, </w:t>
      </w:r>
      <w:r w:rsidR="00101846" w:rsidRPr="00B37ED0">
        <w:rPr>
          <w:rFonts w:ascii="Century Gothic" w:hAnsi="Century Gothic" w:cs="Arial"/>
          <w:b/>
          <w:bCs/>
        </w:rPr>
        <w:t xml:space="preserve">MEDIANTE EL CUAL SE APRUEBAN LOS LINEAMIENTOS QUE REGULAN LAS ACTIVIDADES DEL PODER JUDICIAL DEL ESTADO DURANTE EL NIVEL BAJO DE RIESGO EPIDÉMICO DEL SEMÁFORO VERDE DERIVADO DEL </w:t>
      </w:r>
      <w:r w:rsidR="00101846" w:rsidRPr="00B37ED0">
        <w:rPr>
          <w:rFonts w:ascii="Century Gothic" w:hAnsi="Century Gothic" w:cs="Arial"/>
          <w:b/>
          <w:lang w:eastAsia="es-MX"/>
        </w:rPr>
        <w:t>VIRUS SARS COV2 (COVID-19) Y SUS VARIANTES.</w:t>
      </w:r>
      <w:r w:rsidRPr="001F5023">
        <w:rPr>
          <w:rFonts w:ascii="Century Gothic" w:hAnsi="Century Gothic"/>
        </w:rPr>
        <w:t xml:space="preserve"> - - - - - -</w:t>
      </w:r>
      <w:r w:rsidRPr="001F5023">
        <w:rPr>
          <w:rFonts w:ascii="Century Gothic" w:hAnsi="Century Gothic" w:cs="Arial"/>
        </w:rPr>
        <w:t xml:space="preserve"> - - - - - - - - - - </w:t>
      </w:r>
      <w:r w:rsidR="00DA61D4">
        <w:rPr>
          <w:rFonts w:ascii="Century Gothic" w:hAnsi="Century Gothic" w:cs="Arial"/>
        </w:rPr>
        <w:t xml:space="preserve"> </w:t>
      </w:r>
      <w:r w:rsidR="00205F5C">
        <w:rPr>
          <w:rFonts w:ascii="Century Gothic" w:hAnsi="Century Gothic" w:cs="Arial"/>
        </w:rPr>
        <w:t xml:space="preserve"> </w:t>
      </w:r>
    </w:p>
    <w:p w14:paraId="13F0CA78" w14:textId="560C0D95" w:rsidR="00E7313A" w:rsidRDefault="00EF170A" w:rsidP="00994C1B">
      <w:pPr>
        <w:spacing w:line="480" w:lineRule="auto"/>
        <w:jc w:val="both"/>
        <w:rPr>
          <w:rFonts w:ascii="Century Gothic" w:hAnsi="Century Gothic"/>
        </w:rPr>
      </w:pPr>
      <w:r w:rsidRPr="009229DE">
        <w:rPr>
          <w:rFonts w:ascii="Century Gothic" w:hAnsi="Century Gothic"/>
        </w:rPr>
        <w:t xml:space="preserve">Atento a lo dispuesto por el artículo 5, fracción I, del Reglamento Interior del Poder Judicial del Estado, la </w:t>
      </w:r>
      <w:r w:rsidRPr="009229DE">
        <w:rPr>
          <w:rFonts w:ascii="Century Gothic" w:hAnsi="Century Gothic"/>
          <w:b/>
        </w:rPr>
        <w:t>M</w:t>
      </w:r>
      <w:r w:rsidRPr="009229DE">
        <w:rPr>
          <w:rFonts w:ascii="Century Gothic" w:hAnsi="Century Gothic"/>
          <w:b/>
          <w:bCs/>
        </w:rPr>
        <w:t>agistrada Presidenta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Pr>
          <w:rFonts w:ascii="Century Gothic" w:hAnsi="Century Gothic"/>
          <w:b/>
        </w:rPr>
        <w:t xml:space="preserve"> del Pleno de este Tribunal y Secretaria de Pleno y Carrera Judicial del Consejo de la Judicatura del Estado, </w:t>
      </w:r>
      <w:r w:rsidRPr="009229DE">
        <w:rPr>
          <w:rFonts w:ascii="Century Gothic" w:hAnsi="Century Gothic"/>
        </w:rPr>
        <w:t>a tomar lista de asistencia;</w:t>
      </w:r>
      <w:r w:rsidRPr="009229DE">
        <w:rPr>
          <w:rFonts w:ascii="Century Gothic" w:hAnsi="Century Gothic"/>
          <w:lang w:val="es-MX"/>
        </w:rPr>
        <w:t xml:space="preserve"> </w:t>
      </w:r>
      <w:r w:rsidRPr="009229DE">
        <w:rPr>
          <w:rFonts w:ascii="Century Gothic" w:hAnsi="Century Gothic" w:cs="Century Gothic"/>
          <w:lang w:val="es-MX"/>
        </w:rPr>
        <w:t xml:space="preserve">una vez cumplida la instrucción, la </w:t>
      </w:r>
      <w:r w:rsidRPr="009229DE">
        <w:rPr>
          <w:rFonts w:ascii="Century Gothic" w:hAnsi="Century Gothic" w:cs="Century Gothic"/>
        </w:rPr>
        <w:t xml:space="preserve">Presidencia da cuenta </w:t>
      </w:r>
      <w:r>
        <w:rPr>
          <w:rFonts w:ascii="Century Gothic" w:hAnsi="Century Gothic" w:cs="Century Gothic"/>
          <w:lang w:val="es-MX"/>
        </w:rPr>
        <w:t>que se encuentran presentes todos y cada uno l</w:t>
      </w:r>
      <w:r w:rsidRPr="009229DE">
        <w:rPr>
          <w:rFonts w:ascii="Century Gothic" w:hAnsi="Century Gothic" w:cs="Century Gothic"/>
          <w:lang w:val="es-MX"/>
        </w:rPr>
        <w:t>os Magistrados y Magistradas que conforman este H</w:t>
      </w:r>
      <w:r>
        <w:rPr>
          <w:rFonts w:ascii="Century Gothic" w:hAnsi="Century Gothic" w:cs="Century Gothic"/>
          <w:lang w:val="es-MX"/>
        </w:rPr>
        <w:t>onorable Pleno</w:t>
      </w:r>
      <w:r w:rsidRPr="009229DE">
        <w:rPr>
          <w:rFonts w:ascii="Century Gothic" w:hAnsi="Century Gothic" w:cs="Century Gothic"/>
        </w:rPr>
        <w:t>.</w:t>
      </w:r>
      <w:r>
        <w:rPr>
          <w:rFonts w:ascii="Century Gothic" w:hAnsi="Century Gothic" w:cs="Century Gothic"/>
        </w:rPr>
        <w:t xml:space="preserve"> </w:t>
      </w:r>
      <w:r w:rsidRPr="00A03573">
        <w:rPr>
          <w:rFonts w:ascii="Century Gothic" w:hAnsi="Century Gothic" w:cs="Century Gothic"/>
        </w:rPr>
        <w:t>Así como la Consejera y los Consejeros integrantes del Consejo de la Judicatura</w:t>
      </w:r>
      <w:r>
        <w:rPr>
          <w:rFonts w:ascii="Century Gothic" w:hAnsi="Century Gothic" w:cs="Century Gothic"/>
        </w:rPr>
        <w:t>.</w:t>
      </w:r>
      <w:r w:rsidRPr="009229DE">
        <w:rPr>
          <w:rFonts w:ascii="Century Gothic" w:hAnsi="Century Gothic" w:cs="Century Gothic"/>
        </w:rPr>
        <w:t xml:space="preserve"> </w:t>
      </w:r>
      <w:r w:rsidRPr="009229DE">
        <w:rPr>
          <w:rFonts w:ascii="Century Gothic" w:hAnsi="Century Gothic" w:cs="Century Gothic"/>
          <w:lang w:val="es-MX"/>
        </w:rPr>
        <w:t xml:space="preserve">Atento a ello, </w:t>
      </w:r>
      <w:r w:rsidRPr="009229DE">
        <w:rPr>
          <w:rFonts w:ascii="Century Gothic" w:hAnsi="Century Gothic" w:cs="Century Gothic"/>
        </w:rPr>
        <w:t>existiendo</w:t>
      </w:r>
      <w:r w:rsidRPr="009229DE">
        <w:rPr>
          <w:rFonts w:ascii="Century Gothic" w:hAnsi="Century Gothic" w:cs="Century Gothic"/>
          <w:lang w:val="es-MX"/>
        </w:rPr>
        <w:t xml:space="preserve"> </w:t>
      </w:r>
      <w:r w:rsidRPr="009229DE">
        <w:rPr>
          <w:rFonts w:ascii="Century Gothic" w:hAnsi="Century Gothic" w:cs="Century Gothic"/>
          <w:b/>
          <w:bCs/>
          <w:lang w:val="es-MX"/>
        </w:rPr>
        <w:t>quórum</w:t>
      </w:r>
      <w:r w:rsidRPr="009229DE">
        <w:rPr>
          <w:rFonts w:ascii="Century Gothic" w:hAnsi="Century Gothic" w:cs="Century Gothic"/>
          <w:lang w:val="es-MX"/>
        </w:rPr>
        <w:t xml:space="preserve"> para celebrar esta sesión, la Magistrada Presidenta, la declara válida, al igual que los acuerdos que en ella se tome</w:t>
      </w:r>
      <w:r w:rsidRPr="009229DE">
        <w:rPr>
          <w:rFonts w:ascii="Century Gothic" w:hAnsi="Century Gothic"/>
          <w:lang w:val="es-MX"/>
        </w:rPr>
        <w:t xml:space="preserve">n. </w:t>
      </w:r>
      <w:r w:rsidRPr="009229DE">
        <w:rPr>
          <w:rFonts w:ascii="Century Gothic" w:hAnsi="Century Gothic"/>
        </w:rPr>
        <w:t xml:space="preserve">- - - - - - - - - - - - - - - - - - </w:t>
      </w:r>
      <w:r w:rsidR="00DA61D4">
        <w:rPr>
          <w:rFonts w:ascii="Century Gothic" w:hAnsi="Century Gothic"/>
        </w:rPr>
        <w:t xml:space="preserve"> </w:t>
      </w:r>
    </w:p>
    <w:p w14:paraId="0C700AB8" w14:textId="0DA296CF" w:rsidR="00EF170A" w:rsidRDefault="00E7313A" w:rsidP="00994C1B">
      <w:pPr>
        <w:spacing w:line="480" w:lineRule="auto"/>
        <w:jc w:val="both"/>
        <w:rPr>
          <w:rFonts w:ascii="Century Gothic" w:hAnsi="Century Gothic"/>
          <w:bCs/>
        </w:rPr>
      </w:pPr>
      <w:r>
        <w:rPr>
          <w:rFonts w:ascii="Century Gothic" w:hAnsi="Century Gothic"/>
        </w:rPr>
        <w:t xml:space="preserve">Posteriormente, </w:t>
      </w:r>
      <w:r w:rsidR="006A2583">
        <w:rPr>
          <w:rFonts w:ascii="Century Gothic" w:hAnsi="Century Gothic"/>
        </w:rPr>
        <w:t>la</w:t>
      </w:r>
      <w:r>
        <w:rPr>
          <w:rFonts w:ascii="Century Gothic" w:hAnsi="Century Gothic"/>
        </w:rPr>
        <w:t xml:space="preserve"> </w:t>
      </w:r>
      <w:r w:rsidR="004E276F" w:rsidRPr="004E276F">
        <w:rPr>
          <w:rFonts w:ascii="Century Gothic" w:hAnsi="Century Gothic"/>
          <w:b/>
        </w:rPr>
        <w:t>M</w:t>
      </w:r>
      <w:r>
        <w:rPr>
          <w:rFonts w:ascii="Century Gothic" w:hAnsi="Century Gothic"/>
          <w:b/>
        </w:rPr>
        <w:t>agistrad</w:t>
      </w:r>
      <w:r w:rsidR="006A2583">
        <w:rPr>
          <w:rFonts w:ascii="Century Gothic" w:hAnsi="Century Gothic"/>
          <w:b/>
        </w:rPr>
        <w:t>a Olga Regina García López</w:t>
      </w:r>
      <w:r>
        <w:rPr>
          <w:rFonts w:ascii="Century Gothic" w:hAnsi="Century Gothic"/>
        </w:rPr>
        <w:t xml:space="preserve">, pide a la Secretaria General de Acuerdos de lectura al </w:t>
      </w:r>
      <w:r>
        <w:rPr>
          <w:rFonts w:ascii="Century Gothic" w:hAnsi="Century Gothic"/>
          <w:b/>
        </w:rPr>
        <w:t>segundo punto</w:t>
      </w:r>
      <w:r>
        <w:rPr>
          <w:rFonts w:ascii="Century Gothic" w:hAnsi="Century Gothic"/>
        </w:rPr>
        <w:t xml:space="preserve">. Acatando la disposición, la </w:t>
      </w:r>
      <w:r>
        <w:rPr>
          <w:rFonts w:ascii="Century Gothic" w:hAnsi="Century Gothic"/>
          <w:b/>
        </w:rPr>
        <w:t>licenciada Ma. del Rosario Torres Mancilla</w:t>
      </w:r>
      <w:r>
        <w:rPr>
          <w:rFonts w:ascii="Century Gothic" w:hAnsi="Century Gothic"/>
        </w:rPr>
        <w:t>, da lectura al orden del día.</w:t>
      </w:r>
      <w:r>
        <w:rPr>
          <w:rFonts w:ascii="Century Gothic" w:hAnsi="Century Gothic"/>
          <w:lang w:val="es-MX"/>
        </w:rPr>
        <w:t xml:space="preserve"> </w:t>
      </w:r>
      <w:r w:rsidRPr="009533FC">
        <w:rPr>
          <w:rFonts w:ascii="Century Gothic" w:hAnsi="Century Gothic"/>
          <w:b/>
          <w:lang w:val="es-MX"/>
        </w:rPr>
        <w:t>“</w:t>
      </w:r>
      <w:r w:rsidRPr="009533FC">
        <w:rPr>
          <w:rFonts w:ascii="Century Gothic" w:hAnsi="Century Gothic"/>
          <w:b/>
          <w:iCs/>
          <w:lang w:val="es-MX"/>
        </w:rPr>
        <w:t>Lectura, discusión y en su caso aprobación, del orden del día</w:t>
      </w:r>
      <w:r w:rsidRPr="009533FC">
        <w:rPr>
          <w:rFonts w:ascii="Century Gothic" w:hAnsi="Century Gothic"/>
          <w:b/>
          <w:lang w:val="es-MX"/>
        </w:rPr>
        <w:t>.”.</w:t>
      </w:r>
      <w:r>
        <w:rPr>
          <w:rFonts w:ascii="Century Gothic" w:hAnsi="Century Gothic"/>
          <w:lang w:val="es-MX"/>
        </w:rPr>
        <w:t xml:space="preserve"> </w:t>
      </w:r>
      <w:r w:rsidR="00EF170A" w:rsidRPr="007018D9">
        <w:rPr>
          <w:rFonts w:ascii="Century Gothic" w:hAnsi="Century Gothic"/>
          <w:b/>
        </w:rPr>
        <w:t xml:space="preserve">Atento a lo cual, el </w:t>
      </w:r>
      <w:r w:rsidR="00EF170A" w:rsidRPr="007018D9">
        <w:rPr>
          <w:rFonts w:ascii="Century Gothic" w:hAnsi="Century Gothic"/>
          <w:b/>
          <w:bCs/>
        </w:rPr>
        <w:t xml:space="preserve">orden del día es aprobado en sus términos, por </w:t>
      </w:r>
      <w:r w:rsidR="00EF170A">
        <w:rPr>
          <w:rFonts w:ascii="Century Gothic" w:hAnsi="Century Gothic"/>
          <w:b/>
          <w:bCs/>
        </w:rPr>
        <w:t>unanimidad</w:t>
      </w:r>
      <w:r w:rsidR="00EF170A" w:rsidRPr="007018D9">
        <w:rPr>
          <w:rFonts w:ascii="Century Gothic" w:hAnsi="Century Gothic"/>
          <w:b/>
          <w:bCs/>
        </w:rPr>
        <w:t xml:space="preserve"> de votos.</w:t>
      </w:r>
      <w:r w:rsidR="00EF170A" w:rsidRPr="007018D9">
        <w:rPr>
          <w:rFonts w:ascii="Century Gothic" w:hAnsi="Century Gothic"/>
          <w:bCs/>
        </w:rPr>
        <w:t xml:space="preserve"> - </w:t>
      </w:r>
      <w:r w:rsidR="00205F5C">
        <w:rPr>
          <w:rFonts w:ascii="Century Gothic" w:hAnsi="Century Gothic"/>
          <w:bCs/>
        </w:rPr>
        <w:t xml:space="preserve">- - - - - </w:t>
      </w:r>
      <w:r w:rsidR="00DA61D4">
        <w:rPr>
          <w:rFonts w:ascii="Century Gothic" w:hAnsi="Century Gothic"/>
          <w:bCs/>
        </w:rPr>
        <w:t>- - - - - -</w:t>
      </w:r>
    </w:p>
    <w:p w14:paraId="3064B92E" w14:textId="735A7F00" w:rsidR="00DA61D4" w:rsidRPr="00994C1B" w:rsidRDefault="00E7313A" w:rsidP="00994C1B">
      <w:pPr>
        <w:spacing w:line="480" w:lineRule="auto"/>
        <w:jc w:val="both"/>
        <w:rPr>
          <w:rFonts w:ascii="Century Gothic" w:hAnsi="Century Gothic"/>
        </w:rPr>
      </w:pPr>
      <w:r>
        <w:rPr>
          <w:rFonts w:ascii="Century Gothic" w:hAnsi="Century Gothic"/>
        </w:rPr>
        <w:lastRenderedPageBreak/>
        <w:t>A continuación, l</w:t>
      </w:r>
      <w:r w:rsidR="006A2583">
        <w:rPr>
          <w:rFonts w:ascii="Century Gothic" w:hAnsi="Century Gothic"/>
        </w:rPr>
        <w:t>a</w:t>
      </w:r>
      <w:r>
        <w:rPr>
          <w:rFonts w:ascii="Century Gothic" w:hAnsi="Century Gothic"/>
        </w:rPr>
        <w:t xml:space="preserve"> </w:t>
      </w:r>
      <w:r w:rsidR="004E276F" w:rsidRPr="004E276F">
        <w:rPr>
          <w:rFonts w:ascii="Century Gothic" w:hAnsi="Century Gothic"/>
          <w:b/>
        </w:rPr>
        <w:t>M</w:t>
      </w:r>
      <w:r>
        <w:rPr>
          <w:rFonts w:ascii="Century Gothic" w:hAnsi="Century Gothic"/>
          <w:b/>
          <w:bCs/>
        </w:rPr>
        <w:t>agistrad</w:t>
      </w:r>
      <w:r w:rsidR="006A2583">
        <w:rPr>
          <w:rFonts w:ascii="Century Gothic" w:hAnsi="Century Gothic"/>
          <w:b/>
          <w:bCs/>
        </w:rPr>
        <w:t>a Olga Regina García López</w:t>
      </w:r>
      <w:r w:rsidR="00CA5BD0">
        <w:rPr>
          <w:rFonts w:ascii="Century Gothic" w:hAnsi="Century Gothic"/>
          <w:b/>
          <w:bCs/>
        </w:rPr>
        <w:t xml:space="preserve">, </w:t>
      </w:r>
      <w:r w:rsidR="00CA5BD0" w:rsidRPr="00CA5BD0">
        <w:rPr>
          <w:rFonts w:ascii="Century Gothic" w:hAnsi="Century Gothic"/>
          <w:bCs/>
        </w:rPr>
        <w:t>President</w:t>
      </w:r>
      <w:r w:rsidR="006A2583">
        <w:rPr>
          <w:rFonts w:ascii="Century Gothic" w:hAnsi="Century Gothic"/>
          <w:bCs/>
        </w:rPr>
        <w:t>a</w:t>
      </w:r>
      <w:r>
        <w:rPr>
          <w:rFonts w:ascii="Century Gothic" w:hAnsi="Century Gothic"/>
        </w:rPr>
        <w:t xml:space="preserve"> de este Tribunal pide a la Secretaria General de lectura al </w:t>
      </w:r>
      <w:r>
        <w:rPr>
          <w:rFonts w:ascii="Century Gothic" w:hAnsi="Century Gothic"/>
          <w:b/>
          <w:bCs/>
        </w:rPr>
        <w:t>tercer punto</w:t>
      </w:r>
      <w:r>
        <w:rPr>
          <w:rFonts w:ascii="Century Gothic" w:hAnsi="Century Gothic"/>
        </w:rPr>
        <w:t>; quien atendiendo la instrucción, procedió a leer: “</w:t>
      </w:r>
      <w:r w:rsidR="00101846" w:rsidRPr="00101846">
        <w:rPr>
          <w:rFonts w:ascii="Century Gothic" w:hAnsi="Century Gothic"/>
          <w:b/>
          <w:i/>
          <w:lang w:val="es-ES_tradnl" w:eastAsia="en-US"/>
        </w:rPr>
        <w:t>S</w:t>
      </w:r>
      <w:proofErr w:type="spellStart"/>
      <w:r w:rsidR="00101846" w:rsidRPr="00101846">
        <w:rPr>
          <w:rFonts w:ascii="Century Gothic" w:hAnsi="Century Gothic" w:cs="Arial"/>
          <w:b/>
          <w:lang w:val="es-MX" w:eastAsia="en-US"/>
        </w:rPr>
        <w:t>e</w:t>
      </w:r>
      <w:proofErr w:type="spellEnd"/>
      <w:r w:rsidR="00101846" w:rsidRPr="00101846">
        <w:rPr>
          <w:rFonts w:ascii="Century Gothic" w:hAnsi="Century Gothic" w:cs="Arial"/>
          <w:b/>
          <w:lang w:val="es-MX" w:eastAsia="en-US"/>
        </w:rPr>
        <w:t xml:space="preserve"> somete a consideración, discusión y en su caso, determinación, el</w:t>
      </w:r>
      <w:r w:rsidR="00101846" w:rsidRPr="00B37ED0">
        <w:rPr>
          <w:rFonts w:ascii="Century Gothic" w:hAnsi="Century Gothic" w:cs="Arial"/>
          <w:lang w:val="es-MX" w:eastAsia="en-US"/>
        </w:rPr>
        <w:t xml:space="preserve"> </w:t>
      </w:r>
      <w:r w:rsidR="00101846" w:rsidRPr="00B37ED0">
        <w:rPr>
          <w:rFonts w:ascii="Century Gothic" w:hAnsi="Century Gothic" w:cs="Arial"/>
          <w:b/>
          <w:lang w:eastAsia="es-MX"/>
        </w:rPr>
        <w:t xml:space="preserve">ACUERDO GENERAL DÉCIMO TERCERO QUE SUSCRIBEN LOS PLENOS DEL SUPREMO TRIBUNAL DE JUSTICIA Y DEL CONSEJO DE LA JUDICATURA DEL PODER JUDICIAL DEL ESTADO, </w:t>
      </w:r>
      <w:r w:rsidR="00101846" w:rsidRPr="00B37ED0">
        <w:rPr>
          <w:rFonts w:ascii="Century Gothic" w:hAnsi="Century Gothic" w:cs="Arial"/>
          <w:b/>
          <w:bCs/>
        </w:rPr>
        <w:t xml:space="preserve">MEDIANTE EL CUAL SE APRUEBAN LOS LINEAMIENTOS QUE REGULAN LAS ACTIVIDADES DEL PODER JUDICIAL DEL ESTADO DURANTE EL NIVEL BAJO DE RIESGO EPIDÉMICO DEL SEMÁFORO VERDE DERIVADO DEL </w:t>
      </w:r>
      <w:r w:rsidR="00101846" w:rsidRPr="00B37ED0">
        <w:rPr>
          <w:rFonts w:ascii="Century Gothic" w:hAnsi="Century Gothic" w:cs="Arial"/>
          <w:b/>
          <w:lang w:eastAsia="es-MX"/>
        </w:rPr>
        <w:t xml:space="preserve">VIRUS SARS </w:t>
      </w:r>
      <w:r w:rsidR="00101846">
        <w:rPr>
          <w:rFonts w:ascii="Century Gothic" w:hAnsi="Century Gothic" w:cs="Arial"/>
          <w:b/>
          <w:lang w:eastAsia="es-MX"/>
        </w:rPr>
        <w:t>COV2 (COVID-19) Y SUS VARIANTES</w:t>
      </w:r>
      <w:r w:rsidR="001F5023" w:rsidRPr="00C667F4">
        <w:rPr>
          <w:rFonts w:ascii="Century Gothic" w:hAnsi="Century Gothic" w:cs="Arial"/>
          <w:b/>
          <w:lang w:eastAsia="es-MX"/>
        </w:rPr>
        <w:t>”</w:t>
      </w:r>
      <w:r w:rsidR="00101846">
        <w:rPr>
          <w:rFonts w:ascii="Century Gothic" w:hAnsi="Century Gothic"/>
          <w:b/>
          <w:lang w:eastAsia="en-US"/>
        </w:rPr>
        <w:t>.</w:t>
      </w:r>
      <w:r w:rsidR="00DA61D4" w:rsidRPr="00C667F4">
        <w:rPr>
          <w:rFonts w:ascii="Century Gothic" w:hAnsi="Century Gothic"/>
          <w:lang w:val="es-ES_tradnl" w:eastAsia="en-US"/>
        </w:rPr>
        <w:t xml:space="preserve"> A su consideración”, expresa la </w:t>
      </w:r>
      <w:r w:rsidR="00DA61D4" w:rsidRPr="00C667F4">
        <w:rPr>
          <w:rFonts w:ascii="Century Gothic" w:hAnsi="Century Gothic"/>
          <w:b/>
          <w:lang w:val="es-ES_tradnl" w:eastAsia="en-US"/>
        </w:rPr>
        <w:t>Magistrada Olga Regina García López,</w:t>
      </w:r>
      <w:r w:rsidR="00DA61D4" w:rsidRPr="00C667F4">
        <w:rPr>
          <w:rFonts w:ascii="Century Gothic" w:hAnsi="Century Gothic"/>
          <w:lang w:val="es-ES_tradnl" w:eastAsia="en-US"/>
        </w:rPr>
        <w:t xml:space="preserve"> </w:t>
      </w:r>
      <w:r w:rsidR="00465A17">
        <w:rPr>
          <w:rFonts w:ascii="Century Gothic" w:hAnsi="Century Gothic"/>
          <w:lang w:val="es-ES_tradnl" w:eastAsia="en-US"/>
        </w:rPr>
        <w:t>“</w:t>
      </w:r>
      <w:r w:rsidR="00DA61D4" w:rsidRPr="00C667F4">
        <w:rPr>
          <w:rFonts w:ascii="Century Gothic" w:hAnsi="Century Gothic"/>
          <w:lang w:val="es-ES_tradnl" w:eastAsia="en-US"/>
        </w:rPr>
        <w:t xml:space="preserve">el acuerdo General Décimo </w:t>
      </w:r>
      <w:r w:rsidR="00101846">
        <w:rPr>
          <w:rFonts w:ascii="Century Gothic" w:hAnsi="Century Gothic"/>
          <w:lang w:val="es-ES_tradnl" w:eastAsia="en-US"/>
        </w:rPr>
        <w:t>Tercero</w:t>
      </w:r>
      <w:r w:rsidR="00DA61D4" w:rsidRPr="00C667F4">
        <w:rPr>
          <w:rFonts w:ascii="Century Gothic" w:hAnsi="Century Gothic"/>
          <w:lang w:val="es-ES_tradnl" w:eastAsia="en-US"/>
        </w:rPr>
        <w:t>, que suscriben los Plenos del Tribunal de Justicia y Consejo de</w:t>
      </w:r>
      <w:r w:rsidR="00DA61D4" w:rsidRPr="00DA61D4">
        <w:rPr>
          <w:rFonts w:ascii="Century Gothic" w:hAnsi="Century Gothic"/>
          <w:lang w:val="es-ES_tradnl" w:eastAsia="en-US"/>
        </w:rPr>
        <w:t xml:space="preserve"> la Judicatura</w:t>
      </w:r>
      <w:r w:rsidR="00101846">
        <w:rPr>
          <w:rFonts w:ascii="Century Gothic" w:hAnsi="Century Gothic"/>
          <w:lang w:val="es-ES_tradnl" w:eastAsia="en-US"/>
        </w:rPr>
        <w:t xml:space="preserve">, </w:t>
      </w:r>
      <w:r w:rsidR="00C667F4" w:rsidRPr="00C667F4">
        <w:rPr>
          <w:rFonts w:ascii="Century Gothic" w:hAnsi="Century Gothic"/>
          <w:lang w:val="es-ES_tradnl" w:eastAsia="en-US"/>
        </w:rPr>
        <w:t>si están de acuerdo</w:t>
      </w:r>
      <w:r w:rsidR="00C667F4">
        <w:rPr>
          <w:rFonts w:ascii="Century Gothic" w:hAnsi="Century Gothic"/>
          <w:lang w:val="es-ES_tradnl" w:eastAsia="en-US"/>
        </w:rPr>
        <w:t>, pro</w:t>
      </w:r>
      <w:r w:rsidR="00C667F4" w:rsidRPr="00C667F4">
        <w:rPr>
          <w:rFonts w:ascii="Century Gothic" w:hAnsi="Century Gothic"/>
          <w:lang w:val="es-ES_tradnl" w:eastAsia="en-US"/>
        </w:rPr>
        <w:t>cede</w:t>
      </w:r>
      <w:r w:rsidR="00C667F4">
        <w:rPr>
          <w:rFonts w:ascii="Century Gothic" w:hAnsi="Century Gothic"/>
          <w:lang w:val="es-ES_tradnl" w:eastAsia="en-US"/>
        </w:rPr>
        <w:t xml:space="preserve">mos a votarlo, </w:t>
      </w:r>
      <w:r w:rsidR="00FF4018">
        <w:rPr>
          <w:rFonts w:ascii="Century Gothic" w:hAnsi="Century Gothic"/>
          <w:lang w:val="es-ES_tradnl" w:eastAsia="en-US"/>
        </w:rPr>
        <w:t>Si Magistrado Almazán, adelante</w:t>
      </w:r>
      <w:r w:rsidR="0067224F">
        <w:rPr>
          <w:rFonts w:ascii="Century Gothic" w:hAnsi="Century Gothic"/>
          <w:lang w:val="es-ES_tradnl" w:eastAsia="en-US"/>
        </w:rPr>
        <w:t xml:space="preserve">´”, autoriza la </w:t>
      </w:r>
      <w:r w:rsidR="0067224F" w:rsidRPr="00C667F4">
        <w:rPr>
          <w:rFonts w:ascii="Century Gothic" w:hAnsi="Century Gothic"/>
          <w:b/>
          <w:lang w:val="es-ES_tradnl" w:eastAsia="en-US"/>
        </w:rPr>
        <w:t>Magistrada Olga Regina García López</w:t>
      </w:r>
      <w:r w:rsidR="00BE04BD">
        <w:rPr>
          <w:rFonts w:ascii="Century Gothic" w:hAnsi="Century Gothic"/>
          <w:b/>
          <w:lang w:val="es-ES_tradnl" w:eastAsia="en-US"/>
        </w:rPr>
        <w:t>. “</w:t>
      </w:r>
      <w:r w:rsidR="00BE04BD" w:rsidRPr="00BE04BD">
        <w:rPr>
          <w:rFonts w:ascii="Century Gothic" w:hAnsi="Century Gothic"/>
          <w:lang w:val="es-ES_tradnl" w:eastAsia="en-US"/>
        </w:rPr>
        <w:t>Gracias President</w:t>
      </w:r>
      <w:r w:rsidR="00BE04BD">
        <w:rPr>
          <w:rFonts w:ascii="Century Gothic" w:hAnsi="Century Gothic"/>
          <w:lang w:val="es-ES_tradnl" w:eastAsia="en-US"/>
        </w:rPr>
        <w:t xml:space="preserve">a, con su permiso”, interviene el </w:t>
      </w:r>
      <w:r w:rsidR="00BE04BD" w:rsidRPr="00BE04BD">
        <w:rPr>
          <w:rFonts w:ascii="Century Gothic" w:hAnsi="Century Gothic"/>
          <w:b/>
          <w:lang w:val="es-ES_tradnl" w:eastAsia="en-US"/>
        </w:rPr>
        <w:t>Magistrado Juan Paulo Almazán Cue</w:t>
      </w:r>
      <w:r w:rsidR="00BE04BD">
        <w:rPr>
          <w:rFonts w:ascii="Century Gothic" w:hAnsi="Century Gothic"/>
          <w:b/>
          <w:lang w:val="es-ES_tradnl" w:eastAsia="en-US"/>
        </w:rPr>
        <w:t xml:space="preserve">, </w:t>
      </w:r>
      <w:r w:rsidR="00BE04BD" w:rsidRPr="004313D2">
        <w:rPr>
          <w:rFonts w:ascii="Century Gothic" w:hAnsi="Century Gothic"/>
          <w:lang w:val="es-ES_tradnl" w:eastAsia="en-US"/>
        </w:rPr>
        <w:t>“</w:t>
      </w:r>
      <w:r w:rsidR="00664401">
        <w:rPr>
          <w:rFonts w:ascii="Century Gothic" w:hAnsi="Century Gothic"/>
          <w:lang w:val="es-ES_tradnl" w:eastAsia="en-US"/>
        </w:rPr>
        <w:t xml:space="preserve">estoy de acuerdo con el acuerdo, </w:t>
      </w:r>
      <w:r w:rsidR="00BE04BD" w:rsidRPr="004313D2">
        <w:rPr>
          <w:rFonts w:ascii="Century Gothic" w:hAnsi="Century Gothic"/>
          <w:lang w:val="es-ES_tradnl" w:eastAsia="en-US"/>
        </w:rPr>
        <w:t>únicamente, unas observaciones</w:t>
      </w:r>
      <w:r w:rsidR="004313D2">
        <w:rPr>
          <w:rFonts w:ascii="Century Gothic" w:hAnsi="Century Gothic"/>
          <w:lang w:val="es-ES_tradnl" w:eastAsia="en-US"/>
        </w:rPr>
        <w:t xml:space="preserve"> </w:t>
      </w:r>
      <w:r w:rsidR="00664401">
        <w:rPr>
          <w:rFonts w:ascii="Century Gothic" w:hAnsi="Century Gothic"/>
          <w:lang w:val="es-ES_tradnl" w:eastAsia="en-US"/>
        </w:rPr>
        <w:t>de forma, relativo al</w:t>
      </w:r>
      <w:r w:rsidR="004313D2">
        <w:rPr>
          <w:rFonts w:ascii="Century Gothic" w:hAnsi="Century Gothic"/>
          <w:lang w:val="es-ES_tradnl" w:eastAsia="en-US"/>
        </w:rPr>
        <w:t xml:space="preserve"> acento y </w:t>
      </w:r>
      <w:r w:rsidR="004313D2" w:rsidRPr="004313D2">
        <w:rPr>
          <w:rFonts w:ascii="Century Gothic" w:hAnsi="Century Gothic"/>
          <w:lang w:val="es-ES_tradnl" w:eastAsia="en-US"/>
        </w:rPr>
        <w:t>de</w:t>
      </w:r>
      <w:r w:rsidR="004313D2">
        <w:rPr>
          <w:rFonts w:ascii="Century Gothic" w:hAnsi="Century Gothic"/>
          <w:lang w:val="es-ES_tradnl" w:eastAsia="en-US"/>
        </w:rPr>
        <w:t xml:space="preserve"> punto y </w:t>
      </w:r>
      <w:proofErr w:type="gramStart"/>
      <w:r w:rsidR="004313D2">
        <w:rPr>
          <w:rFonts w:ascii="Century Gothic" w:hAnsi="Century Gothic"/>
          <w:lang w:val="es-ES_tradnl" w:eastAsia="en-US"/>
        </w:rPr>
        <w:t>coma;  por</w:t>
      </w:r>
      <w:proofErr w:type="gramEnd"/>
      <w:r w:rsidR="004313D2">
        <w:rPr>
          <w:rFonts w:ascii="Century Gothic" w:hAnsi="Century Gothic"/>
          <w:lang w:val="es-ES_tradnl" w:eastAsia="en-US"/>
        </w:rPr>
        <w:t xml:space="preserve"> otra parte, </w:t>
      </w:r>
      <w:r w:rsidR="00BE04BD" w:rsidRPr="00BE04BD">
        <w:rPr>
          <w:rFonts w:ascii="Century Gothic" w:hAnsi="Century Gothic"/>
          <w:lang w:val="es-ES_tradnl" w:eastAsia="en-US"/>
        </w:rPr>
        <w:t>considero que no se debe de reiterar lo que ya está contemplado en el acuerdo anterior, sería muy repetitivo, gracias Presidenta”. “Gracias Magistrado”, continúa</w:t>
      </w:r>
      <w:r w:rsidR="00BE04BD">
        <w:rPr>
          <w:rFonts w:ascii="Century Gothic" w:hAnsi="Century Gothic"/>
          <w:b/>
          <w:lang w:val="es-ES_tradnl" w:eastAsia="en-US"/>
        </w:rPr>
        <w:t xml:space="preserve"> </w:t>
      </w:r>
      <w:r w:rsidR="00BE04BD" w:rsidRPr="00664401">
        <w:rPr>
          <w:rFonts w:ascii="Century Gothic" w:hAnsi="Century Gothic"/>
          <w:lang w:val="es-ES_tradnl" w:eastAsia="en-US"/>
        </w:rPr>
        <w:t>la</w:t>
      </w:r>
      <w:r w:rsidR="00BE04BD">
        <w:rPr>
          <w:rFonts w:ascii="Century Gothic" w:hAnsi="Century Gothic"/>
          <w:b/>
          <w:lang w:val="es-ES_tradnl" w:eastAsia="en-US"/>
        </w:rPr>
        <w:t xml:space="preserve"> Magistrada Olga Regina García López,</w:t>
      </w:r>
      <w:r w:rsidR="00664401">
        <w:rPr>
          <w:rFonts w:ascii="Century Gothic" w:hAnsi="Century Gothic"/>
          <w:b/>
          <w:lang w:val="es-ES_tradnl" w:eastAsia="en-US"/>
        </w:rPr>
        <w:t xml:space="preserve"> </w:t>
      </w:r>
      <w:r w:rsidR="00664401" w:rsidRPr="00664401">
        <w:rPr>
          <w:rFonts w:ascii="Century Gothic" w:hAnsi="Century Gothic"/>
          <w:lang w:val="es-ES_tradnl" w:eastAsia="en-US"/>
        </w:rPr>
        <w:t xml:space="preserve">si lo tienen a bien y si no hay otra </w:t>
      </w:r>
      <w:proofErr w:type="gramStart"/>
      <w:r w:rsidR="00664401" w:rsidRPr="00664401">
        <w:rPr>
          <w:rFonts w:ascii="Century Gothic" w:hAnsi="Century Gothic"/>
          <w:lang w:val="es-ES_tradnl" w:eastAsia="en-US"/>
        </w:rPr>
        <w:t xml:space="preserve">intervención </w:t>
      </w:r>
      <w:r w:rsidR="00664401">
        <w:rPr>
          <w:rFonts w:ascii="Century Gothic" w:hAnsi="Century Gothic"/>
          <w:lang w:val="es-ES_tradnl" w:eastAsia="en-US"/>
        </w:rPr>
        <w:t xml:space="preserve"> </w:t>
      </w:r>
      <w:r w:rsidR="00664401" w:rsidRPr="00664401">
        <w:rPr>
          <w:rFonts w:ascii="Century Gothic" w:hAnsi="Century Gothic"/>
          <w:lang w:val="es-ES_tradnl" w:eastAsia="en-US"/>
        </w:rPr>
        <w:t>procedemos</w:t>
      </w:r>
      <w:proofErr w:type="gramEnd"/>
      <w:r w:rsidR="00664401" w:rsidRPr="00664401">
        <w:rPr>
          <w:rFonts w:ascii="Century Gothic" w:hAnsi="Century Gothic"/>
          <w:lang w:val="es-ES_tradnl" w:eastAsia="en-US"/>
        </w:rPr>
        <w:t xml:space="preserve"> a votarlo</w:t>
      </w:r>
      <w:r w:rsidR="00664401">
        <w:rPr>
          <w:rFonts w:ascii="Century Gothic" w:hAnsi="Century Gothic"/>
          <w:b/>
          <w:lang w:val="es-ES_tradnl" w:eastAsia="en-US"/>
        </w:rPr>
        <w:t xml:space="preserve">, </w:t>
      </w:r>
      <w:r w:rsidR="00C667F4">
        <w:rPr>
          <w:rFonts w:ascii="Century Gothic" w:hAnsi="Century Gothic"/>
          <w:lang w:val="es-ES_tradnl" w:eastAsia="en-US"/>
        </w:rPr>
        <w:t>quien esté de acuerdo, por favor votar en la forma acostumbrada. Aprobado por unanimidad</w:t>
      </w:r>
      <w:r w:rsidR="00101846">
        <w:rPr>
          <w:rFonts w:ascii="Century Gothic" w:hAnsi="Century Gothic"/>
          <w:lang w:val="es-ES_tradnl" w:eastAsia="en-US"/>
        </w:rPr>
        <w:t xml:space="preserve"> de votos</w:t>
      </w:r>
      <w:r w:rsidR="00465A17">
        <w:rPr>
          <w:rFonts w:ascii="Century Gothic" w:hAnsi="Century Gothic"/>
          <w:lang w:val="es-ES_tradnl" w:eastAsia="en-US"/>
        </w:rPr>
        <w:t>”</w:t>
      </w:r>
      <w:r w:rsidR="00C667F4">
        <w:rPr>
          <w:rFonts w:ascii="Century Gothic" w:hAnsi="Century Gothic"/>
          <w:lang w:val="es-ES_tradnl" w:eastAsia="en-US"/>
        </w:rPr>
        <w:t xml:space="preserve">. </w:t>
      </w:r>
      <w:r w:rsidR="00DA61D4">
        <w:rPr>
          <w:rFonts w:ascii="Century Gothic" w:hAnsi="Century Gothic"/>
          <w:b/>
          <w:lang w:val="es-ES_tradnl" w:eastAsia="en-US"/>
        </w:rPr>
        <w:t xml:space="preserve"> </w:t>
      </w:r>
      <w:r w:rsidR="00EF170A" w:rsidRPr="00EE2A62">
        <w:rPr>
          <w:rFonts w:ascii="Century Gothic" w:hAnsi="Century Gothic"/>
          <w:b/>
          <w:bCs/>
        </w:rPr>
        <w:t>Atento a ello,</w:t>
      </w:r>
      <w:r w:rsidR="00EF170A">
        <w:rPr>
          <w:rFonts w:ascii="Century Gothic" w:hAnsi="Century Gothic"/>
          <w:b/>
          <w:bCs/>
        </w:rPr>
        <w:t xml:space="preserve"> </w:t>
      </w:r>
      <w:r w:rsidR="00EF170A" w:rsidRPr="00EE2A62">
        <w:rPr>
          <w:rFonts w:ascii="Century Gothic" w:hAnsi="Century Gothic"/>
          <w:b/>
          <w:bCs/>
        </w:rPr>
        <w:t xml:space="preserve">por </w:t>
      </w:r>
      <w:r w:rsidR="00EF170A">
        <w:rPr>
          <w:rFonts w:ascii="Century Gothic" w:hAnsi="Century Gothic"/>
          <w:b/>
          <w:bCs/>
        </w:rPr>
        <w:t>unanimidad</w:t>
      </w:r>
      <w:r w:rsidR="00EF170A" w:rsidRPr="00EE2A62">
        <w:rPr>
          <w:rFonts w:ascii="Century Gothic" w:hAnsi="Century Gothic"/>
          <w:b/>
          <w:bCs/>
        </w:rPr>
        <w:t xml:space="preserve"> de votos se aprueba el</w:t>
      </w:r>
      <w:r w:rsidR="00EF170A">
        <w:rPr>
          <w:rFonts w:ascii="Century Gothic" w:hAnsi="Century Gothic"/>
          <w:b/>
          <w:bCs/>
        </w:rPr>
        <w:t xml:space="preserve"> </w:t>
      </w:r>
      <w:r w:rsidR="00994C1B" w:rsidRPr="00994C1B">
        <w:rPr>
          <w:rFonts w:ascii="Century Gothic" w:hAnsi="Century Gothic"/>
          <w:b/>
          <w:bCs/>
        </w:rPr>
        <w:t>ACUERDO GENERAL DÉCIMO TERCERO QUE SUSCRIBEN</w:t>
      </w:r>
      <w:r w:rsidR="00994C1B" w:rsidRPr="003343D9">
        <w:rPr>
          <w:rFonts w:ascii="Century Gothic" w:hAnsi="Century Gothic"/>
          <w:b/>
        </w:rPr>
        <w:t xml:space="preserve"> LOS PLENOS DEL SUPREMO TRIBUNAL DE JUSTICIA Y DEL CONSEJO DE LA JUDICATURA DEL PODER JUDICIAL DEL </w:t>
      </w:r>
      <w:r w:rsidR="00994C1B" w:rsidRPr="003343D9">
        <w:rPr>
          <w:rFonts w:ascii="Century Gothic" w:hAnsi="Century Gothic"/>
          <w:b/>
        </w:rPr>
        <w:lastRenderedPageBreak/>
        <w:t>ESTADO, MEDIANTE EL CUAL SE APRUEBAN LOS LINEAMIENTOS QUE REGULAN LAS ACTIVIDADES DEL PODER JUDICIAL DEL ESTADO DURANTE EL NIVEL BAJO DE RIESGO EPIDÉMICO DEL SEMÁFORO VERDE DERIVADO DEL VIRUS SARS COV2 (COVID-19) Y SUS VARIANTES. CONSIDERANDO</w:t>
      </w:r>
      <w:r w:rsidR="00994C1B">
        <w:rPr>
          <w:rFonts w:ascii="Century Gothic" w:hAnsi="Century Gothic"/>
          <w:b/>
        </w:rPr>
        <w:t xml:space="preserve">. </w:t>
      </w:r>
      <w:r w:rsidR="00994C1B" w:rsidRPr="003343D9">
        <w:rPr>
          <w:rFonts w:ascii="Century Gothic" w:hAnsi="Century Gothic"/>
          <w:b/>
        </w:rPr>
        <w:t xml:space="preserve">ÚNICO. </w:t>
      </w:r>
      <w:r w:rsidR="00994C1B" w:rsidRPr="003343D9">
        <w:rPr>
          <w:rFonts w:ascii="Century Gothic" w:hAnsi="Century Gothic"/>
        </w:rPr>
        <w:t xml:space="preserve">Al día de la fecha, en la entidad se ha confirmado una disminución en los casos de nuevos contagios del virus SARS-COV2 (COVID-19) y sus variantes; </w:t>
      </w:r>
      <w:r w:rsidR="00994C1B" w:rsidRPr="003343D9">
        <w:rPr>
          <w:rFonts w:ascii="Century Gothic" w:hAnsi="Century Gothic"/>
          <w:spacing w:val="1"/>
        </w:rPr>
        <w:t>motivo por el cual las autoridades Secretaria de Salud del Gobierno Federal, los Servicios de Salud del Gobierno del Estado y la Comisión Estatal para la Protección Contra Riesgos Sanitarios, han informado que a partir del 2 dos de mayo de 2022 dos mil veintidós, se mantiene en semáforo epidémico verde en el Estado; en razón de lo anterior, ha reducido algunas medidas generales y otras las ha suspendido</w:t>
      </w:r>
      <w:r w:rsidR="00994C1B" w:rsidRPr="003343D9">
        <w:rPr>
          <w:rFonts w:ascii="Century Gothic" w:hAnsi="Century Gothic"/>
        </w:rPr>
        <w:t>; por consiguiente, los Plenos del Supremo Tribunal de Justicia y del Consejo de la Judicatura del Poder Judicial del Estado, con fundamento en los artículos 116, párrafo primero y fracción III de la Constitución Política de los Estados Unidos Mexicanos; 3º, 90, 91, fracciones IX y XI de la Constitución Política del Estado de San Luis Potosí; 4° del Reglamento Interior del Poder Judicial del Estado; 1º, 86 y 94, fracciones III, XXXVI y XXXVIII de la Ley Orgánica del Poder Judicial del Estado, en ejercicio de sus respectivas atribuciones, expiden el siguiente:</w:t>
      </w:r>
      <w:r w:rsidR="00994C1B" w:rsidRPr="003343D9">
        <w:rPr>
          <w:rFonts w:ascii="Century Gothic" w:hAnsi="Century Gothic"/>
          <w:b/>
        </w:rPr>
        <w:t xml:space="preserve"> ACUERDO GENERAL DÉCIMO TERCERO QUE SUSCRIBEN LOS PLENOS DEL SUPREMO TRIBUNAL DE JUSTICIA Y DEL CONSEJO DE LA JUDICATURA DEL PODER JUDICIAL DEL ESTADO, MEDIANTE EL CUAL SE APRUEBAN LOS LINEAMIENTOS QUE REGULAN LAS ACTIVIDADES DEL PODER JUDICIAL DEL ESTADO DURANTE EL NIVEL BAJO DE RIESGO EPIDÉMICO DEL SEMÁFORO VERDE DERIVADO DEL VIRUS SARS COV2 (COVID-19) Y SUS VARIANTES. Artículo 1. </w:t>
      </w:r>
      <w:r w:rsidR="00994C1B" w:rsidRPr="003343D9">
        <w:rPr>
          <w:rFonts w:ascii="Century Gothic" w:hAnsi="Century Gothic"/>
        </w:rPr>
        <w:t xml:space="preserve">Este </w:t>
      </w:r>
      <w:r w:rsidR="00994C1B" w:rsidRPr="003343D9">
        <w:rPr>
          <w:rFonts w:ascii="Century Gothic" w:hAnsi="Century Gothic"/>
        </w:rPr>
        <w:lastRenderedPageBreak/>
        <w:t xml:space="preserve">ordenamiento tiene por objeto regular la reincorporación de todo el personal del Poder Judicial del Estado a sus funciones en forma presencial, en su lugar de adscripción o comisión, </w:t>
      </w:r>
      <w:r w:rsidR="00994C1B" w:rsidRPr="003343D9">
        <w:rPr>
          <w:rFonts w:ascii="Century Gothic" w:hAnsi="Century Gothic"/>
          <w:b/>
        </w:rPr>
        <w:t xml:space="preserve">con excepción de las y los servidores judiciales que se encuentran en una situación de salud descontrolada y crónica, frente al virus SARS-COV2 (COVID-19) y sus variantes; </w:t>
      </w:r>
      <w:r w:rsidR="00994C1B" w:rsidRPr="003343D9">
        <w:rPr>
          <w:rFonts w:ascii="Century Gothic" w:hAnsi="Century Gothic"/>
        </w:rPr>
        <w:t xml:space="preserve">quienes deberán presentar al Consejo de la Judicatura del Poder Judicial del Estado, la constancia actualizada de su médico tratante del Instituto Mexicano del Seguro Social, o institución pública autorizada, la cual será validada y aprobada por la Comisión de Incapacidades del Consejo de la Judicatura y el Médico Especializado del Servicio Médico Legal del Poder Judicial del Estado, y excepcionalmente los casos que así valore dicha Comisión y el referido médico, con base a la evaluación que lleven a cabo las citadas instituciones médicas, en el entendido que únicamente tendrán encomendadas tareas cuya realización pueda practicarse a distancia, solo si su categoría así lo permite, toda vez que las actividades del Poder Judicial del Estado, son de carácter esencial; así como, la actuación de los órganos jurisdiccionales y administrativos, en la atención que deberán prestar al público en general, tomando las medidas sanitarias que se deberán acatar por las y los servidores judiciales y las personas usuarias del servicio que presta el Poder Judicial del Estado, para minimizar el nivel de riesgo de la dispersión y transmisión del virus SARS-COV2 (COVID-19) y sus variantes, mediante el derecho humano enfocado a la protección de la salud. </w:t>
      </w:r>
      <w:r w:rsidR="00994C1B" w:rsidRPr="003343D9">
        <w:rPr>
          <w:rFonts w:ascii="Century Gothic" w:hAnsi="Century Gothic"/>
          <w:b/>
        </w:rPr>
        <w:t xml:space="preserve">Artículo 2. </w:t>
      </w:r>
      <w:r w:rsidR="00994C1B" w:rsidRPr="003343D9">
        <w:rPr>
          <w:rFonts w:ascii="Century Gothic" w:hAnsi="Century Gothic"/>
        </w:rPr>
        <w:t xml:space="preserve">Este acuerdo es aplicable y de observancia obligatoria para todos los órganos jurisdiccionales y administrativos del Poder Judicial del Estado. </w:t>
      </w:r>
      <w:r w:rsidR="00994C1B" w:rsidRPr="003343D9">
        <w:rPr>
          <w:rFonts w:ascii="Century Gothic" w:hAnsi="Century Gothic"/>
          <w:b/>
        </w:rPr>
        <w:t>Artículo 3.</w:t>
      </w:r>
      <w:r w:rsidR="00994C1B" w:rsidRPr="003343D9">
        <w:rPr>
          <w:rFonts w:ascii="Century Gothic" w:hAnsi="Century Gothic"/>
        </w:rPr>
        <w:t xml:space="preserve"> Todo el personal del Poder Judicial del Estado, se reincorporará a su lugar de adscripción o </w:t>
      </w:r>
      <w:r w:rsidR="00994C1B" w:rsidRPr="003343D9">
        <w:rPr>
          <w:rFonts w:ascii="Century Gothic" w:hAnsi="Century Gothic"/>
        </w:rPr>
        <w:lastRenderedPageBreak/>
        <w:t xml:space="preserve">comisión a partir del </w:t>
      </w:r>
      <w:r w:rsidR="00994C1B" w:rsidRPr="003343D9">
        <w:rPr>
          <w:rFonts w:ascii="Century Gothic" w:hAnsi="Century Gothic"/>
          <w:b/>
        </w:rPr>
        <w:t xml:space="preserve">16 dieciséis de mayo de 2022 dos mil veintidós, </w:t>
      </w:r>
      <w:r w:rsidR="00994C1B" w:rsidRPr="003343D9">
        <w:rPr>
          <w:rFonts w:ascii="Century Gothic" w:hAnsi="Century Gothic"/>
        </w:rPr>
        <w:t>a fin de desempeñar sus funciones de manera presencial y continuar en la nueva normalidad de las actividades de las áreas jurisdiccionales y administrativas del citado Poder. Debido a lo anterior, quedan sin efecto los permisos de resguardo expedidos por la Comisión de Incapacidades del Consejo de la Judicatura del Poder Judicial del Estado, a partir de la entrada en vigor del presente acuerdo, inclusive los que se hayan otorgado a las mujeres embarazadas y a las madres en periodo de lactancia.</w:t>
      </w:r>
      <w:r w:rsidR="00994C1B">
        <w:rPr>
          <w:rFonts w:ascii="Century Gothic" w:hAnsi="Century Gothic"/>
        </w:rPr>
        <w:t xml:space="preserve"> </w:t>
      </w:r>
      <w:r w:rsidR="00994C1B" w:rsidRPr="003343D9">
        <w:rPr>
          <w:rFonts w:ascii="Century Gothic" w:hAnsi="Century Gothic"/>
          <w:b/>
        </w:rPr>
        <w:t>Artículo 4.</w:t>
      </w:r>
      <w:r w:rsidR="00994C1B" w:rsidRPr="003343D9">
        <w:rPr>
          <w:rFonts w:ascii="Century Gothic" w:hAnsi="Century Gothic"/>
        </w:rPr>
        <w:t xml:space="preserve"> Se suspende los filtros que se encuentran en la entrada de las instalaciones del Poder Judicial, como son el termómetro, la aplicación del gel desinfectante y en su caso el tapete sanitario a partir del </w:t>
      </w:r>
      <w:r w:rsidR="00994C1B" w:rsidRPr="003343D9">
        <w:rPr>
          <w:rFonts w:ascii="Century Gothic" w:hAnsi="Century Gothic"/>
          <w:b/>
        </w:rPr>
        <w:t>16 dieciséis de mayo de 2022 dos mil veintidós</w:t>
      </w:r>
      <w:r w:rsidR="00994C1B" w:rsidRPr="003343D9">
        <w:rPr>
          <w:rFonts w:ascii="Century Gothic" w:hAnsi="Century Gothic"/>
        </w:rPr>
        <w:t>; no obstante, se mantendrá el gel desinfectante para el personal y usuarios que lo requieran.</w:t>
      </w:r>
      <w:r w:rsidR="00994C1B">
        <w:rPr>
          <w:rFonts w:ascii="Century Gothic" w:hAnsi="Century Gothic"/>
        </w:rPr>
        <w:t xml:space="preserve"> </w:t>
      </w:r>
      <w:r w:rsidR="00994C1B" w:rsidRPr="003343D9">
        <w:rPr>
          <w:rFonts w:ascii="Century Gothic" w:hAnsi="Century Gothic"/>
          <w:b/>
        </w:rPr>
        <w:t>Artículo 5.</w:t>
      </w:r>
      <w:r w:rsidR="00994C1B" w:rsidRPr="003343D9">
        <w:rPr>
          <w:rFonts w:ascii="Century Gothic" w:hAnsi="Century Gothic"/>
        </w:rPr>
        <w:t xml:space="preserve"> El uso de </w:t>
      </w:r>
      <w:proofErr w:type="spellStart"/>
      <w:r w:rsidR="00994C1B" w:rsidRPr="003343D9">
        <w:rPr>
          <w:rFonts w:ascii="Century Gothic" w:hAnsi="Century Gothic"/>
        </w:rPr>
        <w:t>cubrebocas</w:t>
      </w:r>
      <w:proofErr w:type="spellEnd"/>
      <w:r w:rsidR="00994C1B" w:rsidRPr="003343D9">
        <w:rPr>
          <w:rFonts w:ascii="Century Gothic" w:hAnsi="Century Gothic"/>
        </w:rPr>
        <w:t xml:space="preserve"> será obligatorio en espacios cerrados y en la medida de lo posible se evitarán las aglomeraciones en los espacios judiciales y administrativos; así como también, se deberá mantener la sana distancia de 1.5 uno punto cinco metros en las salas de espera y áreas comunes. </w:t>
      </w:r>
      <w:r w:rsidR="00994C1B" w:rsidRPr="003343D9">
        <w:rPr>
          <w:rFonts w:ascii="Century Gothic" w:hAnsi="Century Gothic"/>
          <w:b/>
        </w:rPr>
        <w:t>TRANSITORIOS</w:t>
      </w:r>
      <w:r w:rsidR="00994C1B">
        <w:rPr>
          <w:rFonts w:ascii="Century Gothic" w:hAnsi="Century Gothic"/>
          <w:b/>
        </w:rPr>
        <w:t xml:space="preserve">. </w:t>
      </w:r>
      <w:r w:rsidR="00994C1B" w:rsidRPr="003343D9">
        <w:rPr>
          <w:rFonts w:ascii="Century Gothic" w:hAnsi="Century Gothic"/>
          <w:b/>
        </w:rPr>
        <w:t xml:space="preserve">PRIMERO. </w:t>
      </w:r>
      <w:r w:rsidR="00994C1B" w:rsidRPr="003343D9">
        <w:rPr>
          <w:rFonts w:ascii="Century Gothic" w:hAnsi="Century Gothic"/>
        </w:rPr>
        <w:t xml:space="preserve">El presente Acuerdo General entrará en vigor a partir del día 16 dieciséis de mayo de 2022 dos mil veintidós, con independencia de su publicación en el Periódico Oficial del Estado, manteniendo su vigencia hasta en tanto lo determinen los Plenos del Supremo Tribunal de Justicia y del Consejo de la Judicatura del Poder Judicial del Estado. </w:t>
      </w:r>
      <w:r w:rsidR="00994C1B" w:rsidRPr="003343D9">
        <w:rPr>
          <w:rFonts w:ascii="Century Gothic" w:hAnsi="Century Gothic"/>
          <w:b/>
        </w:rPr>
        <w:t xml:space="preserve">SEGUNDO. </w:t>
      </w:r>
      <w:r w:rsidR="00994C1B" w:rsidRPr="003343D9">
        <w:rPr>
          <w:rFonts w:ascii="Century Gothic" w:hAnsi="Century Gothic"/>
        </w:rPr>
        <w:t xml:space="preserve">El personal de las áreas jurisdiccionales y administrativas del Poder Judicial del Estado, continuarán con todas las medidas preventivas establecidas en la “Guía de Limpieza y </w:t>
      </w:r>
      <w:proofErr w:type="spellStart"/>
      <w:r w:rsidR="00994C1B" w:rsidRPr="003343D9">
        <w:rPr>
          <w:rFonts w:ascii="Century Gothic" w:hAnsi="Century Gothic"/>
        </w:rPr>
        <w:t>Sanitización</w:t>
      </w:r>
      <w:proofErr w:type="spellEnd"/>
      <w:r w:rsidR="00994C1B" w:rsidRPr="003343D9">
        <w:rPr>
          <w:rFonts w:ascii="Century Gothic" w:hAnsi="Century Gothic"/>
        </w:rPr>
        <w:t xml:space="preserve"> por </w:t>
      </w:r>
      <w:r w:rsidR="00994C1B" w:rsidRPr="003343D9">
        <w:rPr>
          <w:rFonts w:ascii="Century Gothic" w:hAnsi="Century Gothic"/>
        </w:rPr>
        <w:lastRenderedPageBreak/>
        <w:t>contingencia COVID–19”, aprobada en la sesión de 22 veintidós de junio de 2020 dos mil veinte, notificada mediante circular 34/2020 y publicada en la página de internet del Poder Judicial del Estado.</w:t>
      </w:r>
      <w:r w:rsidR="00994C1B">
        <w:rPr>
          <w:rFonts w:ascii="Century Gothic" w:hAnsi="Century Gothic"/>
        </w:rPr>
        <w:t xml:space="preserve"> </w:t>
      </w:r>
      <w:r w:rsidR="00994C1B" w:rsidRPr="003343D9">
        <w:rPr>
          <w:rFonts w:ascii="Century Gothic" w:hAnsi="Century Gothic"/>
          <w:b/>
          <w:bCs/>
        </w:rPr>
        <w:t xml:space="preserve">TERCERO. </w:t>
      </w:r>
      <w:r w:rsidR="00994C1B" w:rsidRPr="003343D9">
        <w:rPr>
          <w:rFonts w:ascii="Century Gothic" w:hAnsi="Century Gothic"/>
        </w:rPr>
        <w:t xml:space="preserve">Se deja sin efecto cualquier disposición administrativa emitida por los órganos del Poder Judicial del Estado que contravenga lo estipulado en el presente acuerdo, hasta en tanto este se encuentre vigente. </w:t>
      </w:r>
      <w:r w:rsidR="00994C1B" w:rsidRPr="003343D9">
        <w:rPr>
          <w:rFonts w:ascii="Century Gothic" w:hAnsi="Century Gothic"/>
          <w:b/>
          <w:bCs/>
        </w:rPr>
        <w:t xml:space="preserve">CUARTO. </w:t>
      </w:r>
      <w:r w:rsidR="00994C1B" w:rsidRPr="003343D9">
        <w:rPr>
          <w:rFonts w:ascii="Century Gothic" w:hAnsi="Century Gothic"/>
        </w:rPr>
        <w:t>La Secretaría Ejecutiva de Administración, en ejercicio de las atribuciones conferidas en el artículo 53 del Reglamento Interior del Consejo de la Judicatura del Poder Judicial del Estado y por conducto del área a su cargo, deberá llevar a cabo las acciones necesarias para dar cumplimiento con lo dispuesto en el artículo 4 cuatro del presente acuerdo.</w:t>
      </w:r>
      <w:r w:rsidR="00994C1B" w:rsidRPr="003343D9">
        <w:rPr>
          <w:rFonts w:ascii="Century Gothic" w:hAnsi="Century Gothic"/>
          <w:b/>
          <w:bCs/>
        </w:rPr>
        <w:t xml:space="preserve"> QUINTO. </w:t>
      </w:r>
      <w:r w:rsidR="00994C1B" w:rsidRPr="003343D9">
        <w:rPr>
          <w:rFonts w:ascii="Century Gothic" w:hAnsi="Century Gothic"/>
        </w:rPr>
        <w:t>Publíquese el presente acuerdo en el Periódico Oficial de Gobierno del Estado “Plan de San Luis”, así como en la página de internet del Poder Judicial del Estado.</w:t>
      </w:r>
      <w:r w:rsidR="00994C1B" w:rsidRPr="003343D9">
        <w:rPr>
          <w:rFonts w:ascii="Century Gothic" w:hAnsi="Century Gothic"/>
          <w:b/>
          <w:bCs/>
        </w:rPr>
        <w:t xml:space="preserve"> </w:t>
      </w:r>
      <w:r w:rsidR="00994C1B" w:rsidRPr="003343D9">
        <w:rPr>
          <w:rFonts w:ascii="Century Gothic" w:hAnsi="Century Gothic"/>
        </w:rPr>
        <w:t xml:space="preserve">El presente Acuerdo General del Pleno del Supremo Tribunal de Justicia y del Consejo de la Judicatura del Poder Judicial del Estado, fue aprobado en sesión conjunta de 13 trece de mayo de 2022 dos mil veintidós, en la ciudad de San Luis Potosí, capital del Estado del mismo nombre, por unanimidad de votos de sus integrantes, ante la Secretaria General del Pleno del Supremo </w:t>
      </w:r>
      <w:r w:rsidR="00994C1B" w:rsidRPr="00994C1B">
        <w:rPr>
          <w:rFonts w:ascii="Century Gothic" w:hAnsi="Century Gothic"/>
        </w:rPr>
        <w:t>Tribunal y de la Secretaria Ejecutiva del Pleno y Carrera Judicial del Consejo de la Judicatura que autorizan y dan fe</w:t>
      </w:r>
      <w:r w:rsidR="00EF170A" w:rsidRPr="00994C1B">
        <w:rPr>
          <w:rFonts w:ascii="Century Gothic" w:hAnsi="Century Gothic"/>
        </w:rPr>
        <w:t xml:space="preserve">. - - - - - - - - - </w:t>
      </w:r>
      <w:r w:rsidR="00C14863" w:rsidRPr="00994C1B">
        <w:rPr>
          <w:rFonts w:ascii="Century Gothic" w:hAnsi="Century Gothic"/>
        </w:rPr>
        <w:t>- - - - - -</w:t>
      </w:r>
      <w:r w:rsidR="00994C1B" w:rsidRPr="00994C1B">
        <w:rPr>
          <w:rFonts w:ascii="Century Gothic" w:hAnsi="Century Gothic"/>
        </w:rPr>
        <w:t xml:space="preserve"> - - - - - - - - - - - - - - - - - - - -</w:t>
      </w:r>
    </w:p>
    <w:p w14:paraId="69D2FE61" w14:textId="77777777" w:rsidR="00DA61D4" w:rsidRPr="00101846" w:rsidRDefault="00DA61D4" w:rsidP="00994C1B">
      <w:pPr>
        <w:spacing w:line="480" w:lineRule="auto"/>
        <w:jc w:val="both"/>
        <w:rPr>
          <w:rFonts w:ascii="Century Gothic" w:hAnsi="Century Gothic"/>
        </w:rPr>
      </w:pPr>
      <w:r w:rsidRPr="00994C1B">
        <w:rPr>
          <w:rFonts w:ascii="Century Gothic" w:hAnsi="Century Gothic"/>
        </w:rPr>
        <w:t xml:space="preserve">La </w:t>
      </w:r>
      <w:r w:rsidRPr="00994C1B">
        <w:rPr>
          <w:rFonts w:ascii="Century Gothic" w:hAnsi="Century Gothic"/>
          <w:b/>
        </w:rPr>
        <w:t>Magistrada Olga Regina García López</w:t>
      </w:r>
      <w:r w:rsidRPr="00994C1B">
        <w:rPr>
          <w:rFonts w:ascii="Century Gothic" w:hAnsi="Century Gothic"/>
        </w:rPr>
        <w:t>, manifiesta: “Sin más asuntos que tratar, toda vez que nos constreñimos a una sesión</w:t>
      </w:r>
      <w:r w:rsidRPr="00101846">
        <w:rPr>
          <w:rFonts w:ascii="Century Gothic" w:hAnsi="Century Gothic"/>
        </w:rPr>
        <w:t xml:space="preserve"> extraordinaria. Agotado el orden del día, se declara cerrada la presente sesión”. - - - - - - - - - - - - - - - - - - - - - - - - - - - - - - - - - - - - - - - - -</w:t>
      </w:r>
    </w:p>
    <w:p w14:paraId="5E75B07E" w14:textId="5F8A4F36" w:rsidR="00DA61D4" w:rsidRPr="00B81616" w:rsidRDefault="00DA61D4" w:rsidP="00994C1B">
      <w:pPr>
        <w:spacing w:line="480" w:lineRule="auto"/>
        <w:jc w:val="both"/>
        <w:rPr>
          <w:rFonts w:ascii="Century Gothic" w:hAnsi="Century Gothic"/>
        </w:rPr>
      </w:pPr>
      <w:r w:rsidRPr="00101846">
        <w:rPr>
          <w:rFonts w:ascii="Century Gothic" w:hAnsi="Century Gothic"/>
        </w:rPr>
        <w:lastRenderedPageBreak/>
        <w:t xml:space="preserve">Con lo anterior, la </w:t>
      </w:r>
      <w:r w:rsidRPr="00101846">
        <w:rPr>
          <w:rFonts w:ascii="Century Gothic" w:hAnsi="Century Gothic"/>
          <w:b/>
          <w:bCs/>
        </w:rPr>
        <w:t>Magistrada Presidenta</w:t>
      </w:r>
      <w:r w:rsidRPr="00101846">
        <w:rPr>
          <w:rFonts w:ascii="Century Gothic" w:hAnsi="Century Gothic"/>
        </w:rPr>
        <w:t xml:space="preserve"> da por formalmente concluida esta sesión de Pleno extraordinario</w:t>
      </w:r>
      <w:r w:rsidR="006F66AF" w:rsidRPr="00101846">
        <w:rPr>
          <w:rFonts w:ascii="Century Gothic" w:hAnsi="Century Gothic"/>
        </w:rPr>
        <w:t xml:space="preserve"> conjunto</w:t>
      </w:r>
      <w:r w:rsidRPr="00101846">
        <w:rPr>
          <w:rFonts w:ascii="Century Gothic" w:hAnsi="Century Gothic"/>
        </w:rPr>
        <w:t>. - - - - - - - - - -</w:t>
      </w:r>
      <w:r w:rsidRPr="00B81616">
        <w:rPr>
          <w:rFonts w:ascii="Century Gothic" w:hAnsi="Century Gothic"/>
        </w:rPr>
        <w:t xml:space="preserve"> </w:t>
      </w:r>
      <w:r w:rsidR="006F66AF">
        <w:rPr>
          <w:rFonts w:ascii="Century Gothic" w:hAnsi="Century Gothic"/>
        </w:rPr>
        <w:t xml:space="preserve"> </w:t>
      </w:r>
      <w:r>
        <w:rPr>
          <w:rFonts w:ascii="Century Gothic" w:hAnsi="Century Gothic"/>
        </w:rPr>
        <w:t xml:space="preserve"> </w:t>
      </w:r>
      <w:r w:rsidR="006F66AF">
        <w:rPr>
          <w:rFonts w:ascii="Century Gothic" w:hAnsi="Century Gothic"/>
        </w:rPr>
        <w:t xml:space="preserve"> </w:t>
      </w:r>
      <w:r>
        <w:rPr>
          <w:rFonts w:ascii="Century Gothic" w:hAnsi="Century Gothic"/>
        </w:rPr>
        <w:t xml:space="preserve"> </w:t>
      </w:r>
    </w:p>
    <w:p w14:paraId="4AA23021" w14:textId="0DAD04D3" w:rsidR="00EF170A" w:rsidRPr="006F66AF" w:rsidRDefault="00C14863" w:rsidP="006F66AF">
      <w:pPr>
        <w:spacing w:line="480" w:lineRule="auto"/>
        <w:jc w:val="both"/>
        <w:rPr>
          <w:rFonts w:ascii="Century Gothic" w:hAnsi="Century Gothic" w:cs="Arial"/>
          <w:b/>
          <w:sz w:val="23"/>
          <w:szCs w:val="23"/>
          <w:lang w:eastAsia="es-MX"/>
        </w:rPr>
      </w:pPr>
      <w:r>
        <w:rPr>
          <w:rFonts w:ascii="Century Gothic" w:hAnsi="Century Gothic"/>
        </w:rPr>
        <w:t xml:space="preserve"> </w:t>
      </w:r>
      <w:r w:rsidR="00DA61D4">
        <w:rPr>
          <w:rFonts w:ascii="Century Gothic" w:hAnsi="Century Gothic"/>
        </w:rP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170A" w:rsidRPr="009229DE" w14:paraId="20797B14" w14:textId="77777777" w:rsidTr="000A48F7">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4B1D3DB3" w14:textId="77777777" w:rsidR="00EF170A" w:rsidRPr="009229DE" w:rsidRDefault="00EF170A" w:rsidP="000A48F7">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PRESIDENTA</w:t>
            </w:r>
          </w:p>
          <w:p w14:paraId="3BD4E274" w14:textId="77777777" w:rsidR="00EF170A" w:rsidRPr="009229DE" w:rsidRDefault="00EF170A" w:rsidP="000A48F7">
            <w:pPr>
              <w:pStyle w:val="Textosinformato"/>
              <w:spacing w:line="480" w:lineRule="auto"/>
              <w:jc w:val="center"/>
              <w:rPr>
                <w:rFonts w:ascii="Century Gothic" w:hAnsi="Century Gothic" w:cs="Century Gothic"/>
                <w:sz w:val="16"/>
                <w:szCs w:val="16"/>
              </w:rPr>
            </w:pPr>
          </w:p>
          <w:p w14:paraId="71006197" w14:textId="77777777" w:rsidR="00EF170A" w:rsidRPr="009229DE" w:rsidRDefault="00EF170A" w:rsidP="000A48F7">
            <w:pPr>
              <w:pStyle w:val="Textosinformato"/>
              <w:spacing w:line="480" w:lineRule="auto"/>
              <w:jc w:val="center"/>
              <w:rPr>
                <w:rFonts w:ascii="Century Gothic" w:hAnsi="Century Gothic" w:cs="Century Gothic"/>
                <w:sz w:val="16"/>
                <w:szCs w:val="16"/>
              </w:rPr>
            </w:pPr>
          </w:p>
          <w:p w14:paraId="36ACDBD0" w14:textId="77777777" w:rsidR="00EF170A" w:rsidRPr="009229DE" w:rsidRDefault="00EF170A" w:rsidP="000A48F7">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MGDA. OLGA REGINA GARCÍA LÓPEZ</w:t>
            </w:r>
          </w:p>
        </w:tc>
      </w:tr>
      <w:tr w:rsidR="00EF170A" w:rsidRPr="009229DE" w14:paraId="7926BA6E" w14:textId="77777777" w:rsidTr="000A48F7">
        <w:trPr>
          <w:trHeight w:val="1256"/>
        </w:trPr>
        <w:tc>
          <w:tcPr>
            <w:tcW w:w="4320" w:type="dxa"/>
            <w:tcBorders>
              <w:top w:val="single" w:sz="4" w:space="0" w:color="auto"/>
              <w:left w:val="single" w:sz="4" w:space="0" w:color="auto"/>
              <w:bottom w:val="single" w:sz="4" w:space="0" w:color="auto"/>
              <w:right w:val="single" w:sz="4" w:space="0" w:color="auto"/>
            </w:tcBorders>
          </w:tcPr>
          <w:p w14:paraId="6F7370CD" w14:textId="77777777" w:rsidR="00EF170A" w:rsidRPr="009229DE" w:rsidRDefault="00EF170A" w:rsidP="000A48F7">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SECRETARIA GENERAL</w:t>
            </w:r>
          </w:p>
          <w:p w14:paraId="3ABB4DB4" w14:textId="77777777" w:rsidR="00EF170A" w:rsidRPr="009229DE" w:rsidRDefault="00EF170A" w:rsidP="000A48F7">
            <w:pPr>
              <w:pStyle w:val="Textosinformato"/>
              <w:spacing w:line="480" w:lineRule="auto"/>
              <w:jc w:val="center"/>
              <w:rPr>
                <w:rFonts w:ascii="Century Gothic" w:hAnsi="Century Gothic" w:cs="Century Gothic"/>
                <w:sz w:val="16"/>
                <w:szCs w:val="16"/>
              </w:rPr>
            </w:pPr>
          </w:p>
          <w:p w14:paraId="3EA0B527" w14:textId="77777777" w:rsidR="00EF170A" w:rsidRPr="009229DE" w:rsidRDefault="00EF170A" w:rsidP="000A48F7">
            <w:pPr>
              <w:pStyle w:val="Textosinformato"/>
              <w:spacing w:line="480" w:lineRule="auto"/>
              <w:jc w:val="center"/>
              <w:rPr>
                <w:rFonts w:ascii="Century Gothic" w:hAnsi="Century Gothic" w:cs="Century Gothic"/>
                <w:sz w:val="16"/>
                <w:szCs w:val="16"/>
              </w:rPr>
            </w:pPr>
          </w:p>
          <w:p w14:paraId="36526CF0" w14:textId="77777777" w:rsidR="00EF170A" w:rsidRPr="009229DE" w:rsidRDefault="00EF170A" w:rsidP="000A48F7">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132A0FE0" w14:textId="77777777" w:rsidR="00EF170A" w:rsidRDefault="00EF170A" w:rsidP="000A48F7">
            <w:pPr>
              <w:pStyle w:val="Textosinformato"/>
              <w:jc w:val="center"/>
              <w:rPr>
                <w:rFonts w:ascii="Century Gothic" w:hAnsi="Century Gothic" w:cs="Century Gothic"/>
                <w:sz w:val="16"/>
                <w:szCs w:val="16"/>
              </w:rPr>
            </w:pPr>
            <w:r>
              <w:rPr>
                <w:rFonts w:ascii="Century Gothic" w:hAnsi="Century Gothic" w:cs="Century Gothic"/>
                <w:sz w:val="16"/>
                <w:szCs w:val="16"/>
              </w:rPr>
              <w:t>LA SECRETARIA EJECUTIVA DE CARRERA Y PLENO JUDICIAL</w:t>
            </w:r>
          </w:p>
          <w:p w14:paraId="4FAFD24D" w14:textId="77777777" w:rsidR="00EF170A" w:rsidRDefault="00EF170A" w:rsidP="000A48F7">
            <w:pPr>
              <w:pStyle w:val="Textosinformato"/>
              <w:spacing w:line="480" w:lineRule="auto"/>
              <w:jc w:val="center"/>
              <w:rPr>
                <w:rFonts w:ascii="Century Gothic" w:hAnsi="Century Gothic" w:cs="Century Gothic"/>
                <w:sz w:val="16"/>
                <w:szCs w:val="16"/>
              </w:rPr>
            </w:pPr>
          </w:p>
          <w:p w14:paraId="2723AA38" w14:textId="77777777" w:rsidR="00EF170A" w:rsidRDefault="00EF170A" w:rsidP="000A48F7">
            <w:pPr>
              <w:pStyle w:val="Textosinformato"/>
              <w:spacing w:line="480" w:lineRule="auto"/>
              <w:jc w:val="center"/>
              <w:rPr>
                <w:rFonts w:ascii="Century Gothic" w:hAnsi="Century Gothic" w:cs="Century Gothic"/>
                <w:sz w:val="16"/>
                <w:szCs w:val="16"/>
              </w:rPr>
            </w:pPr>
          </w:p>
          <w:p w14:paraId="1E45DC72" w14:textId="77777777" w:rsidR="00EF170A" w:rsidRPr="009229DE" w:rsidRDefault="00EF170A" w:rsidP="000A48F7">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LICENCIADA GEOVANNA HERNÁNDEZ VÁZQUEZ</w:t>
            </w:r>
          </w:p>
        </w:tc>
      </w:tr>
    </w:tbl>
    <w:p w14:paraId="5DCB16EE" w14:textId="77777777" w:rsidR="00EF170A" w:rsidRPr="009229DE" w:rsidRDefault="00EF170A" w:rsidP="00EF170A">
      <w:pPr>
        <w:pStyle w:val="Textosinformato"/>
        <w:tabs>
          <w:tab w:val="left" w:pos="405"/>
          <w:tab w:val="center" w:pos="1730"/>
        </w:tabs>
        <w:jc w:val="center"/>
        <w:rPr>
          <w:rFonts w:ascii="Century Gothic" w:hAnsi="Century Gothic" w:cs="Century Gothic"/>
          <w:sz w:val="22"/>
          <w:szCs w:val="22"/>
        </w:rPr>
      </w:pPr>
    </w:p>
    <w:p w14:paraId="533B83CC" w14:textId="77777777" w:rsidR="00EF170A" w:rsidRPr="009229DE" w:rsidRDefault="00EF170A" w:rsidP="00EF170A">
      <w:pPr>
        <w:pStyle w:val="Textosinformato"/>
        <w:tabs>
          <w:tab w:val="left" w:pos="405"/>
          <w:tab w:val="center" w:pos="1730"/>
        </w:tabs>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LA SECRETARIA GENERAL</w:t>
      </w:r>
    </w:p>
    <w:p w14:paraId="2D3C130F" w14:textId="77777777" w:rsidR="00EF170A" w:rsidRPr="009229DE" w:rsidRDefault="00EF170A" w:rsidP="00EF170A">
      <w:pPr>
        <w:pStyle w:val="Textosinformato"/>
        <w:tabs>
          <w:tab w:val="left" w:pos="405"/>
          <w:tab w:val="center" w:pos="1730"/>
        </w:tabs>
        <w:spacing w:line="480" w:lineRule="auto"/>
        <w:jc w:val="center"/>
        <w:rPr>
          <w:rFonts w:ascii="Century Gothic" w:hAnsi="Century Gothic" w:cs="Century Gothic"/>
          <w:sz w:val="24"/>
          <w:szCs w:val="24"/>
        </w:rPr>
      </w:pPr>
    </w:p>
    <w:p w14:paraId="74B3FA24" w14:textId="77777777" w:rsidR="00EF170A" w:rsidRPr="00322AF2" w:rsidRDefault="00EF170A" w:rsidP="00EF170A">
      <w:pPr>
        <w:pStyle w:val="Textoindependiente3"/>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LICENCIADA MA. DEL ROSARIO TORRES MANCILLA</w:t>
      </w:r>
      <w:bookmarkStart w:id="0" w:name="_GoBack"/>
      <w:bookmarkEnd w:id="0"/>
    </w:p>
    <w:sectPr w:rsidR="00EF170A" w:rsidRPr="00322AF2" w:rsidSect="00995D6F">
      <w:headerReference w:type="default" r:id="rId7"/>
      <w:footerReference w:type="even" r:id="rId8"/>
      <w:footerReference w:type="default" r:id="rId9"/>
      <w:pgSz w:w="12242" w:h="20163" w:code="5"/>
      <w:pgMar w:top="1985" w:right="1616" w:bottom="1418" w:left="2699"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27002A" w14:textId="77777777" w:rsidR="0088250E" w:rsidRDefault="0088250E">
      <w:r>
        <w:separator/>
      </w:r>
    </w:p>
  </w:endnote>
  <w:endnote w:type="continuationSeparator" w:id="0">
    <w:p w14:paraId="3BC3D410" w14:textId="77777777" w:rsidR="0088250E" w:rsidRDefault="008825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024B" w14:textId="2A33549E" w:rsidR="00F10D0A" w:rsidRDefault="00F10D0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731B4">
      <w:rPr>
        <w:rStyle w:val="Nmerodepgina"/>
        <w:noProof/>
      </w:rPr>
      <w:t>8</w:t>
    </w:r>
    <w:r>
      <w:rPr>
        <w:rStyle w:val="Nmerodepgina"/>
      </w:rPr>
      <w:fldChar w:fldCharType="end"/>
    </w:r>
  </w:p>
  <w:p w14:paraId="70E4D282" w14:textId="77777777" w:rsidR="00F10D0A" w:rsidRDefault="00F10D0A">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DD126" w14:textId="09200019" w:rsidR="00F10D0A" w:rsidRDefault="00F10D0A">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731B4">
      <w:rPr>
        <w:rStyle w:val="Nmerodepgina"/>
        <w:noProof/>
      </w:rPr>
      <w:t>7</w:t>
    </w:r>
    <w:r>
      <w:rPr>
        <w:rStyle w:val="Nmerodepgina"/>
      </w:rPr>
      <w:fldChar w:fldCharType="end"/>
    </w:r>
  </w:p>
  <w:p w14:paraId="69CD54C0" w14:textId="77777777" w:rsidR="00F10D0A" w:rsidRDefault="00F10D0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8A2B8B" w14:textId="77777777" w:rsidR="0088250E" w:rsidRDefault="0088250E">
      <w:r>
        <w:separator/>
      </w:r>
    </w:p>
  </w:footnote>
  <w:footnote w:type="continuationSeparator" w:id="0">
    <w:p w14:paraId="7E9B76F7" w14:textId="77777777" w:rsidR="0088250E" w:rsidRDefault="008825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92546B" w14:textId="1C9AE2C7" w:rsidR="00006DD9" w:rsidRDefault="00A14243">
    <w:pPr>
      <w:pStyle w:val="Encabezado"/>
    </w:pPr>
    <w:r>
      <w:rPr>
        <w:noProof/>
        <w:lang w:val="es-MX" w:eastAsia="es-MX"/>
      </w:rPr>
      <w:drawing>
        <wp:anchor distT="0" distB="0" distL="114300" distR="114300" simplePos="0" relativeHeight="251660288" behindDoc="1" locked="0" layoutInCell="1" allowOverlap="1" wp14:anchorId="50516F7F" wp14:editId="09BD0C6F">
          <wp:simplePos x="0" y="0"/>
          <wp:positionH relativeFrom="column">
            <wp:posOffset>3621696</wp:posOffset>
          </wp:positionH>
          <wp:positionV relativeFrom="paragraph">
            <wp:posOffset>-45720</wp:posOffset>
          </wp:positionV>
          <wp:extent cx="1720850" cy="853440"/>
          <wp:effectExtent l="0" t="0" r="0" b="0"/>
          <wp:wrapNone/>
          <wp:docPr id="4"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9C2C23">
      <w:rPr>
        <w:noProof/>
        <w:lang w:val="es-MX" w:eastAsia="es-MX"/>
      </w:rPr>
      <w:drawing>
        <wp:anchor distT="0" distB="0" distL="114300" distR="114300" simplePos="0" relativeHeight="251659264" behindDoc="1" locked="0" layoutInCell="1" allowOverlap="1" wp14:anchorId="4CD36E3B" wp14:editId="2C7D5C4E">
          <wp:simplePos x="0" y="0"/>
          <wp:positionH relativeFrom="leftMargin">
            <wp:align>right</wp:align>
          </wp:positionH>
          <wp:positionV relativeFrom="page">
            <wp:posOffset>432697</wp:posOffset>
          </wp:positionV>
          <wp:extent cx="1027430" cy="946150"/>
          <wp:effectExtent l="0" t="0" r="1270" b="6350"/>
          <wp:wrapNone/>
          <wp:docPr id="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8201CB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0077"/>
    <w:rsid w:val="00006DD9"/>
    <w:rsid w:val="00011AA6"/>
    <w:rsid w:val="000160E1"/>
    <w:rsid w:val="00034174"/>
    <w:rsid w:val="00041896"/>
    <w:rsid w:val="000801DA"/>
    <w:rsid w:val="000A429A"/>
    <w:rsid w:val="000A67F7"/>
    <w:rsid w:val="000B63AD"/>
    <w:rsid w:val="000D14B3"/>
    <w:rsid w:val="000E187E"/>
    <w:rsid w:val="000F40D8"/>
    <w:rsid w:val="00101846"/>
    <w:rsid w:val="00105D14"/>
    <w:rsid w:val="0010745F"/>
    <w:rsid w:val="0013247D"/>
    <w:rsid w:val="00167310"/>
    <w:rsid w:val="00177AFE"/>
    <w:rsid w:val="001A1AF0"/>
    <w:rsid w:val="001B0601"/>
    <w:rsid w:val="001B7985"/>
    <w:rsid w:val="001D135B"/>
    <w:rsid w:val="001D51C8"/>
    <w:rsid w:val="001E2C11"/>
    <w:rsid w:val="001F01BD"/>
    <w:rsid w:val="001F5023"/>
    <w:rsid w:val="00205F5C"/>
    <w:rsid w:val="0021727D"/>
    <w:rsid w:val="002225D6"/>
    <w:rsid w:val="002540AE"/>
    <w:rsid w:val="002742B7"/>
    <w:rsid w:val="002A4443"/>
    <w:rsid w:val="002C3F84"/>
    <w:rsid w:val="002D09A1"/>
    <w:rsid w:val="002D59F3"/>
    <w:rsid w:val="002E5610"/>
    <w:rsid w:val="002F16B9"/>
    <w:rsid w:val="002F6926"/>
    <w:rsid w:val="00300092"/>
    <w:rsid w:val="003102EC"/>
    <w:rsid w:val="0031494D"/>
    <w:rsid w:val="00326D56"/>
    <w:rsid w:val="00340D38"/>
    <w:rsid w:val="00341945"/>
    <w:rsid w:val="003512CE"/>
    <w:rsid w:val="00361C7F"/>
    <w:rsid w:val="00364F02"/>
    <w:rsid w:val="00380E78"/>
    <w:rsid w:val="003823C3"/>
    <w:rsid w:val="00390AF4"/>
    <w:rsid w:val="003A21AE"/>
    <w:rsid w:val="003B31E8"/>
    <w:rsid w:val="003B4E09"/>
    <w:rsid w:val="003B62B8"/>
    <w:rsid w:val="003B7224"/>
    <w:rsid w:val="003C029F"/>
    <w:rsid w:val="003C58BB"/>
    <w:rsid w:val="003F304A"/>
    <w:rsid w:val="00410AB6"/>
    <w:rsid w:val="004313D2"/>
    <w:rsid w:val="004325AD"/>
    <w:rsid w:val="004434C8"/>
    <w:rsid w:val="00447626"/>
    <w:rsid w:val="00465A17"/>
    <w:rsid w:val="004669B0"/>
    <w:rsid w:val="004736B1"/>
    <w:rsid w:val="0048077F"/>
    <w:rsid w:val="00487968"/>
    <w:rsid w:val="00487D53"/>
    <w:rsid w:val="004C7DBE"/>
    <w:rsid w:val="004D2AC1"/>
    <w:rsid w:val="004D7896"/>
    <w:rsid w:val="004D7AA5"/>
    <w:rsid w:val="004E276F"/>
    <w:rsid w:val="00506570"/>
    <w:rsid w:val="00525F11"/>
    <w:rsid w:val="00553393"/>
    <w:rsid w:val="00574364"/>
    <w:rsid w:val="0058139E"/>
    <w:rsid w:val="005813E8"/>
    <w:rsid w:val="00597DD4"/>
    <w:rsid w:val="005B7961"/>
    <w:rsid w:val="005C7134"/>
    <w:rsid w:val="005E23BB"/>
    <w:rsid w:val="005F0DE2"/>
    <w:rsid w:val="005F3995"/>
    <w:rsid w:val="006373DA"/>
    <w:rsid w:val="006405B5"/>
    <w:rsid w:val="00664401"/>
    <w:rsid w:val="00671F89"/>
    <w:rsid w:val="0067224F"/>
    <w:rsid w:val="006813AC"/>
    <w:rsid w:val="00696453"/>
    <w:rsid w:val="006A08C6"/>
    <w:rsid w:val="006A2583"/>
    <w:rsid w:val="006A309E"/>
    <w:rsid w:val="006A329F"/>
    <w:rsid w:val="006B2587"/>
    <w:rsid w:val="006D1FAA"/>
    <w:rsid w:val="006D3C6A"/>
    <w:rsid w:val="006F2CB9"/>
    <w:rsid w:val="006F66AF"/>
    <w:rsid w:val="00716F1A"/>
    <w:rsid w:val="0072352D"/>
    <w:rsid w:val="007260AE"/>
    <w:rsid w:val="00743221"/>
    <w:rsid w:val="00770AA6"/>
    <w:rsid w:val="00793811"/>
    <w:rsid w:val="007A1EAB"/>
    <w:rsid w:val="007A2569"/>
    <w:rsid w:val="007A5A66"/>
    <w:rsid w:val="007B23DF"/>
    <w:rsid w:val="007C7D79"/>
    <w:rsid w:val="007D07BD"/>
    <w:rsid w:val="007D1135"/>
    <w:rsid w:val="007F0D44"/>
    <w:rsid w:val="007F3514"/>
    <w:rsid w:val="007F389C"/>
    <w:rsid w:val="007F43DA"/>
    <w:rsid w:val="007F70DD"/>
    <w:rsid w:val="00801FBA"/>
    <w:rsid w:val="00810980"/>
    <w:rsid w:val="008165F6"/>
    <w:rsid w:val="0082372E"/>
    <w:rsid w:val="00823AEB"/>
    <w:rsid w:val="008258B3"/>
    <w:rsid w:val="008277D2"/>
    <w:rsid w:val="00833C74"/>
    <w:rsid w:val="00834B35"/>
    <w:rsid w:val="0088250E"/>
    <w:rsid w:val="00886468"/>
    <w:rsid w:val="00891B65"/>
    <w:rsid w:val="008B0F2C"/>
    <w:rsid w:val="008B318A"/>
    <w:rsid w:val="008B782A"/>
    <w:rsid w:val="008B7BA0"/>
    <w:rsid w:val="008C2881"/>
    <w:rsid w:val="008D1365"/>
    <w:rsid w:val="008F5E5D"/>
    <w:rsid w:val="00900077"/>
    <w:rsid w:val="00943739"/>
    <w:rsid w:val="0095281F"/>
    <w:rsid w:val="009533FC"/>
    <w:rsid w:val="00964BE7"/>
    <w:rsid w:val="00982687"/>
    <w:rsid w:val="009908D6"/>
    <w:rsid w:val="00994C1B"/>
    <w:rsid w:val="00995D6F"/>
    <w:rsid w:val="009A593C"/>
    <w:rsid w:val="009B0415"/>
    <w:rsid w:val="009C0DDF"/>
    <w:rsid w:val="009C2C23"/>
    <w:rsid w:val="009D6C1D"/>
    <w:rsid w:val="009E7706"/>
    <w:rsid w:val="009F47D5"/>
    <w:rsid w:val="00A040F1"/>
    <w:rsid w:val="00A04768"/>
    <w:rsid w:val="00A14243"/>
    <w:rsid w:val="00A22DE9"/>
    <w:rsid w:val="00A45EFA"/>
    <w:rsid w:val="00A53AA7"/>
    <w:rsid w:val="00A56280"/>
    <w:rsid w:val="00A808BA"/>
    <w:rsid w:val="00A819B1"/>
    <w:rsid w:val="00AA186A"/>
    <w:rsid w:val="00AA5410"/>
    <w:rsid w:val="00AC0862"/>
    <w:rsid w:val="00AC6BC7"/>
    <w:rsid w:val="00AD18AC"/>
    <w:rsid w:val="00AD4B3B"/>
    <w:rsid w:val="00AF00E7"/>
    <w:rsid w:val="00AF3DAA"/>
    <w:rsid w:val="00B029CC"/>
    <w:rsid w:val="00B0527C"/>
    <w:rsid w:val="00B14266"/>
    <w:rsid w:val="00B1429C"/>
    <w:rsid w:val="00B24952"/>
    <w:rsid w:val="00B46511"/>
    <w:rsid w:val="00B50811"/>
    <w:rsid w:val="00B5213A"/>
    <w:rsid w:val="00B5771A"/>
    <w:rsid w:val="00B90D07"/>
    <w:rsid w:val="00B91172"/>
    <w:rsid w:val="00BA1B13"/>
    <w:rsid w:val="00BB5A04"/>
    <w:rsid w:val="00BD191F"/>
    <w:rsid w:val="00BD2CC6"/>
    <w:rsid w:val="00BE04BD"/>
    <w:rsid w:val="00BF299D"/>
    <w:rsid w:val="00C13380"/>
    <w:rsid w:val="00C14863"/>
    <w:rsid w:val="00C23151"/>
    <w:rsid w:val="00C447BA"/>
    <w:rsid w:val="00C4539E"/>
    <w:rsid w:val="00C547C5"/>
    <w:rsid w:val="00C667F4"/>
    <w:rsid w:val="00C83244"/>
    <w:rsid w:val="00CA5BD0"/>
    <w:rsid w:val="00CA62F1"/>
    <w:rsid w:val="00CB7CBC"/>
    <w:rsid w:val="00CE5754"/>
    <w:rsid w:val="00D0457A"/>
    <w:rsid w:val="00D20D88"/>
    <w:rsid w:val="00D21D37"/>
    <w:rsid w:val="00D4690D"/>
    <w:rsid w:val="00D75DFB"/>
    <w:rsid w:val="00D84CB0"/>
    <w:rsid w:val="00D90BE3"/>
    <w:rsid w:val="00DA22FF"/>
    <w:rsid w:val="00DA392F"/>
    <w:rsid w:val="00DA3DFD"/>
    <w:rsid w:val="00DA61D4"/>
    <w:rsid w:val="00DA7A61"/>
    <w:rsid w:val="00DA7DB9"/>
    <w:rsid w:val="00DC3833"/>
    <w:rsid w:val="00DE118F"/>
    <w:rsid w:val="00DE23CB"/>
    <w:rsid w:val="00DE313F"/>
    <w:rsid w:val="00DF37EA"/>
    <w:rsid w:val="00DF4571"/>
    <w:rsid w:val="00E04996"/>
    <w:rsid w:val="00E06322"/>
    <w:rsid w:val="00E2239B"/>
    <w:rsid w:val="00E45575"/>
    <w:rsid w:val="00E46009"/>
    <w:rsid w:val="00E570DF"/>
    <w:rsid w:val="00E61884"/>
    <w:rsid w:val="00E630B8"/>
    <w:rsid w:val="00E64758"/>
    <w:rsid w:val="00E6550B"/>
    <w:rsid w:val="00E66F7E"/>
    <w:rsid w:val="00E7313A"/>
    <w:rsid w:val="00E731B4"/>
    <w:rsid w:val="00ED7F8A"/>
    <w:rsid w:val="00EE3386"/>
    <w:rsid w:val="00EF170A"/>
    <w:rsid w:val="00EF5D41"/>
    <w:rsid w:val="00F10B8E"/>
    <w:rsid w:val="00F10D0A"/>
    <w:rsid w:val="00F349AF"/>
    <w:rsid w:val="00F41DFD"/>
    <w:rsid w:val="00F42F42"/>
    <w:rsid w:val="00F534B7"/>
    <w:rsid w:val="00F775F0"/>
    <w:rsid w:val="00F93949"/>
    <w:rsid w:val="00FC2E0D"/>
    <w:rsid w:val="00FE0833"/>
    <w:rsid w:val="00FF4018"/>
    <w:rsid w:val="00FF56AF"/>
    <w:rsid w:val="00FF7C4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4CB36A9"/>
  <w15:docId w15:val="{A586791A-C405-4220-BDA8-D789B0AB7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s-ES" w:eastAsia="es-ES"/>
    </w:rPr>
  </w:style>
  <w:style w:type="paragraph" w:styleId="Ttulo3">
    <w:name w:val="heading 3"/>
    <w:basedOn w:val="Normal"/>
    <w:next w:val="Normal"/>
    <w:qFormat/>
    <w:pPr>
      <w:keepNext/>
      <w:spacing w:line="480" w:lineRule="auto"/>
      <w:jc w:val="center"/>
      <w:outlineLvl w:val="2"/>
    </w:pPr>
    <w:rPr>
      <w:rFonts w:ascii="Arial" w:hAnsi="Arial"/>
      <w:szCs w:val="20"/>
      <w:lang w:val="es-ES_tradnl"/>
    </w:rPr>
  </w:style>
  <w:style w:type="paragraph" w:styleId="Ttulo7">
    <w:name w:val="heading 7"/>
    <w:basedOn w:val="Normal"/>
    <w:next w:val="Normal"/>
    <w:qFormat/>
    <w:pPr>
      <w:keepNext/>
      <w:spacing w:line="480" w:lineRule="auto"/>
      <w:jc w:val="center"/>
      <w:outlineLvl w:val="6"/>
    </w:pPr>
    <w:rPr>
      <w:rFonts w:ascii="Arial" w:hAnsi="Arial"/>
      <w:b/>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3detindependiente">
    <w:name w:val="Body Text Indent 3"/>
    <w:basedOn w:val="Normal"/>
    <w:semiHidden/>
    <w:pPr>
      <w:ind w:left="567" w:hanging="567"/>
      <w:jc w:val="both"/>
    </w:pPr>
    <w:rPr>
      <w:rFonts w:ascii="Arial" w:hAnsi="Arial"/>
      <w:sz w:val="22"/>
      <w:szCs w:val="20"/>
    </w:rPr>
  </w:style>
  <w:style w:type="paragraph" w:styleId="Textoindependiente">
    <w:name w:val="Body Text"/>
    <w:basedOn w:val="Normal"/>
    <w:semiHidden/>
    <w:pPr>
      <w:jc w:val="both"/>
    </w:pPr>
    <w:rPr>
      <w:rFonts w:ascii="Arial" w:hAnsi="Arial"/>
      <w:szCs w:val="20"/>
      <w:lang w:val="es-ES_tradnl"/>
    </w:rPr>
  </w:style>
  <w:style w:type="paragraph" w:styleId="Sangradetextonormal">
    <w:name w:val="Body Text Indent"/>
    <w:basedOn w:val="Normal"/>
    <w:semiHidden/>
    <w:pPr>
      <w:spacing w:line="360" w:lineRule="auto"/>
      <w:ind w:left="-540"/>
      <w:jc w:val="both"/>
    </w:pPr>
    <w:rPr>
      <w:rFonts w:ascii="Century Gothic" w:hAnsi="Century Gothic"/>
    </w:rPr>
  </w:style>
  <w:style w:type="paragraph" w:styleId="Piedepgina">
    <w:name w:val="footer"/>
    <w:basedOn w:val="Normal"/>
    <w:semiHidden/>
    <w:pPr>
      <w:tabs>
        <w:tab w:val="center" w:pos="4419"/>
        <w:tab w:val="right" w:pos="8838"/>
      </w:tabs>
    </w:pPr>
  </w:style>
  <w:style w:type="character" w:styleId="Nmerodepgina">
    <w:name w:val="page number"/>
    <w:basedOn w:val="Fuentedeprrafopredeter"/>
    <w:semiHidden/>
  </w:style>
  <w:style w:type="paragraph" w:styleId="Encabezado">
    <w:name w:val="header"/>
    <w:basedOn w:val="Normal"/>
    <w:semiHidden/>
    <w:pPr>
      <w:tabs>
        <w:tab w:val="center" w:pos="4419"/>
        <w:tab w:val="right" w:pos="8838"/>
      </w:tabs>
    </w:pPr>
  </w:style>
  <w:style w:type="paragraph" w:customStyle="1" w:styleId="Sangradetdecuerpo1">
    <w:name w:val="Sangría de t. de cuerpo1"/>
    <w:basedOn w:val="Normal"/>
    <w:pPr>
      <w:spacing w:line="360" w:lineRule="auto"/>
      <w:ind w:left="-540"/>
      <w:jc w:val="both"/>
    </w:pPr>
    <w:rPr>
      <w:rFonts w:ascii="Century Gothic" w:hAnsi="Century Gothic"/>
    </w:rPr>
  </w:style>
  <w:style w:type="paragraph" w:styleId="NormalWeb">
    <w:name w:val="Normal (Web)"/>
    <w:basedOn w:val="Normal"/>
    <w:uiPriority w:val="99"/>
    <w:semiHidden/>
    <w:pPr>
      <w:spacing w:before="100" w:beforeAutospacing="1" w:after="100" w:afterAutospacing="1"/>
    </w:pPr>
    <w:rPr>
      <w:rFonts w:ascii="Arial Unicode MS" w:eastAsia="Arial Unicode MS" w:hAnsi="Arial Unicode MS" w:cs="Arial Unicode MS"/>
      <w:color w:val="000000"/>
    </w:rPr>
  </w:style>
  <w:style w:type="paragraph" w:customStyle="1" w:styleId="Sangradetextonormal1">
    <w:name w:val="Sangría de texto normal1"/>
    <w:basedOn w:val="Normal"/>
    <w:rsid w:val="00E7313A"/>
    <w:pPr>
      <w:spacing w:line="360" w:lineRule="auto"/>
      <w:ind w:left="-540"/>
      <w:jc w:val="both"/>
    </w:pPr>
    <w:rPr>
      <w:rFonts w:ascii="Century Gothic" w:hAnsi="Century Gothic"/>
    </w:rPr>
  </w:style>
  <w:style w:type="paragraph" w:styleId="Textoindependiente3">
    <w:name w:val="Body Text 3"/>
    <w:basedOn w:val="Normal"/>
    <w:link w:val="Textoindependiente3Car"/>
    <w:uiPriority w:val="99"/>
    <w:semiHidden/>
    <w:unhideWhenUsed/>
    <w:rsid w:val="00E45575"/>
    <w:pPr>
      <w:spacing w:after="120"/>
    </w:pPr>
    <w:rPr>
      <w:sz w:val="16"/>
      <w:szCs w:val="16"/>
    </w:rPr>
  </w:style>
  <w:style w:type="character" w:customStyle="1" w:styleId="Textoindependiente3Car">
    <w:name w:val="Texto independiente 3 Car"/>
    <w:link w:val="Textoindependiente3"/>
    <w:uiPriority w:val="99"/>
    <w:semiHidden/>
    <w:rsid w:val="00E45575"/>
    <w:rPr>
      <w:sz w:val="16"/>
      <w:szCs w:val="16"/>
      <w:lang w:val="es-ES" w:eastAsia="es-ES"/>
    </w:rPr>
  </w:style>
  <w:style w:type="paragraph" w:styleId="Textodeglobo">
    <w:name w:val="Balloon Text"/>
    <w:basedOn w:val="Normal"/>
    <w:link w:val="TextodegloboCar"/>
    <w:uiPriority w:val="99"/>
    <w:semiHidden/>
    <w:unhideWhenUsed/>
    <w:rsid w:val="00A1424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14243"/>
    <w:rPr>
      <w:rFonts w:ascii="Segoe UI" w:hAnsi="Segoe UI" w:cs="Segoe UI"/>
      <w:sz w:val="18"/>
      <w:szCs w:val="18"/>
      <w:lang w:val="es-ES" w:eastAsia="es-ES"/>
    </w:rPr>
  </w:style>
  <w:style w:type="paragraph" w:styleId="Textosinformato">
    <w:name w:val="Plain Text"/>
    <w:basedOn w:val="Normal"/>
    <w:link w:val="TextosinformatoCar1"/>
    <w:rsid w:val="00EF170A"/>
    <w:rPr>
      <w:rFonts w:ascii="Courier New" w:hAnsi="Courier New" w:cs="Courier New"/>
      <w:sz w:val="20"/>
      <w:szCs w:val="20"/>
      <w:lang w:val="es-MX"/>
    </w:rPr>
  </w:style>
  <w:style w:type="character" w:customStyle="1" w:styleId="TextosinformatoCar">
    <w:name w:val="Texto sin formato Car"/>
    <w:basedOn w:val="Fuentedeprrafopredeter"/>
    <w:uiPriority w:val="99"/>
    <w:semiHidden/>
    <w:rsid w:val="00EF170A"/>
    <w:rPr>
      <w:rFonts w:ascii="Consolas" w:hAnsi="Consolas"/>
      <w:sz w:val="21"/>
      <w:szCs w:val="21"/>
      <w:lang w:val="es-ES" w:eastAsia="es-ES"/>
    </w:rPr>
  </w:style>
  <w:style w:type="character" w:customStyle="1" w:styleId="TextosinformatoCar1">
    <w:name w:val="Texto sin formato Car1"/>
    <w:link w:val="Textosinformato"/>
    <w:locked/>
    <w:rsid w:val="00EF170A"/>
    <w:rPr>
      <w:rFonts w:ascii="Courier New" w:hAnsi="Courier New" w:cs="Courier New"/>
      <w:lang w:eastAsia="es-ES"/>
    </w:rPr>
  </w:style>
  <w:style w:type="paragraph" w:customStyle="1" w:styleId="BodyTextIndent1">
    <w:name w:val="Body Text Indent1"/>
    <w:basedOn w:val="Normal"/>
    <w:rsid w:val="00EF170A"/>
    <w:pPr>
      <w:spacing w:line="360" w:lineRule="auto"/>
      <w:ind w:left="-540"/>
      <w:jc w:val="both"/>
    </w:pPr>
    <w:rPr>
      <w:rFonts w:ascii="Century Gothic" w:hAnsi="Century Gothi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8</Pages>
  <Words>1995</Words>
  <Characters>10977</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5</cp:revision>
  <cp:lastPrinted>2022-03-01T20:16:00Z</cp:lastPrinted>
  <dcterms:created xsi:type="dcterms:W3CDTF">2022-05-17T13:46:00Z</dcterms:created>
  <dcterms:modified xsi:type="dcterms:W3CDTF">2022-06-07T19:22:00Z</dcterms:modified>
</cp:coreProperties>
</file>