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E2FD7" w14:textId="7D122872" w:rsidR="00AB466F" w:rsidRDefault="00AB466F" w:rsidP="00E04B5F"/>
    <w:p w14:paraId="3CA6A5EF" w14:textId="603899DD" w:rsidR="00932B82" w:rsidRDefault="00932B82" w:rsidP="00E04B5F"/>
    <w:p w14:paraId="76739D88" w14:textId="4C6F59F9" w:rsidR="00932B82" w:rsidRDefault="00932B82" w:rsidP="00E04B5F"/>
    <w:p w14:paraId="66DB9120" w14:textId="105B7981" w:rsidR="00932B82" w:rsidRDefault="00932B82" w:rsidP="00E04B5F"/>
    <w:p w14:paraId="20510D87" w14:textId="6236ECA9" w:rsidR="00932B82" w:rsidRDefault="00932B82" w:rsidP="00E04B5F"/>
    <w:p w14:paraId="70220C4C" w14:textId="653EB7F1" w:rsidR="00932B82" w:rsidRDefault="00932B82" w:rsidP="00E04B5F"/>
    <w:p w14:paraId="32238DF7" w14:textId="77777777" w:rsidR="00932B82" w:rsidRDefault="00932B82" w:rsidP="00E04B5F"/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6"/>
      </w:tblGrid>
      <w:tr w:rsidR="00932B82" w14:paraId="68293361" w14:textId="77777777" w:rsidTr="00932B82">
        <w:trPr>
          <w:jc w:val="center"/>
        </w:trPr>
        <w:tc>
          <w:tcPr>
            <w:tcW w:w="9776" w:type="dxa"/>
          </w:tcPr>
          <w:p w14:paraId="0FA4F099" w14:textId="27097F33" w:rsidR="00932B82" w:rsidRPr="005953E2" w:rsidRDefault="00932B82" w:rsidP="00932B82">
            <w:pPr>
              <w:pStyle w:val="Default"/>
              <w:spacing w:line="276" w:lineRule="auto"/>
              <w:jc w:val="both"/>
              <w:rPr>
                <w:rFonts w:ascii="Montserrat Medium" w:hAnsi="Montserrat Medium" w:cs="Arial"/>
              </w:rPr>
            </w:pPr>
            <w:r w:rsidRPr="005953E2"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 xml:space="preserve">El Instituto Tecnológico Superior de Tamazunchale, S.L.P., a través de la Dirección General informa que, no se generó información en el </w:t>
            </w:r>
            <w:r>
              <w:rPr>
                <w:rFonts w:ascii="Montserrat Medium" w:eastAsia="Times New Roman" w:hAnsi="Montserrat Medium" w:cs="Arial"/>
                <w:b/>
                <w:color w:val="auto"/>
                <w:lang w:val="es-ES" w:eastAsia="es-ES"/>
              </w:rPr>
              <w:t>A</w:t>
            </w:r>
            <w:r w:rsidRPr="00545887">
              <w:rPr>
                <w:rFonts w:ascii="Montserrat Medium" w:eastAsia="Times New Roman" w:hAnsi="Montserrat Medium" w:cs="Arial"/>
                <w:b/>
                <w:color w:val="auto"/>
                <w:lang w:val="es-ES" w:eastAsia="es-ES"/>
              </w:rPr>
              <w:t>rtículo LTAIPSLP84LIIA, que se refiere a las Actas de Sesiones del Consejo Consultivo.</w:t>
            </w:r>
            <w:r w:rsidRPr="005953E2"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 xml:space="preserve"> Lo anterior, debido a que no sesionó el Consejo </w:t>
            </w:r>
            <w:r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 xml:space="preserve">Consultivo, </w:t>
            </w:r>
            <w:r w:rsidRPr="005953E2"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>por no estar calendarizado en este periodo</w:t>
            </w:r>
            <w:r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>,</w:t>
            </w:r>
            <w:r w:rsidRPr="005953E2"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 xml:space="preserve"> en e</w:t>
            </w:r>
            <w:r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>l Programa Operativo Anual 20</w:t>
            </w:r>
            <w:r w:rsidRPr="00656D80"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>2</w:t>
            </w:r>
            <w:r w:rsidR="00656D80"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>2</w:t>
            </w:r>
            <w:r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 xml:space="preserve">; con fundamento en </w:t>
            </w:r>
            <w:r w:rsidRPr="005953E2"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>l</w:t>
            </w:r>
            <w:r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>os Artículos 10°, 11° y 12</w:t>
            </w:r>
            <w:r w:rsidRPr="005953E2"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>º</w:t>
            </w:r>
            <w:r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>, del Reglamento Interior del Instituto Tecnológico Superior de Tamazunchale, San Luis Potosí, publicado en el Periódico Oficial del Estado Libre y Soberano de San Luis Potosí, el 11 de marzo del 2010, Edición Extraordinaria</w:t>
            </w:r>
            <w:r w:rsidRPr="005953E2">
              <w:rPr>
                <w:rFonts w:ascii="Montserrat Medium" w:eastAsia="Times New Roman" w:hAnsi="Montserrat Medium" w:cs="Arial"/>
                <w:color w:val="auto"/>
                <w:lang w:val="es-ES" w:eastAsia="es-ES"/>
              </w:rPr>
              <w:t xml:space="preserve">. </w:t>
            </w:r>
          </w:p>
          <w:p w14:paraId="21D44A0A" w14:textId="77777777" w:rsidR="00932B82" w:rsidRPr="00932B82" w:rsidRDefault="00932B82" w:rsidP="00932B82">
            <w:pPr>
              <w:spacing w:line="276" w:lineRule="auto"/>
              <w:jc w:val="center"/>
              <w:rPr>
                <w:lang w:val="es-MX"/>
              </w:rPr>
            </w:pPr>
          </w:p>
        </w:tc>
      </w:tr>
    </w:tbl>
    <w:p w14:paraId="42C70991" w14:textId="77777777" w:rsidR="00932B82" w:rsidRPr="00E04B5F" w:rsidRDefault="00932B82" w:rsidP="00E04B5F"/>
    <w:sectPr w:rsidR="00932B82" w:rsidRPr="00E04B5F" w:rsidSect="005E236D">
      <w:headerReference w:type="default" r:id="rId8"/>
      <w:footerReference w:type="default" r:id="rId9"/>
      <w:pgSz w:w="12242" w:h="15842" w:code="1"/>
      <w:pgMar w:top="1417" w:right="618" w:bottom="1417" w:left="993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36EDC" w14:textId="77777777" w:rsidR="004A2FAD" w:rsidRDefault="004A2FAD" w:rsidP="004B6E03">
      <w:r>
        <w:separator/>
      </w:r>
    </w:p>
  </w:endnote>
  <w:endnote w:type="continuationSeparator" w:id="0">
    <w:p w14:paraId="53B1A7AD" w14:textId="77777777" w:rsidR="004A2FAD" w:rsidRDefault="004A2FAD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C3B64" w14:textId="2BA0E232" w:rsidR="00902A8C" w:rsidRPr="00F7074A" w:rsidRDefault="00902A8C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0EEF65B0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C3BCF" w14:textId="77777777" w:rsidR="004A2FAD" w:rsidRDefault="004A2FAD" w:rsidP="004B6E03">
      <w:r>
        <w:separator/>
      </w:r>
    </w:p>
  </w:footnote>
  <w:footnote w:type="continuationSeparator" w:id="0">
    <w:p w14:paraId="5809FC33" w14:textId="77777777" w:rsidR="004A2FAD" w:rsidRDefault="004A2FAD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4D18A" w14:textId="5F82201F" w:rsidR="00902A8C" w:rsidRPr="006676BE" w:rsidRDefault="006676BE" w:rsidP="006676BE">
    <w:pPr>
      <w:pStyle w:val="Encabezado"/>
    </w:pPr>
    <w:r w:rsidRPr="006676BE"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1E17385B" wp14:editId="7BD9AE88">
          <wp:simplePos x="0" y="0"/>
          <wp:positionH relativeFrom="column">
            <wp:posOffset>5671820</wp:posOffset>
          </wp:positionH>
          <wp:positionV relativeFrom="paragraph">
            <wp:posOffset>0</wp:posOffset>
          </wp:positionV>
          <wp:extent cx="715010" cy="436245"/>
          <wp:effectExtent l="0" t="0" r="8890" b="1905"/>
          <wp:wrapNone/>
          <wp:docPr id="29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010" cy="436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9098F70" wp14:editId="2ED0BB97">
          <wp:simplePos x="0" y="0"/>
          <wp:positionH relativeFrom="column">
            <wp:posOffset>4290695</wp:posOffset>
          </wp:positionH>
          <wp:positionV relativeFrom="paragraph">
            <wp:posOffset>40005</wp:posOffset>
          </wp:positionV>
          <wp:extent cx="1049020" cy="447675"/>
          <wp:effectExtent l="0" t="0" r="0" b="9525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18B96C05" wp14:editId="1C71BF54">
          <wp:simplePos x="0" y="0"/>
          <wp:positionH relativeFrom="column">
            <wp:posOffset>2453005</wp:posOffset>
          </wp:positionH>
          <wp:positionV relativeFrom="paragraph">
            <wp:posOffset>88900</wp:posOffset>
          </wp:positionV>
          <wp:extent cx="1416050" cy="371475"/>
          <wp:effectExtent l="0" t="0" r="0" b="952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SEGE-2 21-27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050" cy="371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76BE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52C5C63E" wp14:editId="0853125E">
          <wp:simplePos x="0" y="0"/>
          <wp:positionH relativeFrom="column">
            <wp:posOffset>0</wp:posOffset>
          </wp:positionH>
          <wp:positionV relativeFrom="paragraph">
            <wp:posOffset>79375</wp:posOffset>
          </wp:positionV>
          <wp:extent cx="2110740" cy="438150"/>
          <wp:effectExtent l="0" t="0" r="3810" b="0"/>
          <wp:wrapNone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p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10740" cy="43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2013331">
    <w:abstractNumId w:val="10"/>
  </w:num>
  <w:num w:numId="2" w16cid:durableId="766387173">
    <w:abstractNumId w:val="17"/>
  </w:num>
  <w:num w:numId="3" w16cid:durableId="2144613462">
    <w:abstractNumId w:val="15"/>
  </w:num>
  <w:num w:numId="4" w16cid:durableId="892499332">
    <w:abstractNumId w:val="5"/>
  </w:num>
  <w:num w:numId="5" w16cid:durableId="1381133106">
    <w:abstractNumId w:val="9"/>
  </w:num>
  <w:num w:numId="6" w16cid:durableId="1749307335">
    <w:abstractNumId w:val="20"/>
  </w:num>
  <w:num w:numId="7" w16cid:durableId="440075143">
    <w:abstractNumId w:val="12"/>
  </w:num>
  <w:num w:numId="8" w16cid:durableId="1072391083">
    <w:abstractNumId w:val="13"/>
  </w:num>
  <w:num w:numId="9" w16cid:durableId="2014913409">
    <w:abstractNumId w:val="11"/>
  </w:num>
  <w:num w:numId="10" w16cid:durableId="1948923852">
    <w:abstractNumId w:val="4"/>
  </w:num>
  <w:num w:numId="11" w16cid:durableId="636112474">
    <w:abstractNumId w:val="1"/>
  </w:num>
  <w:num w:numId="12" w16cid:durableId="1894654235">
    <w:abstractNumId w:val="19"/>
  </w:num>
  <w:num w:numId="13" w16cid:durableId="445657015">
    <w:abstractNumId w:val="7"/>
  </w:num>
  <w:num w:numId="14" w16cid:durableId="965620880">
    <w:abstractNumId w:val="6"/>
  </w:num>
  <w:num w:numId="15" w16cid:durableId="1670253614">
    <w:abstractNumId w:val="8"/>
  </w:num>
  <w:num w:numId="16" w16cid:durableId="1003700949">
    <w:abstractNumId w:val="18"/>
  </w:num>
  <w:num w:numId="17" w16cid:durableId="48573250">
    <w:abstractNumId w:val="3"/>
  </w:num>
  <w:num w:numId="18" w16cid:durableId="762923287">
    <w:abstractNumId w:val="16"/>
  </w:num>
  <w:num w:numId="19" w16cid:durableId="75908070">
    <w:abstractNumId w:val="2"/>
  </w:num>
  <w:num w:numId="20" w16cid:durableId="1303460789">
    <w:abstractNumId w:val="14"/>
  </w:num>
  <w:num w:numId="21" w16cid:durableId="2017730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A01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2FAD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6D80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B82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12E72"/>
  <w15:docId w15:val="{6C5AA26E-18F0-4C78-8C98-36E2582F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E780D6-A67D-4086-AC08-1C3414CD6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SECDIR</cp:lastModifiedBy>
  <cp:revision>4</cp:revision>
  <cp:lastPrinted>2020-08-31T22:37:00Z</cp:lastPrinted>
  <dcterms:created xsi:type="dcterms:W3CDTF">2022-02-08T22:49:00Z</dcterms:created>
  <dcterms:modified xsi:type="dcterms:W3CDTF">2022-06-06T20:20:00Z</dcterms:modified>
</cp:coreProperties>
</file>