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7399C7B0"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E316F">
        <w:rPr>
          <w:rFonts w:ascii="AvantGarde Bk BT" w:hAnsi="AvantGarde Bk BT" w:cs="Arial"/>
          <w:b/>
          <w:color w:val="000000" w:themeColor="text1"/>
          <w:sz w:val="24"/>
          <w:szCs w:val="24"/>
        </w:rPr>
        <w:t>220</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26B049B9"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3FEB64C" w:rsidR="00946007" w:rsidRPr="007C5605" w:rsidRDefault="006E316F"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 DE AQUISMÓN</w:t>
      </w:r>
    </w:p>
    <w:p w14:paraId="0F9034C1" w14:textId="205C25CC"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37B9261" w14:textId="6DE5E723" w:rsidR="00946007" w:rsidRPr="007C5605" w:rsidRDefault="00946007" w:rsidP="00F444A5">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9F5904">
        <w:rPr>
          <w:rFonts w:ascii="AvantGarde Bk BT" w:hAnsi="AvantGarde Bk BT" w:cs="Arial"/>
          <w:color w:val="000000" w:themeColor="text1"/>
          <w:sz w:val="24"/>
          <w:szCs w:val="24"/>
        </w:rPr>
        <w:t>30</w:t>
      </w:r>
      <w:r>
        <w:rPr>
          <w:rFonts w:ascii="AvantGarde Bk BT" w:hAnsi="AvantGarde Bk BT" w:cs="Arial"/>
          <w:color w:val="000000" w:themeColor="text1"/>
          <w:sz w:val="24"/>
          <w:szCs w:val="24"/>
        </w:rPr>
        <w:t xml:space="preserve"> </w:t>
      </w:r>
      <w:r w:rsidR="009F5904">
        <w:rPr>
          <w:rFonts w:ascii="AvantGarde Bk BT" w:hAnsi="AvantGarde Bk BT" w:cs="Arial"/>
          <w:color w:val="000000" w:themeColor="text1"/>
          <w:sz w:val="24"/>
          <w:szCs w:val="24"/>
        </w:rPr>
        <w:t>treinta de abril</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0822D9D9" w14:textId="0053E50A" w:rsidR="00946007" w:rsidRPr="007C5605" w:rsidRDefault="00946007" w:rsidP="00F444A5">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368F740D" w14:textId="19918FAA" w:rsidR="00946007" w:rsidRPr="00F444A5" w:rsidRDefault="00946007" w:rsidP="00F444A5">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1F0014AD" w:rsidR="00946007" w:rsidRPr="00207103" w:rsidRDefault="00946007" w:rsidP="00F444A5">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F444A5">
        <w:rPr>
          <w:rFonts w:ascii="AvantGarde Bk BT" w:hAnsi="AvantGarde Bk BT" w:cs="Arial"/>
          <w:color w:val="000000" w:themeColor="text1"/>
          <w:sz w:val="24"/>
          <w:szCs w:val="24"/>
        </w:rPr>
        <w:t>07 siete</w:t>
      </w:r>
      <w:r w:rsidR="009F5904">
        <w:rPr>
          <w:rFonts w:ascii="AvantGarde Bk BT" w:hAnsi="AvantGarde Bk BT" w:cs="Arial"/>
          <w:color w:val="000000" w:themeColor="text1"/>
          <w:sz w:val="24"/>
          <w:szCs w:val="24"/>
        </w:rPr>
        <w:t xml:space="preserve"> de febrero</w:t>
      </w:r>
      <w:r>
        <w:rPr>
          <w:rFonts w:ascii="AvantGarde Bk BT" w:hAnsi="AvantGarde Bk BT" w:cs="Arial"/>
          <w:color w:val="000000" w:themeColor="text1"/>
          <w:sz w:val="24"/>
          <w:szCs w:val="24"/>
        </w:rPr>
        <w:t xml:space="preserve"> de 2019 dos mil diecinueve </w:t>
      </w:r>
      <w:r w:rsidR="009F5904">
        <w:rPr>
          <w:rFonts w:ascii="AvantGarde Bk BT" w:hAnsi="AvantGarde Bk BT" w:cs="Arial"/>
          <w:color w:val="000000" w:themeColor="text1"/>
          <w:sz w:val="24"/>
          <w:szCs w:val="24"/>
        </w:rPr>
        <w:t xml:space="preserve">el </w:t>
      </w:r>
      <w:r w:rsidR="00F444A5">
        <w:rPr>
          <w:rFonts w:ascii="AvantGarde Bk BT" w:hAnsi="AvantGarde Bk BT" w:cs="Arial"/>
          <w:b/>
          <w:color w:val="000000" w:themeColor="text1"/>
          <w:sz w:val="24"/>
          <w:szCs w:val="24"/>
        </w:rPr>
        <w:t>AYUNTAMIENTO DE AQUISMÓN</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F444A5">
        <w:rPr>
          <w:rFonts w:ascii="AvantGarde Bk BT" w:hAnsi="AvantGarde Bk BT" w:cs="Arial"/>
          <w:color w:val="000000" w:themeColor="text1"/>
          <w:sz w:val="24"/>
          <w:szCs w:val="24"/>
        </w:rPr>
        <w:t>1408</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33686CA8" w:rsidR="00946007" w:rsidRPr="00F444A5" w:rsidRDefault="00946007" w:rsidP="00F444A5">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F444A5">
        <w:rPr>
          <w:rFonts w:ascii="AvantGarde Bk BT" w:hAnsi="AvantGarde Bk BT" w:cs="Arial"/>
          <w:color w:val="000000" w:themeColor="text1"/>
          <w:sz w:val="24"/>
          <w:szCs w:val="24"/>
        </w:rPr>
        <w:t>13 trece de febrero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01B69552" w:rsidR="00946007" w:rsidRPr="0092495A" w:rsidRDefault="00946007" w:rsidP="00F444A5">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444A5">
        <w:rPr>
          <w:rFonts w:ascii="AvantGarde Bk BT" w:hAnsi="AvantGarde Bk BT" w:cs="Arial"/>
          <w:color w:val="000000" w:themeColor="text1"/>
          <w:sz w:val="24"/>
          <w:szCs w:val="24"/>
        </w:rPr>
        <w:t>17 diecisiete de febrero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2B0B875E" w:rsidR="00946007" w:rsidRPr="007C5605" w:rsidRDefault="00946007" w:rsidP="00F444A5">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F444A5">
        <w:rPr>
          <w:rFonts w:ascii="AvantGarde Bk BT" w:hAnsi="AvantGarde Bk BT" w:cs="Arial"/>
          <w:color w:val="000000" w:themeColor="text1"/>
          <w:sz w:val="24"/>
          <w:szCs w:val="24"/>
        </w:rPr>
        <w:t>19 diecinueve de febrero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del Maestro Alejandro Lafuente Torres para que procediera, previo su análisis, a su admisión o desechamiento según fuera el caso.</w:t>
      </w:r>
    </w:p>
    <w:p w14:paraId="5F9DA4C1" w14:textId="3B5D1B5E" w:rsidR="00946007" w:rsidRPr="007C5605" w:rsidRDefault="00946007" w:rsidP="00F444A5">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F444A5">
        <w:rPr>
          <w:rFonts w:ascii="AvantGarde Bk BT" w:hAnsi="AvantGarde Bk BT" w:cs="Arial"/>
          <w:color w:val="000000" w:themeColor="text1"/>
          <w:sz w:val="24"/>
          <w:szCs w:val="24"/>
        </w:rPr>
        <w:t>26 veintiséis de febrero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3DC67082" w14:textId="30C4523A"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w:t>
      </w:r>
      <w:proofErr w:type="gramStart"/>
      <w:r>
        <w:rPr>
          <w:rFonts w:ascii="AvantGarde Bk BT" w:hAnsi="AvantGarde Bk BT" w:cs="Arial"/>
          <w:color w:val="000000" w:themeColor="text1"/>
          <w:sz w:val="24"/>
          <w:szCs w:val="24"/>
        </w:rPr>
        <w:t>la</w:t>
      </w:r>
      <w:r w:rsidR="009F590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hipótesis establecida</w:t>
      </w:r>
      <w:proofErr w:type="gramEnd"/>
      <w:r>
        <w:rPr>
          <w:rFonts w:ascii="AvantGarde Bk BT" w:hAnsi="AvantGarde Bk BT" w:cs="Arial"/>
          <w:color w:val="000000" w:themeColor="text1"/>
          <w:sz w:val="24"/>
          <w:szCs w:val="24"/>
        </w:rPr>
        <w:t xml:space="preserve"> en la fracci</w:t>
      </w:r>
      <w:r w:rsidR="00F444A5">
        <w:rPr>
          <w:rFonts w:ascii="AvantGarde Bk BT" w:hAnsi="AvantGarde Bk BT" w:cs="Arial"/>
          <w:color w:val="000000" w:themeColor="text1"/>
          <w:sz w:val="24"/>
          <w:szCs w:val="24"/>
        </w:rPr>
        <w:t>ó</w:t>
      </w:r>
      <w:r w:rsidR="009F5904">
        <w:rPr>
          <w:rFonts w:ascii="AvantGarde Bk BT" w:hAnsi="AvantGarde Bk BT" w:cs="Arial"/>
          <w:color w:val="000000" w:themeColor="text1"/>
          <w:sz w:val="24"/>
          <w:szCs w:val="24"/>
        </w:rPr>
        <w:t>n VI</w:t>
      </w:r>
      <w:r w:rsidR="00285161">
        <w:rPr>
          <w:rFonts w:ascii="AvantGarde Bk BT" w:hAnsi="AvantGarde Bk BT" w:cs="Arial"/>
          <w:color w:val="000000" w:themeColor="text1"/>
          <w:sz w:val="24"/>
          <w:szCs w:val="24"/>
        </w:rPr>
        <w:t>II</w:t>
      </w:r>
      <w:r>
        <w:rPr>
          <w:rFonts w:ascii="AvantGarde Bk BT" w:hAnsi="AvantGarde Bk BT" w:cs="Arial"/>
          <w:color w:val="000000" w:themeColor="text1"/>
          <w:sz w:val="24"/>
          <w:szCs w:val="24"/>
        </w:rPr>
        <w:t xml:space="preserve"> del artículo 167, de la Ley de la materia.</w:t>
      </w:r>
    </w:p>
    <w:p w14:paraId="00D6F064" w14:textId="67ED962D"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F444A5">
        <w:rPr>
          <w:rFonts w:ascii="AvantGarde Bk BT" w:hAnsi="AvantGarde Bk BT" w:cs="Arial"/>
          <w:b/>
          <w:color w:val="000000" w:themeColor="text1"/>
          <w:sz w:val="24"/>
          <w:szCs w:val="24"/>
        </w:rPr>
        <w:t>220</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5FFB0C50"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9F5904">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F444A5">
        <w:rPr>
          <w:rFonts w:ascii="AvantGarde Bk BT" w:hAnsi="AvantGarde Bk BT" w:cs="Arial"/>
          <w:b/>
          <w:color w:val="000000" w:themeColor="text1"/>
          <w:sz w:val="24"/>
          <w:szCs w:val="24"/>
        </w:rPr>
        <w:t>AYUNTAMIENTO DE AQUISMÓN</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1EC6116E"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w:t>
      </w:r>
      <w:r w:rsidR="0023666E">
        <w:rPr>
          <w:rFonts w:ascii="AvantGarde Bk BT" w:hAnsi="AvantGarde Bk BT" w:cs="Arial"/>
          <w:color w:val="000000" w:themeColor="text1"/>
          <w:sz w:val="24"/>
          <w:szCs w:val="24"/>
        </w:rPr>
        <w:t xml:space="preserve"> de los documentos en los que cue</w:t>
      </w:r>
      <w:r>
        <w:rPr>
          <w:rFonts w:ascii="AvantGarde Bk BT" w:hAnsi="AvantGarde Bk BT" w:cs="Arial"/>
          <w:color w:val="000000" w:themeColor="text1"/>
          <w:sz w:val="24"/>
          <w:szCs w:val="24"/>
        </w:rPr>
        <w:t>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3511458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w:t>
      </w:r>
      <w:r w:rsidRPr="007C5605">
        <w:rPr>
          <w:rFonts w:ascii="AvantGarde Bk BT" w:hAnsi="AvantGarde Bk BT" w:cs="Arial"/>
          <w:color w:val="000000" w:themeColor="text1"/>
          <w:sz w:val="24"/>
          <w:szCs w:val="24"/>
        </w:rPr>
        <w:lastRenderedPageBreak/>
        <w:t>y recibir notificaciones en esta ciudad y se les informó que una vez que fuera decretado el cierre de instrucción no se atendería la información que fuese enviada.</w:t>
      </w:r>
    </w:p>
    <w:p w14:paraId="0BD2A582" w14:textId="6971931A" w:rsidR="00946007" w:rsidRPr="007C5605" w:rsidRDefault="00F444A5" w:rsidP="00F444A5">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Decretó la ampliación establecida en el artículo 170 de la ley de la materia, lo anterior en razón de la distancia que existe entre el domicilio del sujeto obligado y la sede de esta Comisión.</w:t>
      </w:r>
    </w:p>
    <w:p w14:paraId="230F3781" w14:textId="2E105B25" w:rsidR="00946007" w:rsidRDefault="00946007" w:rsidP="00F444A5">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F444A5">
        <w:rPr>
          <w:rFonts w:ascii="AvantGarde Bk BT" w:hAnsi="AvantGarde Bk BT" w:cs="Arial"/>
          <w:color w:val="000000" w:themeColor="text1"/>
          <w:sz w:val="24"/>
          <w:szCs w:val="24"/>
        </w:rPr>
        <w:t>29 veintinueve de marzo</w:t>
      </w:r>
      <w:r>
        <w:rPr>
          <w:rFonts w:ascii="AvantGarde Bk BT" w:hAnsi="AvantGarde Bk BT" w:cs="Arial"/>
          <w:color w:val="000000" w:themeColor="text1"/>
          <w:sz w:val="24"/>
          <w:szCs w:val="24"/>
        </w:rPr>
        <w:t xml:space="preserve"> de 2019 dos mil diecinueve el ponente:</w:t>
      </w:r>
    </w:p>
    <w:p w14:paraId="19D12330" w14:textId="3B38D6F2"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F444A5">
        <w:rPr>
          <w:rFonts w:ascii="AvantGarde Bk BT" w:hAnsi="AvantGarde Bk BT" w:cs="Arial"/>
          <w:color w:val="000000" w:themeColor="text1"/>
          <w:sz w:val="24"/>
          <w:szCs w:val="24"/>
        </w:rPr>
        <w:t>UIP-110/2018-2021</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F444A5">
        <w:rPr>
          <w:rFonts w:ascii="AvantGarde Bk BT" w:hAnsi="AvantGarde Bk BT" w:cs="Arial"/>
          <w:sz w:val="24"/>
          <w:szCs w:val="24"/>
        </w:rPr>
        <w:t>Oscar Suarez Mendoza</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F444A5">
        <w:rPr>
          <w:rFonts w:ascii="AvantGarde Bk BT" w:hAnsi="AvantGarde Bk BT" w:cs="Arial"/>
          <w:sz w:val="24"/>
          <w:szCs w:val="24"/>
        </w:rPr>
        <w:t xml:space="preserve">Presidente Municipal de </w:t>
      </w:r>
      <w:proofErr w:type="spellStart"/>
      <w:r w:rsidR="00F444A5">
        <w:rPr>
          <w:rFonts w:ascii="AvantGarde Bk BT" w:hAnsi="AvantGarde Bk BT" w:cs="Arial"/>
          <w:sz w:val="24"/>
          <w:szCs w:val="24"/>
        </w:rPr>
        <w:t>Aquismón</w:t>
      </w:r>
      <w:proofErr w:type="spellEnd"/>
      <w:r w:rsidR="009F5904">
        <w:rPr>
          <w:rFonts w:ascii="AvantGarde Bk BT" w:hAnsi="AvantGarde Bk BT" w:cs="Arial"/>
          <w:sz w:val="24"/>
          <w:szCs w:val="24"/>
        </w:rPr>
        <w:t xml:space="preserve"> y por </w:t>
      </w:r>
      <w:r w:rsidR="00F444A5">
        <w:rPr>
          <w:rFonts w:ascii="AvantGarde Bk BT" w:hAnsi="AvantGarde Bk BT" w:cs="Arial"/>
          <w:sz w:val="24"/>
          <w:szCs w:val="24"/>
        </w:rPr>
        <w:t>Miguel Flores González</w:t>
      </w:r>
      <w:r w:rsidR="009F5904">
        <w:rPr>
          <w:rFonts w:ascii="AvantGarde Bk BT" w:hAnsi="AvantGarde Bk BT" w:cs="Arial"/>
          <w:sz w:val="24"/>
          <w:szCs w:val="24"/>
        </w:rPr>
        <w:t>, Titular</w:t>
      </w:r>
      <w:r w:rsidR="00193E6A">
        <w:rPr>
          <w:rFonts w:ascii="AvantGarde Bk BT" w:hAnsi="AvantGarde Bk BT" w:cs="Arial"/>
          <w:sz w:val="24"/>
          <w:szCs w:val="24"/>
        </w:rPr>
        <w:t xml:space="preserve"> </w:t>
      </w:r>
      <w:r w:rsidR="009F5904">
        <w:rPr>
          <w:rFonts w:ascii="AvantGarde Bk BT" w:hAnsi="AvantGarde Bk BT" w:cs="Arial"/>
          <w:sz w:val="24"/>
          <w:szCs w:val="24"/>
        </w:rPr>
        <w:t xml:space="preserve">de la </w:t>
      </w:r>
      <w:r w:rsidR="00193E6A">
        <w:rPr>
          <w:rFonts w:ascii="AvantGarde Bk BT" w:hAnsi="AvantGarde Bk BT" w:cs="Arial"/>
          <w:sz w:val="24"/>
          <w:szCs w:val="24"/>
        </w:rPr>
        <w:t xml:space="preserve">Unidad de </w:t>
      </w:r>
      <w:r w:rsidRPr="000028AA">
        <w:rPr>
          <w:rFonts w:ascii="AvantGarde Bk BT" w:hAnsi="AvantGarde Bk BT" w:cs="Arial"/>
          <w:sz w:val="24"/>
          <w:szCs w:val="24"/>
        </w:rPr>
        <w:t xml:space="preserve">Transparencia del sujeto obligado, recibido en este organismo el </w:t>
      </w:r>
      <w:r w:rsidR="00F444A5">
        <w:rPr>
          <w:rFonts w:ascii="AvantGarde Bk BT" w:hAnsi="AvantGarde Bk BT" w:cs="Arial"/>
          <w:sz w:val="24"/>
          <w:szCs w:val="24"/>
        </w:rPr>
        <w:t>25 veinticinco de marzo</w:t>
      </w:r>
      <w:r w:rsidR="009F5904">
        <w:rPr>
          <w:rFonts w:ascii="AvantGarde Bk BT" w:hAnsi="AvantGarde Bk BT" w:cs="Arial"/>
          <w:sz w:val="24"/>
          <w:szCs w:val="24"/>
        </w:rPr>
        <w:t xml:space="preserve"> </w:t>
      </w:r>
      <w:r w:rsidRPr="000028AA">
        <w:rPr>
          <w:rFonts w:ascii="AvantGarde Bk BT" w:hAnsi="AvantGarde Bk BT" w:cs="Arial"/>
          <w:sz w:val="24"/>
          <w:szCs w:val="24"/>
        </w:rPr>
        <w:t>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FCDB7DC" w:rsidR="00946007" w:rsidRPr="00F444A5" w:rsidRDefault="00946007" w:rsidP="00F444A5">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29C7C638" w14:textId="152C5B59" w:rsidR="00946007" w:rsidRPr="002B7561" w:rsidRDefault="00946007" w:rsidP="00F444A5">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01CD41B8" w:rsidR="00946007" w:rsidRPr="002B7561" w:rsidRDefault="00946007" w:rsidP="00F444A5">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3A1C7E68" w:rsidR="00946007" w:rsidRPr="002B7561" w:rsidRDefault="00946007" w:rsidP="00F444A5">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6CA5EDD" w14:textId="5FF2A6BD" w:rsidR="00946007" w:rsidRPr="00F444A5" w:rsidRDefault="00946007" w:rsidP="00F444A5">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54601338" w:rsidR="00946007" w:rsidRPr="00F444A5" w:rsidRDefault="00946007" w:rsidP="00F444A5">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5FF59FAA"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CC3873">
        <w:rPr>
          <w:rFonts w:ascii="AvantGarde Bk BT" w:hAnsi="AvantGarde Bk BT" w:cs="Arial"/>
          <w:sz w:val="24"/>
          <w:szCs w:val="24"/>
        </w:rPr>
        <w:t>13 trece de febrero</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1DE2646E"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CC3873">
        <w:rPr>
          <w:rFonts w:ascii="AvantGarde Bk BT" w:hAnsi="AvantGarde Bk BT" w:cs="Arial"/>
          <w:sz w:val="24"/>
          <w:szCs w:val="24"/>
        </w:rPr>
        <w:t>14 catorce de febrero</w:t>
      </w:r>
      <w:r w:rsidRPr="00E965A2">
        <w:rPr>
          <w:rFonts w:ascii="AvantGarde Bk BT" w:hAnsi="AvantGarde Bk BT" w:cs="Arial"/>
          <w:sz w:val="24"/>
          <w:szCs w:val="24"/>
        </w:rPr>
        <w:t xml:space="preserve"> al </w:t>
      </w:r>
      <w:r w:rsidR="00CC3873">
        <w:rPr>
          <w:rFonts w:ascii="AvantGarde Bk BT" w:hAnsi="AvantGarde Bk BT" w:cs="Arial"/>
          <w:sz w:val="24"/>
          <w:szCs w:val="24"/>
        </w:rPr>
        <w:t>06 seis de marzo</w:t>
      </w:r>
      <w:r w:rsidRPr="00E965A2">
        <w:rPr>
          <w:rFonts w:ascii="AvantGarde Bk BT" w:hAnsi="AvantGarde Bk BT" w:cs="Arial"/>
          <w:sz w:val="24"/>
          <w:szCs w:val="24"/>
        </w:rPr>
        <w:t xml:space="preserve"> de 2019 dos mil diecinueve.</w:t>
      </w:r>
    </w:p>
    <w:p w14:paraId="650490BE" w14:textId="7D9EAFB7"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los días </w:t>
      </w:r>
      <w:r w:rsidR="003E3CB6">
        <w:rPr>
          <w:rFonts w:ascii="AvantGarde Bk BT" w:hAnsi="AvantGarde Bk BT" w:cs="Arial"/>
          <w:sz w:val="24"/>
          <w:szCs w:val="24"/>
        </w:rPr>
        <w:t>16 dieciséis</w:t>
      </w:r>
      <w:r w:rsidR="00CC3873">
        <w:rPr>
          <w:rFonts w:ascii="AvantGarde Bk BT" w:hAnsi="AvantGarde Bk BT" w:cs="Arial"/>
          <w:sz w:val="24"/>
          <w:szCs w:val="24"/>
        </w:rPr>
        <w:t>, 17 diecisiete,</w:t>
      </w:r>
      <w:r w:rsidR="003E3CB6">
        <w:rPr>
          <w:rFonts w:ascii="AvantGarde Bk BT" w:hAnsi="AvantGarde Bk BT" w:cs="Arial"/>
          <w:sz w:val="24"/>
          <w:szCs w:val="24"/>
        </w:rPr>
        <w:t xml:space="preserve"> 23 veintitrés y 24 veinticuatro de </w:t>
      </w:r>
      <w:r w:rsidR="00CC3873">
        <w:rPr>
          <w:rFonts w:ascii="AvantGarde Bk BT" w:hAnsi="AvantGarde Bk BT" w:cs="Arial"/>
          <w:sz w:val="24"/>
          <w:szCs w:val="24"/>
        </w:rPr>
        <w:t>febrero; así como el 02 dos y 03 tres de marzo</w:t>
      </w:r>
      <w:r w:rsidRPr="00E965A2">
        <w:rPr>
          <w:rFonts w:ascii="AvantGarde Bk BT" w:hAnsi="AvantGarde Bk BT" w:cs="Arial"/>
          <w:sz w:val="24"/>
          <w:szCs w:val="24"/>
        </w:rPr>
        <w:t>, por ser inhábiles.</w:t>
      </w:r>
    </w:p>
    <w:p w14:paraId="3D35C7F2" w14:textId="4AF448C6" w:rsidR="00946007" w:rsidRPr="00CC3873" w:rsidRDefault="00946007" w:rsidP="00CC3873">
      <w:pPr>
        <w:pStyle w:val="corte4fondo"/>
        <w:tabs>
          <w:tab w:val="left" w:pos="567"/>
        </w:tabs>
        <w:spacing w:after="240"/>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CC3873">
        <w:rPr>
          <w:rFonts w:ascii="AvantGarde Bk BT" w:hAnsi="AvantGarde Bk BT" w:cs="Arial"/>
          <w:sz w:val="24"/>
          <w:szCs w:val="24"/>
        </w:rPr>
        <w:t>17 diecisiete de febrero</w:t>
      </w:r>
      <w:r w:rsidRPr="00770DB4">
        <w:rPr>
          <w:rFonts w:ascii="AvantGarde Bk BT" w:hAnsi="AvantGarde Bk BT" w:cs="Arial"/>
          <w:sz w:val="24"/>
          <w:szCs w:val="24"/>
        </w:rPr>
        <w:t xml:space="preserve"> </w:t>
      </w:r>
      <w:proofErr w:type="spellStart"/>
      <w:r w:rsidRPr="00770DB4">
        <w:rPr>
          <w:rFonts w:ascii="AvantGarde Bk BT" w:hAnsi="AvantGarde Bk BT" w:cs="Arial"/>
          <w:sz w:val="24"/>
          <w:szCs w:val="24"/>
        </w:rPr>
        <w:t>de</w:t>
      </w:r>
      <w:proofErr w:type="spellEnd"/>
      <w:r w:rsidRPr="00770DB4">
        <w:rPr>
          <w:rFonts w:ascii="AvantGarde Bk BT" w:hAnsi="AvantGarde Bk BT" w:cs="Arial"/>
          <w:sz w:val="24"/>
          <w:szCs w:val="24"/>
        </w:rPr>
        <w:t xml:space="preserve"> 2019 dos mil diecinueve el recurrente interpuso el citado medio de impugnación ante esta Comisión de Transparencia, resulta claro que es oportuna su presentación.</w:t>
      </w:r>
    </w:p>
    <w:p w14:paraId="00F2571E" w14:textId="22B90933" w:rsidR="00946007" w:rsidRPr="00CC3873" w:rsidRDefault="00946007" w:rsidP="00CC3873">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0100524E" w14:textId="571E6FB1" w:rsidR="00946007" w:rsidRPr="0023666E" w:rsidRDefault="00946007" w:rsidP="0023666E">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6140FC5" w14:textId="319FF7A9" w:rsidR="00946007" w:rsidRPr="00E0750B" w:rsidRDefault="00946007" w:rsidP="00AF5964">
      <w:pPr>
        <w:pStyle w:val="corte4fondo"/>
        <w:tabs>
          <w:tab w:val="left" w:pos="567"/>
        </w:tabs>
        <w:spacing w:after="240" w:line="276" w:lineRule="auto"/>
        <w:ind w:left="680" w:firstLine="0"/>
        <w:rPr>
          <w:rFonts w:ascii="AvantGarde Bk BT" w:hAnsi="AvantGarde Bk BT" w:cs="Arial"/>
          <w:sz w:val="24"/>
          <w:szCs w:val="24"/>
        </w:rPr>
      </w:pPr>
      <w:r w:rsidRPr="00E0750B">
        <w:rPr>
          <w:rFonts w:ascii="AvantGarde Bk BT" w:hAnsi="AvantGarde Bk BT" w:cs="Arial"/>
          <w:sz w:val="24"/>
          <w:szCs w:val="24"/>
        </w:rPr>
        <w:t>“</w:t>
      </w:r>
      <w:r w:rsidR="00CC3873" w:rsidRPr="00CC3873">
        <w:rPr>
          <w:rFonts w:ascii="AvantGarde Bk BT" w:hAnsi="AvantGarde Bk BT" w:cs="Arial"/>
          <w:i/>
          <w:sz w:val="22"/>
          <w:szCs w:val="22"/>
        </w:rPr>
        <w:t>SOLICITO DE FORMA ELECTRONICA LAS ACTAS DE CABILDO CELEBRADAS EN LOS MESES DE OCTUBRE, NOVIEMBRE Y DICIEMBRE 2018 Y ENERO 2019</w:t>
      </w:r>
      <w:r w:rsidR="003E3CB6" w:rsidRPr="003E3CB6">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w:t>
      </w:r>
      <w:r w:rsidR="00CC3873">
        <w:rPr>
          <w:rFonts w:ascii="AvantGarde Bk BT" w:hAnsi="AvantGarde Bk BT" w:cs="Arial"/>
          <w:sz w:val="24"/>
          <w:szCs w:val="24"/>
        </w:rPr>
        <w:t xml:space="preserve">02 </w:t>
      </w:r>
      <w:r w:rsidRPr="00E0750B">
        <w:rPr>
          <w:rFonts w:ascii="AvantGarde Bk BT" w:hAnsi="AvantGarde Bk BT" w:cs="Arial"/>
          <w:sz w:val="24"/>
          <w:szCs w:val="24"/>
        </w:rPr>
        <w:t>de autos).</w:t>
      </w:r>
    </w:p>
    <w:p w14:paraId="48F358FB" w14:textId="67D76FBB" w:rsidR="00946007" w:rsidRPr="00E0750B" w:rsidRDefault="00946007" w:rsidP="0023666E">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20D3F1B3" w14:textId="4A24CC95" w:rsidR="00713979" w:rsidRPr="00E0750B" w:rsidRDefault="00946007" w:rsidP="00AF5964">
      <w:pPr>
        <w:pStyle w:val="corte4fondo"/>
        <w:tabs>
          <w:tab w:val="left" w:pos="567"/>
        </w:tabs>
        <w:spacing w:after="240" w:line="276" w:lineRule="auto"/>
        <w:ind w:left="680"/>
        <w:rPr>
          <w:rFonts w:ascii="AvantGarde Bk BT" w:hAnsi="AvantGarde Bk BT" w:cs="Arial"/>
          <w:sz w:val="24"/>
          <w:szCs w:val="24"/>
        </w:rPr>
      </w:pPr>
      <w:r w:rsidRPr="00E0750B">
        <w:rPr>
          <w:rFonts w:ascii="AvantGarde Bk BT" w:hAnsi="AvantGarde Bk BT" w:cs="Arial"/>
          <w:sz w:val="24"/>
          <w:szCs w:val="24"/>
        </w:rPr>
        <w:t>“</w:t>
      </w:r>
      <w:r w:rsidR="00CC3873" w:rsidRPr="00CC3873">
        <w:rPr>
          <w:rFonts w:ascii="AvantGarde Bk BT" w:hAnsi="AvantGarde Bk BT" w:cs="Arial"/>
          <w:i/>
          <w:iCs/>
          <w:sz w:val="22"/>
          <w:szCs w:val="22"/>
        </w:rPr>
        <w:t>SE LE ENVIA OFICIO DE RESPUESTA Y LA INFORMACION SOLICITADA SERA ENVIADA A SU CORREO ELECTRONICO " ofpte@hotmail.com " DEBIDO A QUE LOS ARCHIVOS ESTAN MUY PESADOS Y NO SE PUDIERON CARGAR EN ESTA PLATAFORMA</w:t>
      </w:r>
      <w:r w:rsidRPr="00E0750B">
        <w:rPr>
          <w:rFonts w:ascii="AvantGarde Bk BT" w:hAnsi="AvantGarde Bk BT" w:cs="Arial"/>
          <w:sz w:val="24"/>
          <w:szCs w:val="24"/>
        </w:rPr>
        <w:t xml:space="preserve">” </w:t>
      </w:r>
      <w:r w:rsidRPr="00E0750B">
        <w:rPr>
          <w:rFonts w:ascii="AvantGarde Bk BT" w:hAnsi="AvantGarde Bk BT" w:cs="Arial"/>
          <w:b/>
          <w:bCs/>
          <w:sz w:val="24"/>
          <w:szCs w:val="24"/>
        </w:rPr>
        <w:t>SIC</w:t>
      </w:r>
      <w:r w:rsidRPr="00E0750B">
        <w:rPr>
          <w:rFonts w:ascii="AvantGarde Bk BT" w:hAnsi="AvantGarde Bk BT" w:cs="Arial"/>
          <w:sz w:val="24"/>
          <w:szCs w:val="24"/>
        </w:rPr>
        <w:t>. (Visible a foja 01 de autos).</w:t>
      </w:r>
    </w:p>
    <w:p w14:paraId="505F0041" w14:textId="66594A97" w:rsidR="00946007" w:rsidRPr="00E0750B" w:rsidRDefault="00946007" w:rsidP="0023666E">
      <w:pPr>
        <w:pStyle w:val="corte4fondo"/>
        <w:tabs>
          <w:tab w:val="left" w:pos="567"/>
        </w:tabs>
        <w:spacing w:after="240"/>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0A6B0DC8" w14:textId="1750C25D" w:rsidR="00946007" w:rsidRPr="00E0750B" w:rsidRDefault="00946007" w:rsidP="00AF5964">
      <w:pPr>
        <w:pStyle w:val="corte4fondo"/>
        <w:tabs>
          <w:tab w:val="left" w:pos="567"/>
        </w:tabs>
        <w:spacing w:after="240" w:line="276" w:lineRule="auto"/>
        <w:ind w:left="680" w:firstLine="0"/>
        <w:rPr>
          <w:rFonts w:ascii="AvantGarde Bk BT" w:hAnsi="AvantGarde Bk BT" w:cs="Arial"/>
          <w:sz w:val="24"/>
          <w:szCs w:val="24"/>
        </w:rPr>
      </w:pPr>
      <w:r w:rsidRPr="00E0750B">
        <w:rPr>
          <w:rFonts w:ascii="AvantGarde Bk BT" w:hAnsi="AvantGarde Bk BT" w:cs="Arial"/>
          <w:sz w:val="24"/>
          <w:szCs w:val="24"/>
        </w:rPr>
        <w:t>“</w:t>
      </w:r>
      <w:r w:rsidR="00CC3873" w:rsidRPr="00CC3873">
        <w:rPr>
          <w:rFonts w:ascii="AvantGarde Bk BT" w:hAnsi="AvantGarde Bk BT" w:cs="Arial"/>
          <w:i/>
          <w:sz w:val="22"/>
          <w:szCs w:val="22"/>
        </w:rPr>
        <w:t>SE ME REMITE RESPUESTA SEÑALANDO QUE LAS ACTAS DE CABILDO SE REMITIERON A MI CORREO ELECTRONICA Y SI ES CIERTO, PERO ES UN ARCHIVO PROTEGIDO AL QUE NO SE PUEDE ACCESAR, SE LES CONTESTO SEÑALANDO QUE NO ABRE Y ME MANDARAN RESPUESTA EN VARIOS CORREOS O DE LA FORMA TRADICIONAL, HAY MALA FÉ EN EL OBLIGADO PARA LA NO ENTREGA DE LA INFORMACIÓN. REITERO EL CORREO QUE REMITEN NO ABR</w:t>
      </w:r>
      <w:r w:rsidR="00CC3873">
        <w:rPr>
          <w:rFonts w:ascii="AvantGarde Bk BT" w:hAnsi="AvantGarde Bk BT" w:cs="Arial"/>
          <w:i/>
          <w:sz w:val="22"/>
          <w:szCs w:val="22"/>
        </w:rPr>
        <w:t>E LOS ARCHIVOS. RESPUESTA FALSA</w:t>
      </w:r>
      <w:r w:rsidR="00304A77"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01 de autos).</w:t>
      </w:r>
    </w:p>
    <w:p w14:paraId="660C9679" w14:textId="4EB5B122" w:rsidR="0023666E" w:rsidRDefault="0023666E" w:rsidP="0023666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otro lado, el sujeto obligado al momento de rendir el informe ordenado en el auto de admisión del presente recurso de revisión reiteró su respuesta y manifestó que </w:t>
      </w:r>
      <w:r w:rsidR="001A0FA7">
        <w:rPr>
          <w:rFonts w:ascii="AvantGarde Bk BT" w:hAnsi="AvantGarde Bk BT" w:cs="Arial"/>
          <w:sz w:val="24"/>
          <w:szCs w:val="24"/>
        </w:rPr>
        <w:t>la solicitud había sido atendida en su totalidad</w:t>
      </w:r>
      <w:r>
        <w:rPr>
          <w:rFonts w:ascii="AvantGarde Bk BT" w:hAnsi="AvantGarde Bk BT" w:cs="Arial"/>
          <w:sz w:val="24"/>
          <w:szCs w:val="24"/>
        </w:rPr>
        <w:t>.</w:t>
      </w:r>
    </w:p>
    <w:p w14:paraId="173AEB61" w14:textId="77777777" w:rsidR="001A0FA7" w:rsidRDefault="00FF4AFB" w:rsidP="00FF4AF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Pues bien, de </w:t>
      </w:r>
      <w:r w:rsidR="001A0FA7">
        <w:rPr>
          <w:rFonts w:ascii="AvantGarde Bk BT" w:hAnsi="AvantGarde Bk BT" w:cs="Arial"/>
          <w:sz w:val="24"/>
          <w:szCs w:val="24"/>
        </w:rPr>
        <w:t>las capturas de pantalla de los correos electrónicos que el sujeto obligado anexó a su informe,</w:t>
      </w:r>
      <w:r>
        <w:rPr>
          <w:rFonts w:ascii="AvantGarde Bk BT" w:hAnsi="AvantGarde Bk BT" w:cs="Arial"/>
          <w:sz w:val="24"/>
          <w:szCs w:val="24"/>
        </w:rPr>
        <w:t xml:space="preserve"> se</w:t>
      </w:r>
      <w:r w:rsidR="001A0FA7">
        <w:rPr>
          <w:rFonts w:ascii="AvantGarde Bk BT" w:hAnsi="AvantGarde Bk BT" w:cs="Arial"/>
          <w:sz w:val="24"/>
          <w:szCs w:val="24"/>
        </w:rPr>
        <w:t xml:space="preserve"> puede advertir que la información enviada se encuentra incompleta, pues en el informe que rindió el sujeto obligado manifestó que la información constaba de 13 trece actas, mientras que en las capturas de pantalla únicamente se aprecian 11 once archivos.</w:t>
      </w:r>
    </w:p>
    <w:p w14:paraId="4D8D2689" w14:textId="7600CF39" w:rsidR="00FF4AFB" w:rsidRDefault="001A0FA7" w:rsidP="00FF4AF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lo anterior se puede colegir</w:t>
      </w:r>
      <w:r w:rsidR="00FF4AFB">
        <w:rPr>
          <w:rFonts w:ascii="AvantGarde Bk BT" w:hAnsi="AvantGarde Bk BT" w:cs="Arial"/>
          <w:sz w:val="24"/>
          <w:szCs w:val="24"/>
        </w:rPr>
        <w:t xml:space="preserve"> que</w:t>
      </w:r>
      <w:r w:rsidR="00FF4AFB" w:rsidRPr="00FF4AFB">
        <w:rPr>
          <w:rFonts w:ascii="AvantGarde Bk BT" w:hAnsi="AvantGarde Bk BT" w:cs="Arial"/>
          <w:sz w:val="24"/>
          <w:szCs w:val="24"/>
        </w:rPr>
        <w:t xml:space="preserve"> los agravios vertidos por el recurrente son operantes</w:t>
      </w:r>
      <w:r w:rsidR="00B50502">
        <w:rPr>
          <w:rFonts w:ascii="AvantGarde Bk BT" w:hAnsi="AvantGarde Bk BT" w:cs="Arial"/>
          <w:sz w:val="24"/>
          <w:szCs w:val="24"/>
        </w:rPr>
        <w:t>, por las siguientes razones:</w:t>
      </w:r>
    </w:p>
    <w:p w14:paraId="524A6A93" w14:textId="2F886C01" w:rsidR="00FF4AFB" w:rsidRPr="00B30212" w:rsidRDefault="00B50502" w:rsidP="00FF4AF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En primer término</w:t>
      </w:r>
      <w:r w:rsidR="00FF4AFB">
        <w:rPr>
          <w:rFonts w:ascii="AvantGarde Bk BT" w:hAnsi="AvantGarde Bk BT" w:cs="Arial"/>
          <w:sz w:val="24"/>
          <w:szCs w:val="24"/>
        </w:rPr>
        <w:t xml:space="preserve"> es necesario puntualizar que c</w:t>
      </w:r>
      <w:r w:rsidR="00FF4AFB" w:rsidRPr="00B30212">
        <w:rPr>
          <w:rFonts w:ascii="AvantGarde Bk BT" w:hAnsi="AvantGarde Bk BT" w:cs="Arial"/>
          <w:sz w:val="24"/>
          <w:szCs w:val="24"/>
        </w:rPr>
        <w:t>onforme a la ley de transparencia los sujetos obligados se encuentran constreñidos a proporcionar la información que se encuentra en su posesión, lo anterior para efecto de permitir que el derecho de acceso a la información se encuentre satisfecho.</w:t>
      </w:r>
      <w:r w:rsidR="00FF4AFB" w:rsidRPr="00B30212">
        <w:rPr>
          <w:rFonts w:ascii="AvantGarde Bk BT" w:hAnsi="AvantGarde Bk BT" w:cs="Arial"/>
          <w:sz w:val="24"/>
          <w:szCs w:val="24"/>
          <w:vertAlign w:val="superscript"/>
        </w:rPr>
        <w:footnoteReference w:id="1"/>
      </w:r>
    </w:p>
    <w:p w14:paraId="0BE76A96" w14:textId="1558EDAD" w:rsidR="00FF4AFB" w:rsidRDefault="00FF4AFB" w:rsidP="00FF4AFB">
      <w:pPr>
        <w:pStyle w:val="corte4fondo"/>
        <w:spacing w:after="240"/>
        <w:rPr>
          <w:rFonts w:ascii="AvantGarde Bk BT" w:hAnsi="AvantGarde Bk BT" w:cs="Arial"/>
          <w:sz w:val="24"/>
          <w:szCs w:val="24"/>
        </w:rPr>
      </w:pPr>
      <w:r w:rsidRPr="00B30212">
        <w:rPr>
          <w:rFonts w:ascii="AvantGarde Bk BT" w:hAnsi="AvantGarde Bk BT" w:cs="Arial"/>
          <w:sz w:val="24"/>
          <w:szCs w:val="24"/>
        </w:rPr>
        <w:t xml:space="preserve">Lo anterior aunado a que los funcionarios públicos están obligados a documentar todo acto que devenga de sus funciones y/o atribuciones </w:t>
      </w:r>
      <w:proofErr w:type="gramStart"/>
      <w:r w:rsidRPr="00B30212">
        <w:rPr>
          <w:rFonts w:ascii="AvantGarde Bk BT" w:hAnsi="AvantGarde Bk BT" w:cs="Arial"/>
          <w:sz w:val="24"/>
          <w:szCs w:val="24"/>
        </w:rPr>
        <w:t>y</w:t>
      </w:r>
      <w:proofErr w:type="gramEnd"/>
      <w:r w:rsidRPr="00B30212">
        <w:rPr>
          <w:rFonts w:ascii="AvantGarde Bk BT" w:hAnsi="AvantGarde Bk BT" w:cs="Arial"/>
          <w:sz w:val="24"/>
          <w:szCs w:val="24"/>
        </w:rPr>
        <w:t xml:space="preserve"> por ende, la información sol</w:t>
      </w:r>
      <w:r>
        <w:rPr>
          <w:rFonts w:ascii="AvantGarde Bk BT" w:hAnsi="AvantGarde Bk BT" w:cs="Arial"/>
          <w:sz w:val="24"/>
          <w:szCs w:val="24"/>
        </w:rPr>
        <w:t>icitada debe</w:t>
      </w:r>
      <w:r w:rsidRPr="00B30212">
        <w:rPr>
          <w:rFonts w:ascii="AvantGarde Bk BT" w:hAnsi="AvantGarde Bk BT" w:cs="Arial"/>
          <w:sz w:val="24"/>
          <w:szCs w:val="24"/>
        </w:rPr>
        <w:t xml:space="preserve"> ser entregada al recurrente en la forma en que ésta fue generada.</w:t>
      </w:r>
      <w:r w:rsidRPr="00B30212">
        <w:rPr>
          <w:rFonts w:ascii="AvantGarde Bk BT" w:hAnsi="AvantGarde Bk BT" w:cs="Arial"/>
          <w:sz w:val="24"/>
          <w:szCs w:val="24"/>
          <w:vertAlign w:val="superscript"/>
        </w:rPr>
        <w:t xml:space="preserve"> </w:t>
      </w:r>
      <w:r w:rsidRPr="00B30212">
        <w:rPr>
          <w:rFonts w:ascii="AvantGarde Bk BT" w:hAnsi="AvantGarde Bk BT" w:cs="Arial"/>
          <w:sz w:val="24"/>
          <w:szCs w:val="24"/>
          <w:vertAlign w:val="superscript"/>
        </w:rPr>
        <w:footnoteReference w:id="2"/>
      </w:r>
    </w:p>
    <w:p w14:paraId="6B51E2D5" w14:textId="27ED7185" w:rsidR="00FF4AFB" w:rsidRDefault="00FF4AFB" w:rsidP="00FF4AF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menester no perder de vista que los sujetos obligados deberán de privilegiar la entrega de la información que ya obre en medios electrónicos o en base de datos, esto de conformidad con la ley de la materia</w:t>
      </w:r>
      <w:r>
        <w:rPr>
          <w:rStyle w:val="Refdenotaalpie"/>
          <w:rFonts w:ascii="AvantGarde Bk BT" w:hAnsi="AvantGarde Bk BT" w:cs="Arial"/>
          <w:sz w:val="24"/>
          <w:szCs w:val="24"/>
        </w:rPr>
        <w:footnoteReference w:id="3"/>
      </w:r>
      <w:r>
        <w:rPr>
          <w:rFonts w:ascii="AvantGarde Bk BT" w:hAnsi="AvantGarde Bk BT" w:cs="Arial"/>
          <w:sz w:val="24"/>
          <w:szCs w:val="24"/>
        </w:rPr>
        <w:t>.</w:t>
      </w:r>
    </w:p>
    <w:p w14:paraId="5B28CA5D" w14:textId="5C95DDEC" w:rsidR="003C2BCD" w:rsidRDefault="003C2BCD" w:rsidP="00FF4AF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Así, en el caso concreto y en lo que respecta a </w:t>
      </w:r>
      <w:r w:rsidR="00B50502">
        <w:rPr>
          <w:rFonts w:ascii="AvantGarde Bk BT" w:hAnsi="AvantGarde Bk BT" w:cs="Arial"/>
          <w:sz w:val="24"/>
          <w:szCs w:val="24"/>
        </w:rPr>
        <w:t>las actas del cabildo, resulta claro que dicha información consiste en información pública de oficio que debe publicar el sujeto obligado conforme al artículo</w:t>
      </w:r>
      <w:r w:rsidR="00605F78">
        <w:rPr>
          <w:rFonts w:ascii="AvantGarde Bk BT" w:hAnsi="AvantGarde Bk BT" w:cs="Arial"/>
          <w:color w:val="000000" w:themeColor="text1"/>
          <w:sz w:val="24"/>
          <w:szCs w:val="24"/>
        </w:rPr>
        <w:t xml:space="preserve"> 85, fracción II, c) de la Ley de la materia</w:t>
      </w:r>
      <w:r w:rsidR="00605F78">
        <w:rPr>
          <w:rStyle w:val="Refdenotaalpie"/>
          <w:rFonts w:ascii="AvantGarde Bk BT" w:hAnsi="AvantGarde Bk BT" w:cs="Arial"/>
          <w:color w:val="000000" w:themeColor="text1"/>
          <w:sz w:val="24"/>
          <w:szCs w:val="24"/>
        </w:rPr>
        <w:footnoteReference w:id="4"/>
      </w:r>
      <w:r w:rsidR="0074295E">
        <w:rPr>
          <w:rFonts w:ascii="AvantGarde Bk BT" w:hAnsi="AvantGarde Bk BT" w:cs="Arial"/>
          <w:sz w:val="24"/>
          <w:szCs w:val="24"/>
        </w:rPr>
        <w:t>.</w:t>
      </w:r>
    </w:p>
    <w:p w14:paraId="7C6F884A" w14:textId="18022B02" w:rsidR="00605F78" w:rsidRDefault="00605F78" w:rsidP="00FF4AF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Así las cosas, y de una interpretación sistemática de los artículos 13 y 3, fracción X de la ley de la materia, en la generación de la información </w:t>
      </w:r>
      <w:r w:rsidRPr="00605F78">
        <w:rPr>
          <w:rFonts w:ascii="AvantGarde Bk BT" w:hAnsi="AvantGarde Bk BT" w:cs="Arial"/>
          <w:sz w:val="24"/>
          <w:szCs w:val="24"/>
        </w:rPr>
        <w:t>por parte de los sujetos obligados, estos deben garantizar que la información sea accesible, confiable, verificable, veraz, oportuna y atender las necesidades del derecho de acceso a la información de toda persona</w:t>
      </w:r>
      <w:r>
        <w:rPr>
          <w:rFonts w:ascii="AvantGarde Bk BT" w:hAnsi="AvantGarde Bk BT" w:cs="Arial"/>
          <w:sz w:val="24"/>
          <w:szCs w:val="24"/>
        </w:rPr>
        <w:t xml:space="preserve">; de tal suerte que una de las formas para garantizar la accesibilidad de los peticionarios es a través de la entrega de la información en datos abiertos, lo que implica que </w:t>
      </w:r>
      <w:r w:rsidR="00894CB8">
        <w:rPr>
          <w:rFonts w:ascii="AvantGarde Bk BT" w:hAnsi="AvantGarde Bk BT" w:cs="Arial"/>
          <w:sz w:val="24"/>
          <w:szCs w:val="24"/>
        </w:rPr>
        <w:t xml:space="preserve">pueden </w:t>
      </w:r>
      <w:r w:rsidR="00894CB8" w:rsidRPr="00894CB8">
        <w:rPr>
          <w:rFonts w:ascii="AvantGarde Bk BT" w:hAnsi="AvantGarde Bk BT" w:cs="Arial"/>
          <w:sz w:val="24"/>
          <w:szCs w:val="24"/>
        </w:rPr>
        <w:t>ser usados, reutilizados y redistribuidos por cualquier persona</w:t>
      </w:r>
      <w:r w:rsidR="00894CB8">
        <w:rPr>
          <w:rStyle w:val="Refdenotaalpie"/>
          <w:rFonts w:ascii="AvantGarde Bk BT" w:hAnsi="AvantGarde Bk BT" w:cs="Arial"/>
          <w:sz w:val="24"/>
          <w:szCs w:val="24"/>
        </w:rPr>
        <w:footnoteReference w:id="5"/>
      </w:r>
      <w:r w:rsidR="00894CB8">
        <w:rPr>
          <w:rFonts w:ascii="AvantGarde Bk BT" w:hAnsi="AvantGarde Bk BT" w:cs="Arial"/>
          <w:sz w:val="24"/>
          <w:szCs w:val="24"/>
        </w:rPr>
        <w:t>.</w:t>
      </w:r>
    </w:p>
    <w:p w14:paraId="74876094" w14:textId="706B4191" w:rsidR="00894CB8" w:rsidRDefault="00894CB8" w:rsidP="004E093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sz w:val="24"/>
          <w:szCs w:val="24"/>
        </w:rPr>
        <w:t xml:space="preserve">Bajo esta perspectiva, resulta claro que el sujeto obligado debió acompañar a su respuesta los documentos escaneados con firmas, así como los formatos alojados en la Plataforma Estatal de Transparencia relativos al artículo </w:t>
      </w:r>
      <w:r>
        <w:rPr>
          <w:rFonts w:ascii="AvantGarde Bk BT" w:hAnsi="AvantGarde Bk BT" w:cs="Arial"/>
          <w:color w:val="000000" w:themeColor="text1"/>
          <w:sz w:val="24"/>
          <w:szCs w:val="24"/>
        </w:rPr>
        <w:t>85, fracción II, c) de la Ley de la materia</w:t>
      </w:r>
      <w:r>
        <w:rPr>
          <w:rFonts w:ascii="AvantGarde Bk BT" w:hAnsi="AvantGarde Bk BT" w:cs="Arial"/>
          <w:color w:val="000000" w:themeColor="text1"/>
          <w:sz w:val="24"/>
          <w:szCs w:val="24"/>
        </w:rPr>
        <w:t xml:space="preserve"> de los meses octubre, noviembre, diciembre de 2018 dos mil dieciocho, así como el de enero 2019 dos mil diecinueve.</w:t>
      </w:r>
    </w:p>
    <w:p w14:paraId="7BCF44E1" w14:textId="77777777" w:rsidR="00766778" w:rsidRDefault="00894CB8" w:rsidP="004E093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cobra importancia en razón de que la información debe ser generada en formatos abiertos </w:t>
      </w:r>
      <w:r w:rsidR="00766778">
        <w:rPr>
          <w:rFonts w:ascii="AvantGarde Bk BT" w:hAnsi="AvantGarde Bk BT" w:cs="Arial"/>
          <w:color w:val="000000" w:themeColor="text1"/>
          <w:sz w:val="24"/>
          <w:szCs w:val="24"/>
        </w:rPr>
        <w:t xml:space="preserve">que permitan al peticionario tener un acceso efectivo de la información y a su vez tener la certeza de que la información que se publica en </w:t>
      </w:r>
      <w:r w:rsidR="00766778">
        <w:rPr>
          <w:rFonts w:ascii="AvantGarde Bk BT" w:hAnsi="AvantGarde Bk BT" w:cs="Arial"/>
          <w:color w:val="000000" w:themeColor="text1"/>
          <w:sz w:val="24"/>
          <w:szCs w:val="24"/>
        </w:rPr>
        <w:lastRenderedPageBreak/>
        <w:t>la Plataforma Estatal de Transparencia es la misma que fue generada por el sujeto obligado, pues los documentos públicos cuentan con diversos elementos que permiten dar convicción de su autenticidad, tales como el nombre del funcionario que lo elaboró, fecha, firma y sellos.</w:t>
      </w:r>
    </w:p>
    <w:p w14:paraId="0F1E7E25" w14:textId="4D5759F8" w:rsidR="00766778" w:rsidRDefault="00766778" w:rsidP="004E093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Sirve de fundamento a lo anterior, los siguientes criterios emitidos por los tribunales de la federación:</w:t>
      </w:r>
    </w:p>
    <w:p w14:paraId="512BA7DD" w14:textId="77777777" w:rsidR="00766778" w:rsidRPr="00766778" w:rsidRDefault="00766778" w:rsidP="00AF5964">
      <w:pPr>
        <w:tabs>
          <w:tab w:val="left" w:pos="567"/>
        </w:tabs>
        <w:spacing w:after="0"/>
        <w:ind w:firstLine="680"/>
        <w:jc w:val="both"/>
        <w:rPr>
          <w:rFonts w:ascii="AvantGarde Bk BT" w:eastAsia="Times New Roman" w:hAnsi="AvantGarde Bk BT" w:cs="Arial"/>
          <w:i/>
          <w:szCs w:val="24"/>
        </w:rPr>
      </w:pPr>
      <w:r w:rsidRPr="00766778">
        <w:rPr>
          <w:rFonts w:ascii="AvantGarde Bk BT" w:eastAsia="Times New Roman" w:hAnsi="AvantGarde Bk BT" w:cs="Arial"/>
          <w:i/>
          <w:sz w:val="24"/>
          <w:szCs w:val="24"/>
        </w:rPr>
        <w:t>“</w:t>
      </w:r>
      <w:r w:rsidRPr="00766778">
        <w:rPr>
          <w:rFonts w:ascii="AvantGarde Bk BT" w:eastAsia="Times New Roman" w:hAnsi="AvantGarde Bk BT" w:cs="Arial"/>
          <w:i/>
          <w:szCs w:val="24"/>
        </w:rPr>
        <w:t>Tesis: XX.53 K, Semanario Judicial de la Federación y su Gaceta, Novena Época, Registro: 203769, Tribunales Colegiados de Circuito, Tomo II, noviembre de 1995, Pág. 527, Tesis Aislada(Común).</w:t>
      </w:r>
    </w:p>
    <w:p w14:paraId="12D3BB1B" w14:textId="77777777" w:rsidR="00766778" w:rsidRPr="00766778" w:rsidRDefault="00766778" w:rsidP="00AF5964">
      <w:pPr>
        <w:tabs>
          <w:tab w:val="left" w:pos="567"/>
        </w:tabs>
        <w:spacing w:after="0"/>
        <w:ind w:firstLine="680"/>
        <w:jc w:val="both"/>
        <w:rPr>
          <w:rFonts w:ascii="AvantGarde Bk BT" w:eastAsia="Times New Roman" w:hAnsi="AvantGarde Bk BT" w:cs="Arial"/>
          <w:i/>
          <w:szCs w:val="24"/>
        </w:rPr>
      </w:pPr>
      <w:r w:rsidRPr="00766778">
        <w:rPr>
          <w:rFonts w:ascii="AvantGarde Bk BT" w:eastAsia="Times New Roman" w:hAnsi="AvantGarde Bk BT" w:cs="Arial"/>
          <w:b/>
          <w:i/>
          <w:szCs w:val="24"/>
        </w:rPr>
        <w:t>DOCUMENTO PUBLICO, ES IMPRESCINDIBLE QUE ESTE CON FIRMA AUTOGRAFA DEL FUNCIONARIO PUBLICO EN EJERCICIO PARA QUE SEA AUTENTICO EL.-</w:t>
      </w:r>
      <w:r w:rsidRPr="00766778">
        <w:rPr>
          <w:rFonts w:ascii="AvantGarde Bk BT" w:eastAsia="Times New Roman" w:hAnsi="AvantGarde Bk BT" w:cs="Arial"/>
          <w:i/>
          <w:szCs w:val="24"/>
        </w:rPr>
        <w:t xml:space="preserve"> </w:t>
      </w:r>
      <w:r w:rsidRPr="00766778">
        <w:rPr>
          <w:rFonts w:ascii="AvantGarde Bk BT" w:eastAsia="Times New Roman" w:hAnsi="AvantGarde Bk BT" w:cs="Arial"/>
          <w:i/>
          <w:szCs w:val="24"/>
          <w:u w:val="single"/>
        </w:rPr>
        <w:t>En un documento público es imprescindible el uso de la firma autógrafa para que ésta sea atribuible con certeza a su signatario</w:t>
      </w:r>
      <w:r w:rsidRPr="00766778">
        <w:rPr>
          <w:rFonts w:ascii="AvantGarde Bk BT" w:eastAsia="Times New Roman" w:hAnsi="AvantGarde Bk BT" w:cs="Arial"/>
          <w:i/>
          <w:szCs w:val="24"/>
        </w:rPr>
        <w:t>, en los términos del artículo 129 del Código Federal de Procedimientos Civiles de aplicación supletoria a la Ley de Amparo, es decir, el documento en comento, debe ser expedido por un funcionario público en ejercicio de sus funciones, cuya autenticidad "se demuestra por la existencia regular sobre los documentos, de los sellos, firmas y otros signos exteriores, que en su caso prevengan las leyes." Por tanto, carecen de autenticidad los documentos autorizados con una firma o rúbrica con facsímil del funcionario público en ejercicio.</w:t>
      </w:r>
    </w:p>
    <w:p w14:paraId="5FBDAAE9" w14:textId="77777777" w:rsidR="00766778" w:rsidRPr="00766778" w:rsidRDefault="00766778" w:rsidP="00AF5964">
      <w:pPr>
        <w:tabs>
          <w:tab w:val="left" w:pos="567"/>
        </w:tabs>
        <w:spacing w:after="0"/>
        <w:ind w:firstLine="680"/>
        <w:jc w:val="both"/>
        <w:rPr>
          <w:rFonts w:ascii="AvantGarde Bk BT" w:eastAsia="Times New Roman" w:hAnsi="AvantGarde Bk BT" w:cs="Arial"/>
          <w:i/>
          <w:szCs w:val="24"/>
        </w:rPr>
      </w:pPr>
      <w:r w:rsidRPr="00766778">
        <w:rPr>
          <w:rFonts w:ascii="AvantGarde Bk BT" w:eastAsia="Times New Roman" w:hAnsi="AvantGarde Bk BT" w:cs="Arial"/>
          <w:i/>
          <w:szCs w:val="24"/>
        </w:rPr>
        <w:t>TRIBUNAL COLEGIADO DEL VIGESIMO CIRCUITO.</w:t>
      </w:r>
    </w:p>
    <w:p w14:paraId="0A529E04" w14:textId="77777777" w:rsidR="00766778" w:rsidRPr="00766778" w:rsidRDefault="00766778" w:rsidP="00AF5964">
      <w:pPr>
        <w:tabs>
          <w:tab w:val="left" w:pos="567"/>
        </w:tabs>
        <w:spacing w:after="240"/>
        <w:ind w:firstLine="680"/>
        <w:jc w:val="both"/>
        <w:rPr>
          <w:rFonts w:ascii="AvantGarde Bk BT" w:eastAsia="Times New Roman" w:hAnsi="AvantGarde Bk BT" w:cs="Arial"/>
          <w:sz w:val="24"/>
          <w:szCs w:val="24"/>
        </w:rPr>
      </w:pPr>
      <w:r w:rsidRPr="00766778">
        <w:rPr>
          <w:rFonts w:ascii="AvantGarde Bk BT" w:eastAsia="Times New Roman" w:hAnsi="AvantGarde Bk BT" w:cs="Arial"/>
          <w:i/>
          <w:szCs w:val="24"/>
        </w:rPr>
        <w:t xml:space="preserve">Amparo en revisión 414/95. Adolfo Martínez Salinas. 12 de octubre de 1995. Unanimidad de votos. Ponente: Francisco A. Velasco Santiago. Secretario: José Gabriel Clemente Rodríguez.” </w:t>
      </w:r>
      <w:r w:rsidRPr="00766778">
        <w:rPr>
          <w:rFonts w:ascii="AvantGarde Bk BT" w:eastAsia="Times New Roman" w:hAnsi="AvantGarde Bk BT" w:cs="Arial"/>
          <w:sz w:val="24"/>
          <w:szCs w:val="24"/>
        </w:rPr>
        <w:t>(Énfasis añadido de manera intencional.)</w:t>
      </w:r>
    </w:p>
    <w:p w14:paraId="2B2357A9" w14:textId="1E84AC1D" w:rsidR="00766778" w:rsidRDefault="00766778" w:rsidP="00AF5964">
      <w:pPr>
        <w:pStyle w:val="corte4fondo"/>
        <w:tabs>
          <w:tab w:val="left" w:pos="567"/>
        </w:tabs>
        <w:spacing w:after="240" w:line="276" w:lineRule="auto"/>
        <w:rPr>
          <w:rFonts w:ascii="AvantGarde Bk BT" w:hAnsi="AvantGarde Bk BT" w:cs="Arial"/>
          <w:color w:val="000000" w:themeColor="text1"/>
          <w:sz w:val="24"/>
          <w:szCs w:val="24"/>
        </w:rPr>
      </w:pPr>
      <w:r w:rsidRPr="00766778">
        <w:rPr>
          <w:rFonts w:ascii="AvantGarde Bk BT" w:hAnsi="AvantGarde Bk BT" w:cs="Arial"/>
          <w:i/>
          <w:sz w:val="22"/>
          <w:szCs w:val="24"/>
        </w:rPr>
        <w:t xml:space="preserve">“Época: Novena Época, Registro: 180023, Instancia: Tribunales Colegiados de Circuito, Tipo de Tesis: Aislada, Fuente: Semanario Judicial de la Federación y su Gaceta, Tomo XX, </w:t>
      </w:r>
      <w:proofErr w:type="gramStart"/>
      <w:r w:rsidRPr="00766778">
        <w:rPr>
          <w:rFonts w:ascii="AvantGarde Bk BT" w:hAnsi="AvantGarde Bk BT" w:cs="Arial"/>
          <w:i/>
          <w:sz w:val="22"/>
          <w:szCs w:val="24"/>
        </w:rPr>
        <w:t>Diciembre</w:t>
      </w:r>
      <w:proofErr w:type="gramEnd"/>
      <w:r w:rsidRPr="00766778">
        <w:rPr>
          <w:rFonts w:ascii="AvantGarde Bk BT" w:hAnsi="AvantGarde Bk BT" w:cs="Arial"/>
          <w:i/>
          <w:sz w:val="22"/>
          <w:szCs w:val="24"/>
        </w:rPr>
        <w:t xml:space="preserve"> de 2004, Materia(s): Administrativa, Tesis: I.15o.A.18 A, Página: 1277.  </w:t>
      </w:r>
      <w:r w:rsidRPr="00766778">
        <w:rPr>
          <w:rFonts w:ascii="AvantGarde Bk BT" w:hAnsi="AvantGarde Bk BT" w:cs="Arial"/>
          <w:i/>
          <w:sz w:val="22"/>
          <w:szCs w:val="24"/>
        </w:rPr>
        <w:br/>
      </w:r>
      <w:r w:rsidRPr="00766778">
        <w:rPr>
          <w:rFonts w:ascii="AvantGarde Bk BT" w:hAnsi="AvantGarde Bk BT" w:cs="Arial"/>
          <w:i/>
          <w:sz w:val="22"/>
          <w:szCs w:val="24"/>
        </w:rPr>
        <w:br/>
      </w:r>
      <w:r w:rsidRPr="00766778">
        <w:rPr>
          <w:rFonts w:ascii="AvantGarde Bk BT" w:hAnsi="AvantGarde Bk BT" w:cs="Arial"/>
          <w:b/>
          <w:i/>
          <w:sz w:val="22"/>
          <w:szCs w:val="24"/>
        </w:rPr>
        <w:t>ACTO ADMINISTRATIVO. SU AUTORÍA DEBE DETERMINARSE CON BASE EN EL ANÁLISIS DE TODOS LOS ELEMENTOS DEL DOCUMENTO EN EL QUE CONSTE, PERO FUNDAMENTALMENTE CON LA PARTE RELATIVA A LA IDENTIDAD Y FIRMA DEL FUNCIONARIO EMISOR.-</w:t>
      </w:r>
      <w:r w:rsidRPr="00766778">
        <w:rPr>
          <w:rFonts w:ascii="AvantGarde Bk BT" w:hAnsi="AvantGarde Bk BT" w:cs="Arial"/>
          <w:i/>
          <w:sz w:val="22"/>
          <w:szCs w:val="24"/>
        </w:rPr>
        <w:t xml:space="preserve"> De la interpretación relacionada de los artículos 3o. de la Ley Federal de Procedimiento Administrativo y 38 del Código Fiscal de la Federación, se advierte que los actos administrativos que deban notificarse deben cumplir, entre otros, con los siguientes requisitos: </w:t>
      </w:r>
      <w:r w:rsidRPr="00766778">
        <w:rPr>
          <w:rFonts w:ascii="AvantGarde Bk BT" w:hAnsi="AvantGarde Bk BT" w:cs="Arial"/>
          <w:i/>
          <w:sz w:val="22"/>
          <w:szCs w:val="24"/>
          <w:u w:val="single"/>
        </w:rPr>
        <w:t>1. Ser expedidos por el órgano competente a través de servidor público; 2. Adoptar la forma escrita que contenga el fundamento legal de las atribuciones de la autoridad para actuar en la manera y términos propuestos; y, 3. Contener en el texto del propio acto, por regla general, el señalamiento de la autoridad que lo emite, así como su firma autógrafa</w:t>
      </w:r>
      <w:r w:rsidRPr="00766778">
        <w:rPr>
          <w:rFonts w:ascii="AvantGarde Bk BT" w:hAnsi="AvantGarde Bk BT" w:cs="Arial"/>
          <w:i/>
          <w:sz w:val="22"/>
          <w:szCs w:val="24"/>
        </w:rPr>
        <w:t xml:space="preserve">. Además, se evidencia que el requisito de fundamentación del acto administrativo, traducido en la constatación por escrito de la </w:t>
      </w:r>
      <w:r w:rsidRPr="00766778">
        <w:rPr>
          <w:rFonts w:ascii="AvantGarde Bk BT" w:hAnsi="AvantGarde Bk BT" w:cs="Arial"/>
          <w:i/>
          <w:sz w:val="22"/>
          <w:szCs w:val="24"/>
        </w:rPr>
        <w:lastRenderedPageBreak/>
        <w:t>designación de la autoridad y en la firma del funcionario emisor, atiende a la necesidad de establecer el cargo de la autoridad emisora, con la finalidad de dar a conocer al gobernado el carácter con el que el funcionario público suscribe el documento correspondiente y para que así esté en aptitud de examinar si su actuación se encuentra dentro de su ámbito de competencia</w:t>
      </w:r>
      <w:r w:rsidRPr="00766778">
        <w:rPr>
          <w:rFonts w:ascii="AvantGarde Bk BT" w:hAnsi="AvantGarde Bk BT" w:cs="Arial"/>
          <w:i/>
          <w:sz w:val="22"/>
          <w:szCs w:val="24"/>
          <w:u w:val="single"/>
        </w:rPr>
        <w:t>. La especificación del cargo de la autoridad emisora o, en su caso, signante del acto de autoridad, debe atender al cuerpo del propio documento, pero fundamentalmente, a la parte en que conste la firma y nombre del funcionario, pues no debe olvidarse que la firma (como signo distintivo) expresa la voluntariedad del sujeto del acto jurídico para suscribir el documento y aceptar las declaraciones ahí plasmadas</w:t>
      </w:r>
      <w:r w:rsidRPr="00766778">
        <w:rPr>
          <w:rFonts w:ascii="AvantGarde Bk BT" w:hAnsi="AvantGarde Bk BT" w:cs="Arial"/>
          <w:i/>
          <w:sz w:val="22"/>
          <w:szCs w:val="24"/>
        </w:rPr>
        <w:t>. Por tanto, aun cuando exista en el encabezado del propio documento una denominación diferente al cargo que obra en la parte final en el que está la firma del funcionario público emisor, no es dable especificar que el signante es el que obre en el encabezado, ni aun como consecuencia de interpretación, cuando exista claridad con la que se expone tal circunstancia en la parte de la firma; por ende, tomando en consideración la presunción de validez de la que gozan los actos administrativos en términos de lo dispuesto en el artículo 8o. de la Ley Federal de Procedimiento Administrativo, debe concluirse que el funcionario emisor del acto, es quien lo firma, salvo prueba en contrario.</w:t>
      </w:r>
      <w:r w:rsidRPr="00766778">
        <w:rPr>
          <w:rFonts w:ascii="AvantGarde Bk BT" w:hAnsi="AvantGarde Bk BT" w:cs="Arial"/>
          <w:i/>
          <w:sz w:val="22"/>
          <w:szCs w:val="24"/>
        </w:rPr>
        <w:br/>
        <w:t>DÉCIMO QUINTO TRIBUNAL COLEGIADO EN MATERIA ADMINISTRATIVA DEL PRIMER CIRCUITO.</w:t>
      </w:r>
      <w:r w:rsidRPr="00766778">
        <w:rPr>
          <w:rFonts w:ascii="AvantGarde Bk BT" w:hAnsi="AvantGarde Bk BT" w:cs="Arial"/>
          <w:i/>
          <w:sz w:val="22"/>
          <w:szCs w:val="24"/>
        </w:rPr>
        <w:br/>
        <w:t xml:space="preserve">Revisión fiscal 66/2004. Administrador Local Jurídico del Norte del Distrito Federal. 6 de octubre de 2004. Unanimidad de votos. Ponente: Armando Cortés Galván. Secretario: José Álvaro Vargas Ornelas. </w:t>
      </w:r>
      <w:r w:rsidRPr="00766778">
        <w:rPr>
          <w:rFonts w:ascii="AvantGarde Bk BT" w:hAnsi="AvantGarde Bk BT" w:cs="Arial"/>
          <w:i/>
          <w:sz w:val="22"/>
          <w:szCs w:val="24"/>
        </w:rPr>
        <w:br/>
        <w:t xml:space="preserve">Revisión fiscal 77/2004. Administrador Local Jurídico del Norte del Distrito Federal. 14 de octubre de 2004. Unanimidad de votos. Ponente: Cuauhtémoc </w:t>
      </w:r>
      <w:proofErr w:type="spellStart"/>
      <w:r w:rsidRPr="00766778">
        <w:rPr>
          <w:rFonts w:ascii="AvantGarde Bk BT" w:hAnsi="AvantGarde Bk BT" w:cs="Arial"/>
          <w:i/>
          <w:sz w:val="22"/>
          <w:szCs w:val="24"/>
        </w:rPr>
        <w:t>Carlock</w:t>
      </w:r>
      <w:proofErr w:type="spellEnd"/>
      <w:r w:rsidRPr="00766778">
        <w:rPr>
          <w:rFonts w:ascii="AvantGarde Bk BT" w:hAnsi="AvantGarde Bk BT" w:cs="Arial"/>
          <w:i/>
          <w:sz w:val="22"/>
          <w:szCs w:val="24"/>
        </w:rPr>
        <w:t xml:space="preserve"> Sánchez. Secretaria: María Elena Borunda </w:t>
      </w:r>
      <w:proofErr w:type="spellStart"/>
      <w:r w:rsidRPr="00766778">
        <w:rPr>
          <w:rFonts w:ascii="AvantGarde Bk BT" w:hAnsi="AvantGarde Bk BT" w:cs="Arial"/>
          <w:i/>
          <w:sz w:val="22"/>
          <w:szCs w:val="24"/>
        </w:rPr>
        <w:t>Placencia</w:t>
      </w:r>
      <w:proofErr w:type="spellEnd"/>
      <w:r w:rsidRPr="00766778">
        <w:rPr>
          <w:rFonts w:ascii="AvantGarde Bk BT" w:hAnsi="AvantGarde Bk BT" w:cs="Arial"/>
          <w:i/>
          <w:sz w:val="22"/>
          <w:szCs w:val="24"/>
        </w:rPr>
        <w:t xml:space="preserve">.” </w:t>
      </w:r>
      <w:r w:rsidRPr="00766778">
        <w:rPr>
          <w:rFonts w:ascii="AvantGarde Bk BT" w:hAnsi="AvantGarde Bk BT" w:cs="Arial"/>
          <w:sz w:val="24"/>
          <w:szCs w:val="24"/>
        </w:rPr>
        <w:t>(Énfasis añadido intencionalmente.)</w:t>
      </w:r>
    </w:p>
    <w:p w14:paraId="3C5F0BCD" w14:textId="7805BC87" w:rsidR="00FC33CD" w:rsidRPr="00E0750B" w:rsidRDefault="004E093A" w:rsidP="004E093A">
      <w:pPr>
        <w:pStyle w:val="corte4fondo"/>
        <w:tabs>
          <w:tab w:val="left" w:pos="567"/>
        </w:tabs>
        <w:spacing w:after="240"/>
        <w:rPr>
          <w:rFonts w:ascii="AvantGarde Bk BT" w:hAnsi="AvantGarde Bk BT" w:cs="Arial"/>
          <w:sz w:val="24"/>
          <w:szCs w:val="24"/>
        </w:rPr>
      </w:pPr>
      <w:r w:rsidRPr="006848BF">
        <w:rPr>
          <w:rFonts w:ascii="AvantGarde Bk BT" w:hAnsi="AvantGarde Bk BT" w:cs="Arial"/>
          <w:sz w:val="24"/>
          <w:szCs w:val="24"/>
        </w:rPr>
        <w:t>Finalmente, este órgano garante considera necesario hacer hincapié que los sujetos obligados deben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Pr="006848BF">
        <w:rPr>
          <w:rFonts w:ascii="AvantGarde Bk BT" w:hAnsi="AvantGarde Bk BT" w:cs="Arial"/>
          <w:sz w:val="24"/>
          <w:szCs w:val="24"/>
          <w:vertAlign w:val="superscript"/>
        </w:rPr>
        <w:footnoteReference w:id="6"/>
      </w:r>
    </w:p>
    <w:p w14:paraId="0061C5E2" w14:textId="77777777" w:rsidR="004E093A" w:rsidRPr="008804E8" w:rsidRDefault="004E093A" w:rsidP="004E093A">
      <w:pPr>
        <w:pStyle w:val="corte4fondo"/>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r>
        <w:rPr>
          <w:rFonts w:ascii="AvantGarde Bk BT" w:hAnsi="AvantGarde Bk BT" w:cs="Arial"/>
          <w:b/>
          <w:color w:val="000000" w:themeColor="text1"/>
          <w:sz w:val="24"/>
          <w:szCs w:val="24"/>
        </w:rPr>
        <w:t>.</w:t>
      </w:r>
    </w:p>
    <w:p w14:paraId="6EFC94FE" w14:textId="77777777" w:rsidR="00766778" w:rsidRDefault="004E093A" w:rsidP="00AF5964">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MODIFICA </w:t>
      </w:r>
      <w:r w:rsidRPr="00170171">
        <w:rPr>
          <w:rFonts w:ascii="AvantGarde Bk BT" w:hAnsi="AvantGarde Bk BT" w:cs="Arial"/>
          <w:color w:val="000000" w:themeColor="text1"/>
          <w:sz w:val="24"/>
          <w:szCs w:val="24"/>
        </w:rPr>
        <w:t>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y conmina al sujeto obligado para que</w:t>
      </w:r>
      <w:r w:rsidR="00766778">
        <w:rPr>
          <w:rFonts w:ascii="AvantGarde Bk BT" w:hAnsi="AvantGarde Bk BT" w:cs="Arial"/>
          <w:color w:val="000000" w:themeColor="text1"/>
          <w:sz w:val="24"/>
          <w:szCs w:val="24"/>
        </w:rPr>
        <w:t xml:space="preserve"> entregue al ahora recurrente la información relativa a:</w:t>
      </w:r>
    </w:p>
    <w:p w14:paraId="580AF8FE" w14:textId="0661CAE5" w:rsidR="004E093A" w:rsidRDefault="00AF5964" w:rsidP="00AF5964">
      <w:pPr>
        <w:pStyle w:val="corte4fondo"/>
        <w:numPr>
          <w:ilvl w:val="0"/>
          <w:numId w:val="5"/>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L</w:t>
      </w:r>
      <w:r w:rsidR="00766778">
        <w:rPr>
          <w:rFonts w:ascii="AvantGarde Bk BT" w:hAnsi="AvantGarde Bk BT" w:cs="Arial"/>
          <w:color w:val="000000" w:themeColor="text1"/>
          <w:sz w:val="24"/>
          <w:szCs w:val="24"/>
        </w:rPr>
        <w:t>as actas de cabildo firmadas de los meses octubre, noviembre y diciembre de 2018 dos mil dieciocho, así como las de enero de 2019 dos mil diecinueve</w:t>
      </w:r>
      <w:r w:rsidR="004E093A">
        <w:rPr>
          <w:rFonts w:ascii="AvantGarde Bk BT" w:hAnsi="AvantGarde Bk BT" w:cs="Arial"/>
          <w:color w:val="000000" w:themeColor="text1"/>
          <w:sz w:val="24"/>
          <w:szCs w:val="24"/>
        </w:rPr>
        <w:t>.</w:t>
      </w:r>
    </w:p>
    <w:p w14:paraId="67BD5A08" w14:textId="44612BFA" w:rsidR="00766778" w:rsidRPr="00766778" w:rsidRDefault="00766778" w:rsidP="00766778">
      <w:pPr>
        <w:pStyle w:val="corte4fondo"/>
        <w:numPr>
          <w:ilvl w:val="0"/>
          <w:numId w:val="5"/>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Los formatos alojados en la Plataforma Estatal de Transparencia relativos al </w:t>
      </w:r>
      <w:r w:rsidR="00AF5964">
        <w:rPr>
          <w:rFonts w:ascii="AvantGarde Bk BT" w:hAnsi="AvantGarde Bk BT" w:cs="Arial"/>
          <w:color w:val="000000" w:themeColor="text1"/>
          <w:sz w:val="24"/>
          <w:szCs w:val="24"/>
        </w:rPr>
        <w:t>artículo 85</w:t>
      </w:r>
      <w:r>
        <w:rPr>
          <w:rFonts w:ascii="AvantGarde Bk BT" w:hAnsi="AvantGarde Bk BT" w:cs="Arial"/>
          <w:color w:val="000000" w:themeColor="text1"/>
          <w:sz w:val="24"/>
          <w:szCs w:val="24"/>
        </w:rPr>
        <w:t>, fracción II, c) de la Ley de la materia</w:t>
      </w:r>
      <w:r w:rsidR="00AF5964">
        <w:rPr>
          <w:rFonts w:ascii="AvantGarde Bk BT" w:hAnsi="AvantGarde Bk BT" w:cs="Arial"/>
          <w:color w:val="000000" w:themeColor="text1"/>
          <w:sz w:val="24"/>
          <w:szCs w:val="24"/>
        </w:rPr>
        <w:t xml:space="preserve"> de </w:t>
      </w:r>
      <w:r w:rsidR="00AF5964">
        <w:rPr>
          <w:rFonts w:ascii="AvantGarde Bk BT" w:hAnsi="AvantGarde Bk BT" w:cs="Arial"/>
          <w:color w:val="000000" w:themeColor="text1"/>
          <w:sz w:val="24"/>
          <w:szCs w:val="24"/>
        </w:rPr>
        <w:t>octubre, noviembre y diciembre de 2018 dos mil dieciocho, así como las de enero de 2019 dos mil diecinueve.</w:t>
      </w:r>
    </w:p>
    <w:p w14:paraId="37FF1824" w14:textId="77777777" w:rsidR="004E093A" w:rsidRPr="007C5605" w:rsidRDefault="004E093A" w:rsidP="004E093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504DFE2F" w14:textId="77777777" w:rsidR="004E093A" w:rsidRPr="00CF67EF" w:rsidRDefault="004E093A" w:rsidP="004E093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recibir notificaciones.</w:t>
      </w:r>
    </w:p>
    <w:p w14:paraId="5B1D3A7F" w14:textId="77777777" w:rsidR="004E093A" w:rsidRPr="00831D47" w:rsidRDefault="004E093A" w:rsidP="004E093A">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0B5A09C9" w14:textId="77777777" w:rsidR="004E093A" w:rsidRPr="00CF67EF" w:rsidRDefault="004E093A" w:rsidP="004E093A">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u w:val="single"/>
        </w:rPr>
        <w:t xml:space="preserve">10 diez </w:t>
      </w:r>
      <w:r w:rsidRPr="002767C3">
        <w:rPr>
          <w:rFonts w:ascii="AvantGarde Bk BT" w:hAnsi="AvantGarde Bk BT" w:cs="Arial"/>
          <w:color w:val="000000" w:themeColor="text1"/>
          <w:sz w:val="24"/>
          <w:szCs w:val="24"/>
          <w:u w:val="single"/>
        </w:rPr>
        <w:t>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w:t>
      </w:r>
      <w:r w:rsidRPr="00831D47">
        <w:rPr>
          <w:rFonts w:ascii="AvantGarde Bk BT" w:hAnsi="AvantGarde Bk BT" w:cs="Arial"/>
          <w:color w:val="000000" w:themeColor="text1"/>
          <w:sz w:val="24"/>
          <w:szCs w:val="24"/>
        </w:rPr>
        <w:lastRenderedPageBreak/>
        <w:t>deberá de exceder de tres días hábiles, en donde justificará con los documentos necesarios el cumplimento a lo aquí ordenado.</w:t>
      </w:r>
    </w:p>
    <w:p w14:paraId="183609DC" w14:textId="77777777" w:rsidR="004E093A" w:rsidRPr="004C15C0" w:rsidRDefault="004E093A" w:rsidP="004E093A">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6C250C58" w14:textId="77777777" w:rsidR="004E093A" w:rsidRPr="00CF67EF" w:rsidRDefault="004E093A" w:rsidP="004E093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lución, se le impondrá la medida de apremio consistente en una Amonestación Pública 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 xml:space="preserve">o 190 fracción I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4577A7C" w14:textId="77777777" w:rsidR="004E093A" w:rsidRPr="00684218" w:rsidRDefault="004E093A" w:rsidP="004E093A">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0B02E441" w14:textId="77777777" w:rsidR="004E093A" w:rsidRPr="00170171" w:rsidRDefault="004E093A" w:rsidP="004E093A">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8FB5919" w14:textId="77777777" w:rsidR="004E093A" w:rsidRPr="00CF67EF" w:rsidRDefault="004E093A" w:rsidP="004E093A">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2D95D280" w14:textId="77777777" w:rsidR="004E093A" w:rsidRPr="00CF67EF" w:rsidRDefault="004E093A" w:rsidP="004E093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7B937BD" w14:textId="77777777" w:rsidR="004E093A" w:rsidRPr="00CF67EF" w:rsidRDefault="004E093A" w:rsidP="004E093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Pr>
          <w:rFonts w:ascii="AvantGarde Bk BT" w:hAnsi="AvantGarde Bk BT" w:cs="Arial"/>
          <w:b/>
          <w:color w:val="000000" w:themeColor="text1"/>
          <w:sz w:val="24"/>
          <w:szCs w:val="24"/>
        </w:rPr>
        <w:t>MODIFICA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479C3330" w14:textId="77777777" w:rsidR="004E093A" w:rsidRPr="007C5605" w:rsidRDefault="004E093A" w:rsidP="004E093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04019752" w14:textId="3F0759ED" w:rsidR="004E093A" w:rsidRDefault="004E093A" w:rsidP="00AF5964">
      <w:pPr>
        <w:pStyle w:val="corte4fondo"/>
        <w:tabs>
          <w:tab w:val="left" w:pos="567"/>
        </w:tabs>
        <w:spacing w:after="240"/>
        <w:rPr>
          <w:rFonts w:ascii="AvantGarde Bk BT" w:hAnsi="AvantGarde Bk BT"/>
          <w:color w:val="000000" w:themeColor="text1"/>
          <w:sz w:val="24"/>
          <w:szCs w:val="24"/>
        </w:rPr>
      </w:pPr>
      <w:r>
        <w:rPr>
          <w:rFonts w:ascii="AvantGarde Bk BT" w:hAnsi="AvantGarde Bk BT" w:cs="Arial"/>
          <w:color w:val="000000" w:themeColor="text1"/>
          <w:sz w:val="24"/>
          <w:szCs w:val="24"/>
        </w:rPr>
        <w:lastRenderedPageBreak/>
        <w:t>Así l</w:t>
      </w:r>
      <w:r>
        <w:rPr>
          <w:rFonts w:ascii="AvantGarde Bk BT" w:hAnsi="AvantGarde Bk BT"/>
          <w:color w:val="000000" w:themeColor="text1"/>
          <w:sz w:val="24"/>
          <w:szCs w:val="24"/>
        </w:rPr>
        <w:t xml:space="preserve">o resolvieron por unanimidad de votos en Sesión Extraordinaria de Consejo el 30 treinta de abril de 2019 dos mil diecinueve,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w:t>
      </w:r>
      <w:proofErr w:type="spellStart"/>
      <w:r>
        <w:rPr>
          <w:rFonts w:ascii="AvantGarde Bk BT" w:hAnsi="AvantGarde Bk BT" w:cs="Arial"/>
          <w:color w:val="000000" w:themeColor="text1"/>
          <w:sz w:val="24"/>
          <w:szCs w:val="24"/>
        </w:rPr>
        <w:t>Mariajosé</w:t>
      </w:r>
      <w:proofErr w:type="spellEnd"/>
      <w:r>
        <w:rPr>
          <w:rFonts w:ascii="AvantGarde Bk BT" w:hAnsi="AvantGarde Bk BT" w:cs="Arial"/>
          <w:color w:val="000000" w:themeColor="text1"/>
          <w:sz w:val="24"/>
          <w:szCs w:val="24"/>
        </w:rPr>
        <w:t xml:space="preserve"> González Zarzosa,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1811AB26" w14:textId="0720A547" w:rsidR="00AF5964" w:rsidRDefault="00AF5964" w:rsidP="00AF5964">
      <w:pPr>
        <w:pStyle w:val="corte4fondo"/>
        <w:tabs>
          <w:tab w:val="left" w:pos="567"/>
        </w:tabs>
        <w:spacing w:after="240"/>
        <w:rPr>
          <w:rFonts w:ascii="AvantGarde Bk BT" w:hAnsi="AvantGarde Bk BT"/>
          <w:color w:val="000000" w:themeColor="text1"/>
          <w:sz w:val="24"/>
          <w:szCs w:val="24"/>
        </w:rPr>
      </w:pPr>
    </w:p>
    <w:p w14:paraId="0A715622" w14:textId="77777777" w:rsidR="00AF5964" w:rsidRDefault="00AF5964" w:rsidP="00AF5964">
      <w:pPr>
        <w:pStyle w:val="corte4fondo"/>
        <w:tabs>
          <w:tab w:val="left" w:pos="567"/>
        </w:tabs>
        <w:spacing w:after="240"/>
        <w:rPr>
          <w:rFonts w:ascii="AvantGarde Bk BT" w:hAnsi="AvantGarde Bk BT"/>
          <w:color w:val="000000" w:themeColor="text1"/>
          <w:sz w:val="24"/>
          <w:szCs w:val="24"/>
        </w:rPr>
      </w:pPr>
    </w:p>
    <w:p w14:paraId="4C16E0BB" w14:textId="77777777" w:rsidR="004E093A" w:rsidRDefault="004E093A" w:rsidP="004E093A">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COMISIONADA PRESIDENTE</w:t>
      </w:r>
    </w:p>
    <w:p w14:paraId="24B84BC3" w14:textId="77777777" w:rsidR="004E093A" w:rsidRDefault="004E093A" w:rsidP="004E093A">
      <w:pPr>
        <w:pStyle w:val="NormalWeb"/>
        <w:jc w:val="both"/>
        <w:rPr>
          <w:rFonts w:ascii="AvantGarde Bk BT" w:hAnsi="AvantGarde Bk BT" w:cs="Arial"/>
          <w:b/>
          <w:color w:val="000000" w:themeColor="text1"/>
          <w:lang w:val="es-MX"/>
        </w:rPr>
      </w:pPr>
    </w:p>
    <w:p w14:paraId="4D3F4BE9" w14:textId="77777777" w:rsidR="004E093A" w:rsidRDefault="004E093A" w:rsidP="004E093A">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677D4AE8" w14:textId="0AD85F0F" w:rsidR="004E093A" w:rsidRDefault="004E093A" w:rsidP="00AF5964">
      <w:pPr>
        <w:pStyle w:val="NormalWeb"/>
        <w:rPr>
          <w:rFonts w:ascii="AvantGarde Bk BT" w:hAnsi="AvantGarde Bk BT" w:cs="Arial"/>
          <w:b/>
          <w:color w:val="000000" w:themeColor="text1"/>
          <w:lang w:val="es-MX"/>
        </w:rPr>
      </w:pPr>
    </w:p>
    <w:p w14:paraId="29C38836" w14:textId="4E3322B4" w:rsidR="00AF5964" w:rsidRDefault="00AF5964" w:rsidP="00AF5964">
      <w:pPr>
        <w:pStyle w:val="NormalWeb"/>
        <w:rPr>
          <w:rFonts w:ascii="AvantGarde Bk BT" w:hAnsi="AvantGarde Bk BT" w:cs="Arial"/>
          <w:b/>
          <w:color w:val="000000" w:themeColor="text1"/>
          <w:lang w:val="es-MX"/>
        </w:rPr>
      </w:pPr>
    </w:p>
    <w:p w14:paraId="1AC73639" w14:textId="77777777" w:rsidR="00AF5964" w:rsidRDefault="00AF5964" w:rsidP="00AF5964">
      <w:pPr>
        <w:pStyle w:val="NormalWeb"/>
        <w:rPr>
          <w:rFonts w:ascii="AvantGarde Bk BT" w:hAnsi="AvantGarde Bk BT" w:cs="Arial"/>
          <w:b/>
          <w:color w:val="000000" w:themeColor="text1"/>
          <w:lang w:val="es-MX"/>
        </w:rPr>
      </w:pPr>
    </w:p>
    <w:p w14:paraId="4CAFA463" w14:textId="77777777" w:rsidR="004E093A" w:rsidRDefault="004E093A" w:rsidP="004E093A">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09423858" w14:textId="77777777" w:rsidR="004E093A" w:rsidRDefault="004E093A" w:rsidP="004E093A">
      <w:pPr>
        <w:pStyle w:val="NormalWeb"/>
        <w:rPr>
          <w:rFonts w:ascii="AvantGarde Bk BT" w:hAnsi="AvantGarde Bk BT" w:cs="Arial"/>
          <w:b/>
          <w:color w:val="000000" w:themeColor="text1"/>
          <w:lang w:val="es-MX"/>
        </w:rPr>
      </w:pPr>
    </w:p>
    <w:p w14:paraId="4C783B4B" w14:textId="77777777" w:rsidR="004E093A" w:rsidRDefault="004E093A" w:rsidP="004E093A">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w:t>
      </w:r>
      <w:r w:rsidRPr="00FC3F72">
        <w:rPr>
          <w:rFonts w:ascii="AvantGarde Bk BT" w:hAnsi="AvantGarde Bk BT" w:cs="Arial"/>
          <w:b/>
          <w:color w:val="000000" w:themeColor="text1"/>
        </w:rPr>
        <w:t>MAR</w:t>
      </w:r>
      <w:r>
        <w:rPr>
          <w:rFonts w:ascii="AvantGarde Bk BT" w:hAnsi="AvantGarde Bk BT" w:cs="Arial"/>
          <w:b/>
          <w:color w:val="000000" w:themeColor="text1"/>
        </w:rPr>
        <w:t>I</w:t>
      </w:r>
      <w:r w:rsidRPr="00FC3F72">
        <w:rPr>
          <w:rFonts w:ascii="AvantGarde Bk BT" w:hAnsi="AvantGarde Bk BT" w:cs="Arial"/>
          <w:b/>
          <w:color w:val="000000" w:themeColor="text1"/>
        </w:rPr>
        <w:t>AJOSÉ GONZÁLEZ ZARZO</w:t>
      </w:r>
      <w:r>
        <w:rPr>
          <w:rFonts w:ascii="AvantGarde Bk BT" w:hAnsi="AvantGarde Bk BT" w:cs="Arial"/>
          <w:b/>
          <w:color w:val="000000" w:themeColor="text1"/>
        </w:rPr>
        <w:t>S</w:t>
      </w:r>
      <w:r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3B879658" w14:textId="77777777" w:rsidR="004E093A" w:rsidRPr="002444B0" w:rsidRDefault="004E093A" w:rsidP="004E093A">
      <w:pPr>
        <w:autoSpaceDE w:val="0"/>
        <w:autoSpaceDN w:val="0"/>
        <w:adjustRightInd w:val="0"/>
        <w:spacing w:after="0" w:line="480" w:lineRule="auto"/>
        <w:jc w:val="both"/>
        <w:rPr>
          <w:rFonts w:ascii="AvantGarde Bk BT" w:hAnsi="AvantGarde Bk BT" w:cs="Arial"/>
          <w:i/>
          <w:sz w:val="14"/>
          <w:szCs w:val="14"/>
        </w:rPr>
      </w:pPr>
      <w:r w:rsidRPr="002444B0">
        <w:rPr>
          <w:rFonts w:ascii="AvantGarde Bk BT" w:hAnsi="AvantGarde Bk BT" w:cs="Arial"/>
          <w:i/>
          <w:sz w:val="14"/>
          <w:szCs w:val="14"/>
        </w:rPr>
        <w:t>PRT.</w:t>
      </w:r>
    </w:p>
    <w:p w14:paraId="5B9F8F99" w14:textId="480A61F7" w:rsidR="004E093A" w:rsidRPr="004C15C0" w:rsidRDefault="004E093A" w:rsidP="004E093A">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extraordinaria de 30 treinta de abril de 2019 dos mil diecinueve, dentro de los auto</w:t>
      </w:r>
      <w:r w:rsidR="00996B2F">
        <w:rPr>
          <w:rFonts w:ascii="AvantGarde Bk BT" w:hAnsi="AvantGarde Bk BT" w:cs="Arial"/>
          <w:color w:val="000000" w:themeColor="text1"/>
          <w:sz w:val="14"/>
          <w:szCs w:val="14"/>
        </w:rPr>
        <w:t>s del recurso de revisión RR-220</w:t>
      </w:r>
      <w:r>
        <w:rPr>
          <w:rFonts w:ascii="AvantGarde Bk BT" w:hAnsi="AvantGarde Bk BT" w:cs="Arial"/>
          <w:color w:val="000000" w:themeColor="text1"/>
          <w:sz w:val="14"/>
          <w:szCs w:val="14"/>
        </w:rPr>
        <w:t xml:space="preserve">/2019-1 PLATAFORMA.) </w:t>
      </w:r>
    </w:p>
    <w:p w14:paraId="0D4DF0CB" w14:textId="71B6798B" w:rsidR="00946007" w:rsidRPr="00CC38D7" w:rsidRDefault="00946007" w:rsidP="004E093A">
      <w:pPr>
        <w:pStyle w:val="corte4fondo"/>
        <w:tabs>
          <w:tab w:val="left" w:pos="567"/>
        </w:tabs>
        <w:rPr>
          <w:rFonts w:ascii="AvantGarde Bk BT" w:hAnsi="AvantGarde Bk BT" w:cs="Arial"/>
          <w:sz w:val="14"/>
          <w:szCs w:val="14"/>
        </w:rPr>
      </w:pPr>
      <w:bookmarkStart w:id="0" w:name="_GoBack"/>
      <w:bookmarkEnd w:id="0"/>
    </w:p>
    <w:sectPr w:rsidR="00946007" w:rsidRPr="00CC38D7"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4345A0" w14:textId="77777777" w:rsidR="00560FD5" w:rsidRDefault="00560FD5">
      <w:pPr>
        <w:spacing w:after="0" w:line="240" w:lineRule="auto"/>
      </w:pPr>
      <w:r>
        <w:separator/>
      </w:r>
    </w:p>
  </w:endnote>
  <w:endnote w:type="continuationSeparator" w:id="0">
    <w:p w14:paraId="04C096A1" w14:textId="77777777" w:rsidR="00560FD5" w:rsidRDefault="00560F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078221" w14:textId="77777777" w:rsidR="00560FD5" w:rsidRDefault="00560FD5">
      <w:pPr>
        <w:spacing w:after="0" w:line="240" w:lineRule="auto"/>
      </w:pPr>
      <w:r>
        <w:separator/>
      </w:r>
    </w:p>
  </w:footnote>
  <w:footnote w:type="continuationSeparator" w:id="0">
    <w:p w14:paraId="3FECF27F" w14:textId="77777777" w:rsidR="00560FD5" w:rsidRDefault="00560FD5">
      <w:pPr>
        <w:spacing w:after="0" w:line="240" w:lineRule="auto"/>
      </w:pPr>
      <w:r>
        <w:continuationSeparator/>
      </w:r>
    </w:p>
  </w:footnote>
  <w:footnote w:id="1">
    <w:p w14:paraId="47F0C685" w14:textId="77777777" w:rsidR="00FF4AFB" w:rsidRPr="00AF5964" w:rsidRDefault="00FF4AFB" w:rsidP="00FF4AFB">
      <w:pPr>
        <w:pStyle w:val="Textonotapie"/>
        <w:jc w:val="both"/>
        <w:rPr>
          <w:sz w:val="18"/>
          <w:szCs w:val="18"/>
          <w:lang w:val="es-ES_tradnl"/>
        </w:rPr>
      </w:pPr>
      <w:r w:rsidRPr="00AF5964">
        <w:rPr>
          <w:rStyle w:val="Refdenotaalpie"/>
          <w:sz w:val="18"/>
          <w:szCs w:val="18"/>
        </w:rPr>
        <w:footnoteRef/>
      </w:r>
      <w:r w:rsidRPr="00AF5964">
        <w:rPr>
          <w:sz w:val="18"/>
          <w:szCs w:val="18"/>
        </w:rPr>
        <w:t xml:space="preserve"> </w:t>
      </w:r>
      <w:r w:rsidRPr="00AF5964">
        <w:rPr>
          <w:bCs/>
          <w:sz w:val="18"/>
          <w:szCs w:val="18"/>
          <w:lang w:val="es-ES_tradnl"/>
        </w:rPr>
        <w:t xml:space="preserve">ARTÍCULO 61. </w:t>
      </w:r>
      <w:r w:rsidRPr="00AF5964">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AFCC7D6" w14:textId="77777777" w:rsidR="00FF4AFB" w:rsidRPr="00AF5964" w:rsidRDefault="00FF4AFB" w:rsidP="00FF4AFB">
      <w:pPr>
        <w:pStyle w:val="Textonotapie"/>
        <w:jc w:val="both"/>
        <w:rPr>
          <w:sz w:val="18"/>
          <w:szCs w:val="18"/>
          <w:lang w:val="es-ES_tradnl"/>
        </w:rPr>
      </w:pPr>
      <w:r w:rsidRPr="00AF5964">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4E8B4FAE" w14:textId="77777777" w:rsidR="00FF4AFB" w:rsidRPr="00AF5964" w:rsidRDefault="00FF4AFB" w:rsidP="00FF4AFB">
      <w:pPr>
        <w:pStyle w:val="Textonotapie"/>
        <w:jc w:val="both"/>
        <w:rPr>
          <w:sz w:val="18"/>
          <w:szCs w:val="18"/>
        </w:rPr>
      </w:pPr>
      <w:r w:rsidRPr="00AF5964">
        <w:rPr>
          <w:rStyle w:val="Refdenotaalpie"/>
          <w:sz w:val="18"/>
          <w:szCs w:val="18"/>
        </w:rPr>
        <w:footnoteRef/>
      </w:r>
      <w:r w:rsidRPr="00AF5964">
        <w:rPr>
          <w:sz w:val="18"/>
          <w:szCs w:val="18"/>
        </w:rPr>
        <w:t xml:space="preserve"> ARTÍCULO 18. Los sujetos obligados deberán documentar todo acto que derive del ejercicio de sus facultades, competencias o funciones.</w:t>
      </w:r>
    </w:p>
    <w:p w14:paraId="517CB8A0" w14:textId="77777777" w:rsidR="00FF4AFB" w:rsidRPr="00AF5964" w:rsidRDefault="00FF4AFB" w:rsidP="00FF4AFB">
      <w:pPr>
        <w:pStyle w:val="Textonotapie"/>
        <w:jc w:val="both"/>
        <w:rPr>
          <w:sz w:val="18"/>
          <w:szCs w:val="18"/>
        </w:rPr>
      </w:pPr>
      <w:r w:rsidRPr="00AF5964">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8C3B9FA" w14:textId="77777777" w:rsidR="00FF4AFB" w:rsidRPr="00AF5964" w:rsidRDefault="00FF4AFB" w:rsidP="00FF4AFB">
      <w:pPr>
        <w:pStyle w:val="Textonotapie"/>
        <w:jc w:val="both"/>
        <w:rPr>
          <w:sz w:val="18"/>
          <w:szCs w:val="18"/>
        </w:rPr>
      </w:pPr>
      <w:r w:rsidRPr="00AF5964">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47C27C38" w14:textId="77777777" w:rsidR="00FF4AFB" w:rsidRPr="00AF5964" w:rsidRDefault="00FF4AFB" w:rsidP="00FF4AFB">
      <w:pPr>
        <w:pStyle w:val="Textonotapie"/>
        <w:jc w:val="both"/>
        <w:rPr>
          <w:sz w:val="18"/>
          <w:szCs w:val="18"/>
        </w:rPr>
      </w:pPr>
      <w:r w:rsidRPr="00AF5964">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B24465D" w14:textId="77777777" w:rsidR="00FF4AFB" w:rsidRPr="00AF5964" w:rsidRDefault="00FF4AFB" w:rsidP="00FF4AFB">
      <w:pPr>
        <w:pStyle w:val="Textonotapie"/>
        <w:jc w:val="both"/>
        <w:rPr>
          <w:sz w:val="18"/>
          <w:szCs w:val="18"/>
        </w:rPr>
      </w:pPr>
      <w:r w:rsidRPr="00AF5964">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C21665B" w14:textId="759BAAEB" w:rsidR="00FF4AFB" w:rsidRPr="00AF5964" w:rsidRDefault="00FF4AFB" w:rsidP="00FF4AFB">
      <w:pPr>
        <w:pStyle w:val="Textonotapie"/>
        <w:jc w:val="both"/>
        <w:rPr>
          <w:sz w:val="18"/>
          <w:szCs w:val="18"/>
        </w:rPr>
      </w:pPr>
      <w:r w:rsidRPr="00AF5964">
        <w:rPr>
          <w:sz w:val="18"/>
          <w:szCs w:val="18"/>
        </w:rPr>
        <w:t>La obligación de los sujetos obligados de proporcionar información no comprende el procesamiento de la misma, ni el presentarla conforme al interés del solicitante.</w:t>
      </w:r>
    </w:p>
  </w:footnote>
  <w:footnote w:id="3">
    <w:p w14:paraId="379D4A36" w14:textId="0327936E" w:rsidR="00FF4AFB" w:rsidRPr="00AF5964" w:rsidRDefault="00FF4AFB">
      <w:pPr>
        <w:pStyle w:val="Textonotapie"/>
        <w:rPr>
          <w:sz w:val="18"/>
          <w:szCs w:val="18"/>
        </w:rPr>
      </w:pPr>
      <w:r w:rsidRPr="00AF5964">
        <w:rPr>
          <w:rStyle w:val="Refdenotaalpie"/>
          <w:sz w:val="18"/>
          <w:szCs w:val="18"/>
        </w:rPr>
        <w:footnoteRef/>
      </w:r>
      <w:r w:rsidRPr="00AF5964">
        <w:rPr>
          <w:sz w:val="18"/>
          <w:szCs w:val="18"/>
        </w:rPr>
        <w:t xml:space="preserve"> </w:t>
      </w:r>
      <w:r w:rsidR="003C2BCD" w:rsidRPr="00AF5964">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743BB44A" w14:textId="77777777" w:rsidR="00605F78" w:rsidRPr="00AF5964" w:rsidRDefault="00605F78" w:rsidP="00605F78">
      <w:pPr>
        <w:pStyle w:val="Textonotapie"/>
        <w:jc w:val="both"/>
        <w:rPr>
          <w:sz w:val="18"/>
          <w:szCs w:val="18"/>
        </w:rPr>
      </w:pPr>
      <w:r w:rsidRPr="00AF5964">
        <w:rPr>
          <w:rStyle w:val="Refdenotaalpie"/>
          <w:sz w:val="18"/>
          <w:szCs w:val="18"/>
        </w:rPr>
        <w:footnoteRef/>
      </w:r>
      <w:r w:rsidRPr="00AF5964">
        <w:rPr>
          <w:sz w:val="18"/>
          <w:szCs w:val="18"/>
        </w:rPr>
        <w:t xml:space="preserve"> ARTÍCULO 85. Además de lo señalado en el artículo anterior de esta Ley, el Ejecutivo del Estado y los municipios, según corresponda a su ámbito de competencia, deberán poner a disposición del público, de oficio, y en forma completa y actualizada la siguiente información:</w:t>
      </w:r>
    </w:p>
    <w:p w14:paraId="31807072" w14:textId="77777777" w:rsidR="00605F78" w:rsidRPr="00AF5964" w:rsidRDefault="00605F78" w:rsidP="00605F78">
      <w:pPr>
        <w:pStyle w:val="Textonotapie"/>
        <w:jc w:val="both"/>
        <w:rPr>
          <w:sz w:val="18"/>
          <w:szCs w:val="18"/>
        </w:rPr>
      </w:pPr>
      <w:r w:rsidRPr="00AF5964">
        <w:rPr>
          <w:sz w:val="18"/>
          <w:szCs w:val="18"/>
        </w:rPr>
        <w:t>[…]</w:t>
      </w:r>
    </w:p>
    <w:p w14:paraId="27669F1B" w14:textId="77777777" w:rsidR="00605F78" w:rsidRPr="00AF5964" w:rsidRDefault="00605F78" w:rsidP="00605F78">
      <w:pPr>
        <w:pStyle w:val="Textonotapie"/>
        <w:jc w:val="both"/>
        <w:rPr>
          <w:sz w:val="18"/>
          <w:szCs w:val="18"/>
        </w:rPr>
      </w:pPr>
      <w:r w:rsidRPr="00AF5964">
        <w:rPr>
          <w:sz w:val="18"/>
          <w:szCs w:val="18"/>
        </w:rPr>
        <w:t>II. Adicionalmente, en el caso de los municipios:</w:t>
      </w:r>
    </w:p>
    <w:p w14:paraId="26F2928C" w14:textId="77777777" w:rsidR="00605F78" w:rsidRPr="00AF5964" w:rsidRDefault="00605F78" w:rsidP="00605F78">
      <w:pPr>
        <w:pStyle w:val="Textonotapie"/>
        <w:jc w:val="both"/>
        <w:rPr>
          <w:sz w:val="18"/>
          <w:szCs w:val="18"/>
        </w:rPr>
      </w:pPr>
      <w:r w:rsidRPr="00AF5964">
        <w:rPr>
          <w:sz w:val="18"/>
          <w:szCs w:val="18"/>
        </w:rPr>
        <w:t>[…]</w:t>
      </w:r>
    </w:p>
    <w:p w14:paraId="42ECC021" w14:textId="77777777" w:rsidR="00605F78" w:rsidRPr="00AF5964" w:rsidRDefault="00605F78" w:rsidP="00605F78">
      <w:pPr>
        <w:pStyle w:val="Textonotapie"/>
        <w:jc w:val="both"/>
        <w:rPr>
          <w:sz w:val="18"/>
          <w:szCs w:val="18"/>
        </w:rPr>
      </w:pPr>
      <w:r w:rsidRPr="00AF5964">
        <w:rPr>
          <w:sz w:val="18"/>
          <w:szCs w:val="18"/>
        </w:rPr>
        <w:t>c) Las actas de sesiones de cabildo, los controles de asistencia de los integrantes del ayuntamiento a las sesiones de cabildo y el sentido de votación de los miembros del cabildo sobre las iniciativas o acuerdos.</w:t>
      </w:r>
    </w:p>
    <w:p w14:paraId="0F937F78" w14:textId="77777777" w:rsidR="00605F78" w:rsidRPr="00AF5964" w:rsidRDefault="00605F78" w:rsidP="00605F78">
      <w:pPr>
        <w:pStyle w:val="Textonotapie"/>
        <w:jc w:val="both"/>
        <w:rPr>
          <w:sz w:val="18"/>
          <w:szCs w:val="18"/>
        </w:rPr>
      </w:pPr>
      <w:r w:rsidRPr="00AF5964">
        <w:rPr>
          <w:sz w:val="18"/>
          <w:szCs w:val="18"/>
        </w:rPr>
        <w:t>[…].</w:t>
      </w:r>
    </w:p>
    <w:p w14:paraId="288DCB07" w14:textId="77777777" w:rsidR="00605F78" w:rsidRPr="00AF5964" w:rsidRDefault="00605F78" w:rsidP="00605F78">
      <w:pPr>
        <w:pStyle w:val="Textonotapie"/>
        <w:rPr>
          <w:sz w:val="18"/>
          <w:szCs w:val="18"/>
        </w:rPr>
      </w:pPr>
    </w:p>
  </w:footnote>
  <w:footnote w:id="5">
    <w:p w14:paraId="0B249C51" w14:textId="2A4319F1" w:rsidR="00894CB8" w:rsidRPr="00AF5964" w:rsidRDefault="00894CB8" w:rsidP="00894CB8">
      <w:pPr>
        <w:pStyle w:val="Textonotapie"/>
        <w:jc w:val="both"/>
        <w:rPr>
          <w:sz w:val="18"/>
          <w:szCs w:val="18"/>
        </w:rPr>
      </w:pPr>
      <w:r w:rsidRPr="00AF5964">
        <w:rPr>
          <w:rStyle w:val="Refdenotaalpie"/>
          <w:sz w:val="18"/>
          <w:szCs w:val="18"/>
        </w:rPr>
        <w:footnoteRef/>
      </w:r>
      <w:r w:rsidRPr="00AF5964">
        <w:rPr>
          <w:sz w:val="18"/>
          <w:szCs w:val="18"/>
        </w:rPr>
        <w:t xml:space="preserve"> ARTÍCULO 13.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 y se procurará, en la medida de lo posible, su accesibilidad y traducción a lenguas indígenas. La CEGAIP remitirá los lineamientos que correspondan para asegurar la accesibilidad de toda persona en el ámbito de su competencia.</w:t>
      </w:r>
    </w:p>
    <w:p w14:paraId="6B470771" w14:textId="4F56B9F4" w:rsidR="00894CB8" w:rsidRPr="00AF5964" w:rsidRDefault="00894CB8" w:rsidP="00894CB8">
      <w:pPr>
        <w:pStyle w:val="Textonotapie"/>
        <w:jc w:val="both"/>
        <w:rPr>
          <w:sz w:val="18"/>
          <w:szCs w:val="18"/>
        </w:rPr>
      </w:pPr>
      <w:r w:rsidRPr="00AF5964">
        <w:rPr>
          <w:sz w:val="18"/>
          <w:szCs w:val="18"/>
        </w:rPr>
        <w:t>ARTÍCULO 3°. Para los efectos de la presente Ley se entenderá por:</w:t>
      </w:r>
    </w:p>
    <w:p w14:paraId="2638B9CE" w14:textId="6DB41C8B" w:rsidR="00894CB8" w:rsidRPr="00AF5964" w:rsidRDefault="00894CB8" w:rsidP="00894CB8">
      <w:pPr>
        <w:pStyle w:val="Textonotapie"/>
        <w:jc w:val="both"/>
        <w:rPr>
          <w:sz w:val="18"/>
          <w:szCs w:val="18"/>
        </w:rPr>
      </w:pPr>
      <w:r w:rsidRPr="00AF5964">
        <w:rPr>
          <w:sz w:val="18"/>
          <w:szCs w:val="18"/>
        </w:rPr>
        <w:t>[…]</w:t>
      </w:r>
    </w:p>
    <w:p w14:paraId="31B7F84F" w14:textId="5BC60F3A" w:rsidR="00894CB8" w:rsidRPr="00AF5964" w:rsidRDefault="00894CB8" w:rsidP="00894CB8">
      <w:pPr>
        <w:pStyle w:val="Textonotapie"/>
        <w:jc w:val="both"/>
        <w:rPr>
          <w:sz w:val="18"/>
          <w:szCs w:val="18"/>
        </w:rPr>
      </w:pPr>
      <w:r w:rsidRPr="00AF5964">
        <w:rPr>
          <w:sz w:val="18"/>
          <w:szCs w:val="18"/>
        </w:rPr>
        <w:t>X. Datos abiertos: los datos digitales de carácter público que son accesibles en línea que pueden ser usados, reutilizados y redistribuidos por cualquier persona y que tienen las siguientes características: a) Accesibles: están disponibles para la gama más amplia de usuarios, para cualquier propósito. b) Integrales: contienen el tema que describen a detalle y con los metadatos necesarios. c) Gratuitos: se obtienen sin entregar a cambio contraprestación alguna. d) No discriminatorios: están disponibles para cualquier persona, sin necesidad de registro. e) Oportunos: son actualizados periódicamente, conforme se generen. f) Permanentes: se conservan en el tiempo, para lo cual, las versiones históricas relevantes para uso público se mantendrán disponibles con identificadores adecuados al efecto. g) Primarios: provienen de la fuente de origen con el máximo nivel de desagregación posible. h) Legibles por máquinas: deben estar estructurados, total o parcialmente, para ser procesados e interpretados por equipos electrónicos de manera automática. i) En formatos abiertos: estarán disponibles con el conjunto de características técnicas y de presentación que corresponden a la estructura lógica usada para almacenar datos en un archivo digital, cuyas especificaciones técnicas están disponibles públicamente, que no suponen una dificultad de acceso y que su aplicación y reproducción no estén condicionadas a contraprestación alguna. j) De libre uso: citan la fuente de origen como único requerimiento para ser utilizados libremente</w:t>
      </w:r>
    </w:p>
  </w:footnote>
  <w:footnote w:id="6">
    <w:p w14:paraId="468ABE38" w14:textId="77777777" w:rsidR="004E093A" w:rsidRPr="00AF5964" w:rsidRDefault="004E093A" w:rsidP="004E093A">
      <w:pPr>
        <w:pStyle w:val="Textonotapie"/>
        <w:jc w:val="both"/>
        <w:rPr>
          <w:sz w:val="18"/>
          <w:szCs w:val="18"/>
        </w:rPr>
      </w:pPr>
      <w:r w:rsidRPr="00AF5964">
        <w:rPr>
          <w:rStyle w:val="Refdenotaalpie"/>
          <w:sz w:val="18"/>
          <w:szCs w:val="18"/>
        </w:rPr>
        <w:footnoteRef/>
      </w:r>
      <w:r w:rsidRPr="00AF5964">
        <w:rPr>
          <w:sz w:val="18"/>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53B057E3" w14:textId="77777777" w:rsidR="004E093A" w:rsidRPr="00AF5964" w:rsidRDefault="004E093A" w:rsidP="004E093A">
      <w:pPr>
        <w:pStyle w:val="Textonotapie"/>
        <w:jc w:val="both"/>
        <w:rPr>
          <w:sz w:val="18"/>
          <w:szCs w:val="18"/>
        </w:rPr>
      </w:pPr>
      <w:r w:rsidRPr="00AF5964">
        <w:rPr>
          <w:sz w:val="18"/>
          <w:szCs w:val="18"/>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2F288EBC" w14:textId="77777777" w:rsidR="004E093A" w:rsidRPr="00AF5964" w:rsidRDefault="004E093A" w:rsidP="004E093A">
      <w:pPr>
        <w:pStyle w:val="Textonotapie"/>
        <w:jc w:val="both"/>
        <w:rPr>
          <w:sz w:val="18"/>
          <w:szCs w:val="18"/>
        </w:rPr>
      </w:pPr>
      <w:r w:rsidRPr="00AF5964">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41F89205" w14:textId="77777777" w:rsidR="004E093A" w:rsidRPr="00CF67EF" w:rsidRDefault="004E093A" w:rsidP="004E093A">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0B4FBEBA" w:rsidR="00A66405" w:rsidRDefault="00946007" w:rsidP="007E5F3A">
        <w:pPr>
          <w:pStyle w:val="Encabezado"/>
          <w:jc w:val="center"/>
        </w:pPr>
        <w:r>
          <w:fldChar w:fldCharType="begin"/>
        </w:r>
        <w:r>
          <w:instrText>PAGE   \* MERGEFORMAT</w:instrText>
        </w:r>
        <w:r>
          <w:fldChar w:fldCharType="separate"/>
        </w:r>
        <w:r w:rsidR="00996B2F" w:rsidRPr="00996B2F">
          <w:rPr>
            <w:noProof/>
            <w:lang w:val="es-ES"/>
          </w:rPr>
          <w:t>12</w:t>
        </w:r>
        <w:r>
          <w:fldChar w:fldCharType="end"/>
        </w:r>
        <w:r>
          <w:t xml:space="preserve">                                  </w:t>
        </w:r>
      </w:p>
      <w:p w14:paraId="748FB0B7" w14:textId="237D75BE" w:rsidR="00A66405" w:rsidRDefault="00946007" w:rsidP="007F1CA7">
        <w:pPr>
          <w:pStyle w:val="Encabezado"/>
          <w:jc w:val="right"/>
        </w:pPr>
        <w:r>
          <w:t xml:space="preserve">RECURSO DE REVISIÓN </w:t>
        </w:r>
        <w:r w:rsidR="006E316F">
          <w:t>220</w:t>
        </w:r>
        <w:r>
          <w:t>/2019-1 PLATAFORMA</w:t>
        </w:r>
      </w:p>
    </w:sdtContent>
  </w:sdt>
  <w:p w14:paraId="477B550A" w14:textId="77777777" w:rsidR="00A66405" w:rsidRDefault="00560FD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49324328"/>
    <w:multiLevelType w:val="hybridMultilevel"/>
    <w:tmpl w:val="B03A475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ABE30ED"/>
    <w:multiLevelType w:val="hybridMultilevel"/>
    <w:tmpl w:val="46B614E8"/>
    <w:lvl w:ilvl="0" w:tplc="080A0001">
      <w:start w:val="1"/>
      <w:numFmt w:val="bullet"/>
      <w:lvlText w:val=""/>
      <w:lvlJc w:val="left"/>
      <w:pPr>
        <w:ind w:left="1492" w:hanging="360"/>
      </w:pPr>
      <w:rPr>
        <w:rFonts w:ascii="Symbol" w:hAnsi="Symbol" w:hint="default"/>
      </w:rPr>
    </w:lvl>
    <w:lvl w:ilvl="1" w:tplc="080A0003" w:tentative="1">
      <w:start w:val="1"/>
      <w:numFmt w:val="bullet"/>
      <w:lvlText w:val="o"/>
      <w:lvlJc w:val="left"/>
      <w:pPr>
        <w:ind w:left="2212" w:hanging="360"/>
      </w:pPr>
      <w:rPr>
        <w:rFonts w:ascii="Courier New" w:hAnsi="Courier New" w:cs="Courier New" w:hint="default"/>
      </w:rPr>
    </w:lvl>
    <w:lvl w:ilvl="2" w:tplc="080A0005" w:tentative="1">
      <w:start w:val="1"/>
      <w:numFmt w:val="bullet"/>
      <w:lvlText w:val=""/>
      <w:lvlJc w:val="left"/>
      <w:pPr>
        <w:ind w:left="2932" w:hanging="360"/>
      </w:pPr>
      <w:rPr>
        <w:rFonts w:ascii="Wingdings" w:hAnsi="Wingdings" w:hint="default"/>
      </w:rPr>
    </w:lvl>
    <w:lvl w:ilvl="3" w:tplc="080A0001" w:tentative="1">
      <w:start w:val="1"/>
      <w:numFmt w:val="bullet"/>
      <w:lvlText w:val=""/>
      <w:lvlJc w:val="left"/>
      <w:pPr>
        <w:ind w:left="3652" w:hanging="360"/>
      </w:pPr>
      <w:rPr>
        <w:rFonts w:ascii="Symbol" w:hAnsi="Symbol" w:hint="default"/>
      </w:rPr>
    </w:lvl>
    <w:lvl w:ilvl="4" w:tplc="080A0003" w:tentative="1">
      <w:start w:val="1"/>
      <w:numFmt w:val="bullet"/>
      <w:lvlText w:val="o"/>
      <w:lvlJc w:val="left"/>
      <w:pPr>
        <w:ind w:left="4372" w:hanging="360"/>
      </w:pPr>
      <w:rPr>
        <w:rFonts w:ascii="Courier New" w:hAnsi="Courier New" w:cs="Courier New" w:hint="default"/>
      </w:rPr>
    </w:lvl>
    <w:lvl w:ilvl="5" w:tplc="080A0005" w:tentative="1">
      <w:start w:val="1"/>
      <w:numFmt w:val="bullet"/>
      <w:lvlText w:val=""/>
      <w:lvlJc w:val="left"/>
      <w:pPr>
        <w:ind w:left="5092" w:hanging="360"/>
      </w:pPr>
      <w:rPr>
        <w:rFonts w:ascii="Wingdings" w:hAnsi="Wingdings" w:hint="default"/>
      </w:rPr>
    </w:lvl>
    <w:lvl w:ilvl="6" w:tplc="080A0001" w:tentative="1">
      <w:start w:val="1"/>
      <w:numFmt w:val="bullet"/>
      <w:lvlText w:val=""/>
      <w:lvlJc w:val="left"/>
      <w:pPr>
        <w:ind w:left="5812" w:hanging="360"/>
      </w:pPr>
      <w:rPr>
        <w:rFonts w:ascii="Symbol" w:hAnsi="Symbol" w:hint="default"/>
      </w:rPr>
    </w:lvl>
    <w:lvl w:ilvl="7" w:tplc="080A0003" w:tentative="1">
      <w:start w:val="1"/>
      <w:numFmt w:val="bullet"/>
      <w:lvlText w:val="o"/>
      <w:lvlJc w:val="left"/>
      <w:pPr>
        <w:ind w:left="6532" w:hanging="360"/>
      </w:pPr>
      <w:rPr>
        <w:rFonts w:ascii="Courier New" w:hAnsi="Courier New" w:cs="Courier New" w:hint="default"/>
      </w:rPr>
    </w:lvl>
    <w:lvl w:ilvl="8" w:tplc="080A0005" w:tentative="1">
      <w:start w:val="1"/>
      <w:numFmt w:val="bullet"/>
      <w:lvlText w:val=""/>
      <w:lvlJc w:val="left"/>
      <w:pPr>
        <w:ind w:left="7252"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37E62"/>
    <w:rsid w:val="000715ED"/>
    <w:rsid w:val="000D64A6"/>
    <w:rsid w:val="00100F22"/>
    <w:rsid w:val="00174E4F"/>
    <w:rsid w:val="00193E6A"/>
    <w:rsid w:val="001A0FA7"/>
    <w:rsid w:val="0023666E"/>
    <w:rsid w:val="002836EA"/>
    <w:rsid w:val="00285161"/>
    <w:rsid w:val="002C6A82"/>
    <w:rsid w:val="002E5565"/>
    <w:rsid w:val="002E6C7E"/>
    <w:rsid w:val="00304A77"/>
    <w:rsid w:val="0031791F"/>
    <w:rsid w:val="003273CB"/>
    <w:rsid w:val="003351A0"/>
    <w:rsid w:val="003C2BCD"/>
    <w:rsid w:val="003E3CB6"/>
    <w:rsid w:val="003E6E97"/>
    <w:rsid w:val="004A2293"/>
    <w:rsid w:val="004B21E7"/>
    <w:rsid w:val="004E093A"/>
    <w:rsid w:val="00524E08"/>
    <w:rsid w:val="00560FD5"/>
    <w:rsid w:val="005D54DD"/>
    <w:rsid w:val="005F1B0A"/>
    <w:rsid w:val="00605F78"/>
    <w:rsid w:val="00627AF6"/>
    <w:rsid w:val="00676793"/>
    <w:rsid w:val="006A0D11"/>
    <w:rsid w:val="006E316F"/>
    <w:rsid w:val="00713979"/>
    <w:rsid w:val="0074295E"/>
    <w:rsid w:val="00742AFD"/>
    <w:rsid w:val="00766778"/>
    <w:rsid w:val="00774ADD"/>
    <w:rsid w:val="007F62DE"/>
    <w:rsid w:val="00813197"/>
    <w:rsid w:val="0081713C"/>
    <w:rsid w:val="00832010"/>
    <w:rsid w:val="00843990"/>
    <w:rsid w:val="00894CB8"/>
    <w:rsid w:val="008B0264"/>
    <w:rsid w:val="008B5533"/>
    <w:rsid w:val="008B5E35"/>
    <w:rsid w:val="00931F30"/>
    <w:rsid w:val="00946007"/>
    <w:rsid w:val="00996B2F"/>
    <w:rsid w:val="009F5904"/>
    <w:rsid w:val="00AA36CF"/>
    <w:rsid w:val="00AB71F5"/>
    <w:rsid w:val="00AE2C79"/>
    <w:rsid w:val="00AF5964"/>
    <w:rsid w:val="00B0064B"/>
    <w:rsid w:val="00B135C5"/>
    <w:rsid w:val="00B50502"/>
    <w:rsid w:val="00BC1F31"/>
    <w:rsid w:val="00BE1B1C"/>
    <w:rsid w:val="00CC3873"/>
    <w:rsid w:val="00CC38D7"/>
    <w:rsid w:val="00CC3C52"/>
    <w:rsid w:val="00D4006E"/>
    <w:rsid w:val="00D6663E"/>
    <w:rsid w:val="00DD1478"/>
    <w:rsid w:val="00DF3B87"/>
    <w:rsid w:val="00E0750B"/>
    <w:rsid w:val="00E22DCB"/>
    <w:rsid w:val="00E81C3D"/>
    <w:rsid w:val="00ED558F"/>
    <w:rsid w:val="00F444A5"/>
    <w:rsid w:val="00F86C61"/>
    <w:rsid w:val="00FB0B93"/>
    <w:rsid w:val="00FC33CD"/>
    <w:rsid w:val="00FF4A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FF4AFB"/>
    <w:pPr>
      <w:spacing w:after="0" w:line="240" w:lineRule="auto"/>
    </w:pPr>
    <w:rPr>
      <w:sz w:val="20"/>
      <w:szCs w:val="20"/>
    </w:rPr>
  </w:style>
  <w:style w:type="character" w:customStyle="1" w:styleId="TextonotapieCar">
    <w:name w:val="Texto nota pie Car"/>
    <w:basedOn w:val="Fuentedeprrafopredeter"/>
    <w:link w:val="Textonotapie"/>
    <w:uiPriority w:val="99"/>
    <w:rsid w:val="00FF4AFB"/>
    <w:rPr>
      <w:rFonts w:eastAsiaTheme="minorEastAsia"/>
      <w:sz w:val="20"/>
      <w:szCs w:val="20"/>
      <w:lang w:eastAsia="es-MX"/>
    </w:rPr>
  </w:style>
  <w:style w:type="character" w:styleId="Refdenotaalpie">
    <w:name w:val="footnote reference"/>
    <w:basedOn w:val="Fuentedeprrafopredeter"/>
    <w:uiPriority w:val="99"/>
    <w:unhideWhenUsed/>
    <w:rsid w:val="00FF4AF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AC8A55-2052-453D-A0CC-AC2C87C21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12</Pages>
  <Words>3226</Words>
  <Characters>17747</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cp:revision>
  <dcterms:created xsi:type="dcterms:W3CDTF">2020-01-31T14:51:00Z</dcterms:created>
  <dcterms:modified xsi:type="dcterms:W3CDTF">2020-01-31T16:50:00Z</dcterms:modified>
</cp:coreProperties>
</file>