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1FD3" w:rsidRDefault="002012E8" w:rsidP="002012E8">
      <w:pPr>
        <w:spacing w:after="0" w:line="276" w:lineRule="auto"/>
        <w:jc w:val="both"/>
        <w:rPr>
          <w:rFonts w:ascii="Arial" w:eastAsia="Calibri" w:hAnsi="Arial" w:cs="Arial"/>
          <w:b/>
          <w:lang w:val="es-MX"/>
        </w:rPr>
      </w:pPr>
      <w:r w:rsidRPr="00FE10DF">
        <w:rPr>
          <w:rFonts w:ascii="Arial" w:eastAsia="Calibri" w:hAnsi="Arial" w:cs="Arial"/>
          <w:b/>
          <w:lang w:val="es-MX"/>
        </w:rPr>
        <w:t>DEMZ-</w:t>
      </w:r>
      <w:r w:rsidR="006E1AE5">
        <w:rPr>
          <w:rFonts w:ascii="Arial" w:eastAsia="Calibri" w:hAnsi="Arial" w:cs="Arial"/>
          <w:b/>
          <w:lang w:val="es-MX"/>
        </w:rPr>
        <w:t>746</w:t>
      </w:r>
      <w:r>
        <w:rPr>
          <w:rFonts w:ascii="Arial" w:eastAsia="Calibri" w:hAnsi="Arial" w:cs="Arial"/>
          <w:b/>
          <w:lang w:val="es-MX"/>
        </w:rPr>
        <w:t xml:space="preserve">/2022. </w:t>
      </w:r>
      <w:r w:rsidR="006E1AE5">
        <w:rPr>
          <w:rFonts w:ascii="Arial" w:eastAsia="Calibri" w:hAnsi="Arial" w:cs="Arial"/>
          <w:b/>
          <w:lang w:val="es-MX"/>
        </w:rPr>
        <w:t>TITULAR DEL MUNICIPIO DE VILLA DE RAMOS</w:t>
      </w:r>
    </w:p>
    <w:p w:rsidR="002012E8" w:rsidRDefault="00981FD3" w:rsidP="002012E8">
      <w:pPr>
        <w:spacing w:after="0" w:line="276" w:lineRule="auto"/>
        <w:jc w:val="both"/>
        <w:rPr>
          <w:rFonts w:ascii="Arial" w:eastAsia="Calibri" w:hAnsi="Arial" w:cs="Arial"/>
          <w:b/>
          <w:lang w:val="es-MX"/>
        </w:rPr>
      </w:pPr>
      <w:r w:rsidRPr="00981FD3">
        <w:rPr>
          <w:rFonts w:ascii="Arial" w:eastAsia="Calibri" w:hAnsi="Arial" w:cs="Arial"/>
          <w:b/>
          <w:lang w:val="es-MX"/>
        </w:rPr>
        <w:t xml:space="preserve"> </w:t>
      </w:r>
      <w:r w:rsidR="002012E8" w:rsidRPr="00FE10DF">
        <w:rPr>
          <w:rFonts w:ascii="Arial" w:eastAsia="Calibri" w:hAnsi="Arial" w:cs="Arial"/>
          <w:b/>
          <w:lang w:val="es-MX"/>
        </w:rPr>
        <w:t>PRESENTE.-</w:t>
      </w:r>
    </w:p>
    <w:p w:rsidR="00217971" w:rsidRDefault="00217971" w:rsidP="002012E8">
      <w:pPr>
        <w:spacing w:after="0" w:line="276" w:lineRule="auto"/>
        <w:jc w:val="both"/>
        <w:rPr>
          <w:rFonts w:ascii="Arial" w:eastAsia="Calibri" w:hAnsi="Arial" w:cs="Arial"/>
          <w:b/>
          <w:lang w:val="es-MX"/>
        </w:rPr>
      </w:pPr>
    </w:p>
    <w:p w:rsidR="00217971" w:rsidRDefault="00217971" w:rsidP="002012E8">
      <w:pPr>
        <w:spacing w:after="0" w:line="276" w:lineRule="auto"/>
        <w:jc w:val="both"/>
        <w:rPr>
          <w:rFonts w:ascii="Arial" w:eastAsia="Calibri" w:hAnsi="Arial" w:cs="Arial"/>
          <w:b/>
          <w:lang w:val="es-MX"/>
        </w:rPr>
      </w:pPr>
    </w:p>
    <w:p w:rsidR="006E1AE5" w:rsidRDefault="00217971" w:rsidP="0021797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6E1AE5">
        <w:rPr>
          <w:rFonts w:ascii="Arial" w:eastAsia="Calibri" w:hAnsi="Arial" w:cs="Arial"/>
          <w:b/>
          <w:lang w:val="es-MX"/>
        </w:rPr>
        <w:t>747</w:t>
      </w:r>
      <w:r>
        <w:rPr>
          <w:rFonts w:ascii="Arial" w:eastAsia="Calibri" w:hAnsi="Arial" w:cs="Arial"/>
          <w:b/>
          <w:lang w:val="es-MX"/>
        </w:rPr>
        <w:t xml:space="preserve">/2022. </w:t>
      </w:r>
      <w:r w:rsidR="006E1AE5">
        <w:rPr>
          <w:rFonts w:ascii="Arial" w:eastAsia="Calibri" w:hAnsi="Arial" w:cs="Arial"/>
          <w:b/>
          <w:lang w:val="es-MX"/>
        </w:rPr>
        <w:t>TITULAR DE UNIDAD DE TRANSPARENCIA DEL MUNICIPIO DE VILLA DE RAMOS</w:t>
      </w:r>
    </w:p>
    <w:p w:rsidR="00217971" w:rsidRPr="00FE10DF" w:rsidRDefault="00217971" w:rsidP="00217971">
      <w:pPr>
        <w:spacing w:after="0" w:line="276" w:lineRule="auto"/>
        <w:jc w:val="both"/>
        <w:rPr>
          <w:rFonts w:ascii="Arial" w:eastAsia="Calibri" w:hAnsi="Arial" w:cs="Arial"/>
          <w:b/>
          <w:lang w:val="es-MX"/>
        </w:rPr>
      </w:pPr>
      <w:r w:rsidRPr="00FE10DF">
        <w:rPr>
          <w:rFonts w:ascii="Arial" w:eastAsia="Calibri" w:hAnsi="Arial" w:cs="Arial"/>
          <w:b/>
          <w:lang w:val="es-MX"/>
        </w:rPr>
        <w:t>PRESENTE.-</w:t>
      </w:r>
    </w:p>
    <w:p w:rsidR="00217971" w:rsidRPr="00FE10DF" w:rsidRDefault="00217971" w:rsidP="002012E8">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E22421" w:rsidRPr="00FE10DF" w:rsidRDefault="00E22421" w:rsidP="005A47D6">
      <w:pPr>
        <w:spacing w:after="200" w:line="276" w:lineRule="auto"/>
        <w:jc w:val="both"/>
        <w:rPr>
          <w:rFonts w:ascii="Arial" w:eastAsia="Calibri" w:hAnsi="Arial" w:cs="Arial"/>
          <w:b/>
          <w:lang w:val="es-MX"/>
        </w:rPr>
      </w:pPr>
    </w:p>
    <w:p w:rsidR="005A47D6" w:rsidRPr="00FE10DF" w:rsidRDefault="005A47D6" w:rsidP="005A47D6">
      <w:pPr>
        <w:spacing w:after="200" w:line="360" w:lineRule="auto"/>
        <w:jc w:val="both"/>
        <w:rPr>
          <w:rFonts w:ascii="Arial" w:eastAsia="Calibri" w:hAnsi="Arial" w:cs="Arial"/>
          <w:bCs/>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 xml:space="preserve">ocimiento que en </w:t>
      </w:r>
      <w:r w:rsidR="007F50CF">
        <w:rPr>
          <w:rFonts w:ascii="Arial" w:eastAsia="Calibri" w:hAnsi="Arial" w:cs="Arial"/>
          <w:lang w:val="es-MX"/>
        </w:rPr>
        <w:t>02 dos de mayo</w:t>
      </w:r>
      <w:r w:rsidR="0063445C">
        <w:rPr>
          <w:rFonts w:ascii="Arial" w:eastAsia="Calibri" w:hAnsi="Arial" w:cs="Arial"/>
          <w:lang w:val="es-MX"/>
        </w:rPr>
        <w:t xml:space="preserve"> </w:t>
      </w:r>
      <w:r w:rsidR="00E22421" w:rsidRPr="00FE10DF">
        <w:rPr>
          <w:rFonts w:ascii="Arial" w:eastAsia="Calibri" w:hAnsi="Arial" w:cs="Arial"/>
          <w:lang w:val="es-MX"/>
        </w:rPr>
        <w:t>de 2022</w:t>
      </w:r>
      <w:r w:rsidR="00FE10DF" w:rsidRPr="00FE10DF">
        <w:rPr>
          <w:rFonts w:ascii="Arial" w:eastAsia="Calibri" w:hAnsi="Arial" w:cs="Arial"/>
          <w:lang w:val="es-MX"/>
        </w:rPr>
        <w:t xml:space="preserve"> dos mil veintidós</w:t>
      </w:r>
      <w:r w:rsidRPr="00FE10DF">
        <w:rPr>
          <w:rFonts w:ascii="Arial" w:eastAsia="Calibri" w:hAnsi="Arial" w:cs="Arial"/>
          <w:lang w:val="es-MX"/>
        </w:rPr>
        <w:t xml:space="preserve">, se dictó un proveído dentro de los autos que integran el recurso de revisión </w:t>
      </w:r>
      <w:r w:rsidRPr="00FE10DF">
        <w:rPr>
          <w:rFonts w:ascii="Arial" w:eastAsia="Calibri" w:hAnsi="Arial" w:cs="Arial"/>
          <w:b/>
          <w:lang w:val="es-MX"/>
        </w:rPr>
        <w:t>RR-</w:t>
      </w:r>
      <w:r w:rsidR="006E1AE5">
        <w:rPr>
          <w:rFonts w:ascii="Arial" w:eastAsia="Calibri" w:hAnsi="Arial" w:cs="Arial"/>
          <w:b/>
          <w:lang w:val="es-MX"/>
        </w:rPr>
        <w:t>1728</w:t>
      </w:r>
      <w:r w:rsidRPr="00FE10DF">
        <w:rPr>
          <w:rFonts w:ascii="Arial" w:eastAsia="Calibri" w:hAnsi="Arial" w:cs="Arial"/>
          <w:b/>
          <w:lang w:val="es-MX"/>
        </w:rPr>
        <w:t>/20</w:t>
      </w:r>
      <w:r w:rsidR="006E1AE5">
        <w:rPr>
          <w:rFonts w:ascii="Arial" w:eastAsia="Calibri" w:hAnsi="Arial" w:cs="Arial"/>
          <w:b/>
          <w:lang w:val="es-MX"/>
        </w:rPr>
        <w:t>19</w:t>
      </w:r>
      <w:bookmarkStart w:id="0" w:name="_GoBack"/>
      <w:bookmarkEnd w:id="0"/>
      <w:r w:rsidRPr="00FE10DF">
        <w:rPr>
          <w:rFonts w:ascii="Arial" w:eastAsia="Calibri" w:hAnsi="Arial" w:cs="Arial"/>
          <w:b/>
          <w:lang w:val="es-MX"/>
        </w:rPr>
        <w:t>-1,</w:t>
      </w:r>
      <w:r w:rsidRPr="00FE10DF">
        <w:rPr>
          <w:rFonts w:ascii="Arial" w:eastAsia="Calibri" w:hAnsi="Arial" w:cs="Arial"/>
          <w:bCs/>
          <w:lang w:val="es-MX"/>
        </w:rPr>
        <w:t xml:space="preserve"> mismo que a la letra dice:</w:t>
      </w:r>
    </w:p>
    <w:p w:rsidR="006E1AE5" w:rsidRPr="006E1AE5" w:rsidRDefault="006E1AE5" w:rsidP="006E1AE5">
      <w:pPr>
        <w:tabs>
          <w:tab w:val="left" w:pos="6840"/>
        </w:tabs>
        <w:spacing w:line="360" w:lineRule="auto"/>
        <w:ind w:firstLine="708"/>
        <w:outlineLvl w:val="5"/>
        <w:rPr>
          <w:rFonts w:ascii="Arial" w:hAnsi="Arial" w:cs="Arial"/>
          <w:i/>
          <w:color w:val="44546A" w:themeColor="text2"/>
          <w:sz w:val="20"/>
          <w:szCs w:val="20"/>
        </w:rPr>
      </w:pPr>
      <w:r w:rsidRPr="006E1AE5">
        <w:rPr>
          <w:rFonts w:ascii="Arial" w:hAnsi="Arial" w:cs="Arial"/>
          <w:i/>
          <w:color w:val="44546A" w:themeColor="text2"/>
          <w:sz w:val="20"/>
          <w:szCs w:val="20"/>
        </w:rPr>
        <w:t>San Luis Potosí, San Luis Potosí, a 24 veinticuatro de mayo de 2022 dos mil veintidós.</w:t>
      </w:r>
    </w:p>
    <w:p w:rsidR="006E1AE5" w:rsidRPr="009A10E6" w:rsidRDefault="006E1AE5" w:rsidP="006E1AE5">
      <w:pPr>
        <w:tabs>
          <w:tab w:val="left" w:pos="6840"/>
        </w:tabs>
        <w:spacing w:line="360" w:lineRule="auto"/>
        <w:ind w:firstLine="708"/>
        <w:outlineLvl w:val="5"/>
        <w:rPr>
          <w:rFonts w:ascii="Arial" w:hAnsi="Arial" w:cs="Arial"/>
        </w:rPr>
      </w:pPr>
    </w:p>
    <w:p w:rsidR="006E1AE5" w:rsidRPr="009A10E6" w:rsidRDefault="006E1AE5" w:rsidP="006E1AE5">
      <w:pPr>
        <w:spacing w:line="360" w:lineRule="auto"/>
        <w:jc w:val="both"/>
        <w:rPr>
          <w:rFonts w:ascii="Arial" w:hAnsi="Arial" w:cs="Arial"/>
        </w:rPr>
      </w:pPr>
    </w:p>
    <w:p w:rsidR="006E1AE5" w:rsidRPr="006E1AE5" w:rsidRDefault="006E1AE5" w:rsidP="006E1AE5">
      <w:pPr>
        <w:spacing w:line="360" w:lineRule="auto"/>
        <w:ind w:firstLine="708"/>
        <w:jc w:val="both"/>
        <w:rPr>
          <w:rFonts w:ascii="Arial" w:hAnsi="Arial" w:cs="Arial"/>
          <w:i/>
          <w:color w:val="44546A" w:themeColor="text2"/>
          <w:sz w:val="20"/>
          <w:szCs w:val="20"/>
        </w:rPr>
      </w:pPr>
      <w:r>
        <w:rPr>
          <w:rFonts w:ascii="Arial" w:hAnsi="Arial" w:cs="Arial"/>
          <w:i/>
          <w:color w:val="44546A" w:themeColor="text2"/>
          <w:sz w:val="20"/>
          <w:szCs w:val="20"/>
        </w:rPr>
        <w:t>“</w:t>
      </w:r>
      <w:r w:rsidRPr="006E1AE5">
        <w:rPr>
          <w:rFonts w:ascii="Arial" w:hAnsi="Arial" w:cs="Arial"/>
          <w:i/>
          <w:color w:val="44546A" w:themeColor="text2"/>
          <w:sz w:val="20"/>
          <w:szCs w:val="20"/>
        </w:rPr>
        <w:t>Visto el estado que guardan los presentes autos y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RR-1728/2019-1.</w:t>
      </w:r>
    </w:p>
    <w:p w:rsidR="006E1AE5" w:rsidRPr="006E1AE5" w:rsidRDefault="006E1AE5" w:rsidP="006E1AE5">
      <w:pPr>
        <w:spacing w:line="360" w:lineRule="auto"/>
        <w:ind w:firstLine="708"/>
        <w:jc w:val="both"/>
        <w:rPr>
          <w:rFonts w:ascii="Arial" w:hAnsi="Arial" w:cs="Arial"/>
          <w:i/>
          <w:color w:val="44546A" w:themeColor="text2"/>
          <w:sz w:val="20"/>
          <w:szCs w:val="20"/>
        </w:rPr>
      </w:pPr>
    </w:p>
    <w:p w:rsidR="006E1AE5" w:rsidRPr="006E1AE5" w:rsidRDefault="006E1AE5" w:rsidP="006E1AE5">
      <w:pPr>
        <w:spacing w:line="360" w:lineRule="auto"/>
        <w:ind w:firstLine="708"/>
        <w:jc w:val="both"/>
        <w:rPr>
          <w:rFonts w:ascii="Arial" w:hAnsi="Arial" w:cs="Arial"/>
          <w:i/>
          <w:color w:val="44546A" w:themeColor="text2"/>
          <w:sz w:val="20"/>
          <w:szCs w:val="20"/>
        </w:rPr>
      </w:pPr>
      <w:r w:rsidRPr="006E1AE5">
        <w:rPr>
          <w:rFonts w:ascii="Arial" w:hAnsi="Arial" w:cs="Arial"/>
          <w:i/>
          <w:color w:val="44546A" w:themeColor="text2"/>
          <w:sz w:val="20"/>
          <w:szCs w:val="20"/>
        </w:rPr>
        <w:t>En primer término, resulta necesario insertar los efectos dictados en la resolución:</w:t>
      </w:r>
    </w:p>
    <w:p w:rsidR="006E1AE5" w:rsidRPr="006E1AE5" w:rsidRDefault="006E1AE5" w:rsidP="006E1AE5">
      <w:pPr>
        <w:pStyle w:val="corte4fondo"/>
        <w:tabs>
          <w:tab w:val="left" w:pos="567"/>
        </w:tabs>
        <w:spacing w:line="240" w:lineRule="auto"/>
        <w:rPr>
          <w:rFonts w:eastAsiaTheme="minorHAnsi" w:cs="Arial"/>
          <w:i/>
          <w:color w:val="44546A" w:themeColor="text2"/>
          <w:sz w:val="20"/>
          <w:szCs w:val="20"/>
        </w:rPr>
      </w:pPr>
    </w:p>
    <w:p w:rsidR="006E1AE5" w:rsidRPr="006E1AE5" w:rsidRDefault="006E1AE5" w:rsidP="006E1AE5">
      <w:pPr>
        <w:pStyle w:val="corte4fondo"/>
        <w:tabs>
          <w:tab w:val="left" w:pos="567"/>
        </w:tabs>
        <w:spacing w:line="240" w:lineRule="auto"/>
        <w:rPr>
          <w:rFonts w:eastAsiaTheme="minorHAnsi" w:cs="Arial"/>
          <w:i/>
          <w:color w:val="44546A" w:themeColor="text2"/>
          <w:sz w:val="20"/>
          <w:szCs w:val="20"/>
        </w:rPr>
      </w:pPr>
      <w:r w:rsidRPr="006E1AE5">
        <w:rPr>
          <w:rFonts w:eastAsiaTheme="minorHAnsi" w:cs="Arial"/>
          <w:i/>
          <w:color w:val="44546A" w:themeColor="text2"/>
          <w:sz w:val="20"/>
          <w:szCs w:val="20"/>
        </w:rPr>
        <w:t>“[…]</w:t>
      </w:r>
    </w:p>
    <w:p w:rsidR="006E1AE5" w:rsidRPr="006E1AE5" w:rsidRDefault="006E1AE5" w:rsidP="006E1AE5">
      <w:pPr>
        <w:pStyle w:val="corte4fondo"/>
        <w:tabs>
          <w:tab w:val="left" w:pos="567"/>
        </w:tabs>
        <w:ind w:left="680"/>
        <w:rPr>
          <w:rFonts w:eastAsiaTheme="minorHAnsi" w:cs="Arial"/>
          <w:i/>
          <w:color w:val="44546A" w:themeColor="text2"/>
          <w:sz w:val="20"/>
          <w:szCs w:val="20"/>
        </w:rPr>
      </w:pPr>
      <w:r w:rsidRPr="006E1AE5">
        <w:rPr>
          <w:rFonts w:eastAsiaTheme="minorHAnsi" w:cs="Arial"/>
          <w:i/>
          <w:color w:val="44546A" w:themeColor="text2"/>
          <w:sz w:val="20"/>
          <w:szCs w:val="20"/>
        </w:rPr>
        <w:t>6.1. Sentido y efectos de esta resolución.</w:t>
      </w:r>
    </w:p>
    <w:p w:rsidR="006E1AE5" w:rsidRPr="006E1AE5" w:rsidRDefault="006E1AE5" w:rsidP="006E1AE5">
      <w:pPr>
        <w:pStyle w:val="corte4fondo"/>
        <w:tabs>
          <w:tab w:val="left" w:pos="567"/>
        </w:tabs>
        <w:ind w:left="680"/>
        <w:rPr>
          <w:rFonts w:eastAsiaTheme="minorHAnsi" w:cs="Arial"/>
          <w:i/>
          <w:color w:val="44546A" w:themeColor="text2"/>
          <w:sz w:val="20"/>
          <w:szCs w:val="20"/>
        </w:rPr>
      </w:pPr>
      <w:r w:rsidRPr="006E1AE5">
        <w:rPr>
          <w:rFonts w:eastAsiaTheme="minorHAnsi" w:cs="Arial"/>
          <w:i/>
          <w:color w:val="44546A" w:themeColor="text2"/>
          <w:sz w:val="20"/>
          <w:szCs w:val="20"/>
        </w:rPr>
        <w:t>Por las consideraciones expuestas, esta Comisión Estatal de Garantía de Acceso a la Información Pública de conformidad con el artículo 175 fracción III de la Ley de Transparencia y Acceso a la Información Pública del Estado, MODIFICA EL ACTO IMPUGNADO y conmina al sujeto obligado para que:</w:t>
      </w:r>
    </w:p>
    <w:p w:rsidR="006E1AE5" w:rsidRPr="006E1AE5" w:rsidRDefault="006E1AE5" w:rsidP="006E1AE5">
      <w:pPr>
        <w:pStyle w:val="corte4fondo"/>
        <w:tabs>
          <w:tab w:val="left" w:pos="567"/>
        </w:tabs>
        <w:ind w:left="680"/>
        <w:rPr>
          <w:rFonts w:eastAsiaTheme="minorHAnsi" w:cs="Arial"/>
          <w:i/>
          <w:color w:val="44546A" w:themeColor="text2"/>
          <w:sz w:val="20"/>
          <w:szCs w:val="20"/>
        </w:rPr>
      </w:pPr>
      <w:r w:rsidRPr="006E1AE5">
        <w:rPr>
          <w:rFonts w:eastAsiaTheme="minorHAnsi" w:cs="Arial"/>
          <w:i/>
          <w:color w:val="44546A" w:themeColor="text2"/>
          <w:sz w:val="20"/>
          <w:szCs w:val="20"/>
        </w:rPr>
        <w:t xml:space="preserve">6.1.1. Proporcione al particular los formatos de la Plataforma Estatal de Transparencia correspondientes al </w:t>
      </w:r>
      <w:proofErr w:type="spellStart"/>
      <w:r w:rsidRPr="006E1AE5">
        <w:rPr>
          <w:rFonts w:eastAsiaTheme="minorHAnsi" w:cs="Arial"/>
          <w:i/>
          <w:color w:val="44546A" w:themeColor="text2"/>
          <w:sz w:val="20"/>
          <w:szCs w:val="20"/>
        </w:rPr>
        <w:t>articulo</w:t>
      </w:r>
      <w:proofErr w:type="spellEnd"/>
      <w:r w:rsidRPr="006E1AE5">
        <w:rPr>
          <w:rFonts w:eastAsiaTheme="minorHAnsi" w:cs="Arial"/>
          <w:i/>
          <w:color w:val="44546A" w:themeColor="text2"/>
          <w:sz w:val="20"/>
          <w:szCs w:val="20"/>
        </w:rPr>
        <w:t xml:space="preserve"> 84 fracción XI, en los que pueda acceder a toda la información que peticionó, consistente en: “remuneración bruta y neta mensual del Alcalde, Regidores, Síndicos, funcionarios y empleados de la actual administración.</w:t>
      </w:r>
    </w:p>
    <w:p w:rsidR="006E1AE5" w:rsidRPr="006E1AE5" w:rsidRDefault="006E1AE5" w:rsidP="006E1AE5">
      <w:pPr>
        <w:pStyle w:val="corte4fondo"/>
        <w:tabs>
          <w:tab w:val="left" w:pos="567"/>
        </w:tabs>
        <w:ind w:left="680"/>
        <w:rPr>
          <w:rFonts w:eastAsiaTheme="minorHAnsi" w:cs="Arial"/>
          <w:i/>
          <w:color w:val="44546A" w:themeColor="text2"/>
          <w:sz w:val="20"/>
          <w:szCs w:val="20"/>
        </w:rPr>
      </w:pPr>
      <w:r w:rsidRPr="006E1AE5">
        <w:rPr>
          <w:rFonts w:eastAsiaTheme="minorHAnsi" w:cs="Arial"/>
          <w:i/>
          <w:color w:val="44546A" w:themeColor="text2"/>
          <w:sz w:val="20"/>
          <w:szCs w:val="20"/>
        </w:rPr>
        <w:t xml:space="preserve">Así mismo se especifiquen en caso de existir las percepciones, incluyendo sueldo, prestaciones, gratificaciones, primas, comisiones, dietas, bonos, estímulos, </w:t>
      </w:r>
      <w:r w:rsidRPr="006E1AE5">
        <w:rPr>
          <w:rFonts w:eastAsiaTheme="minorHAnsi" w:cs="Arial"/>
          <w:i/>
          <w:color w:val="44546A" w:themeColor="text2"/>
          <w:sz w:val="20"/>
          <w:szCs w:val="20"/>
        </w:rPr>
        <w:lastRenderedPageBreak/>
        <w:t>ingresos y sistemas de compensación, señalando la periodicidad de dicha remuneración.”</w:t>
      </w:r>
    </w:p>
    <w:p w:rsidR="006E1AE5" w:rsidRPr="006E1AE5" w:rsidRDefault="006E1AE5" w:rsidP="006E1AE5">
      <w:pPr>
        <w:spacing w:line="360" w:lineRule="auto"/>
        <w:jc w:val="both"/>
        <w:rPr>
          <w:rFonts w:ascii="Arial" w:hAnsi="Arial" w:cs="Arial"/>
          <w:i/>
          <w:color w:val="44546A" w:themeColor="text2"/>
          <w:sz w:val="20"/>
          <w:szCs w:val="20"/>
        </w:rPr>
      </w:pPr>
    </w:p>
    <w:p w:rsidR="006E1AE5" w:rsidRPr="006E1AE5" w:rsidRDefault="006E1AE5" w:rsidP="006E1AE5">
      <w:pPr>
        <w:spacing w:line="360" w:lineRule="auto"/>
        <w:ind w:firstLine="708"/>
        <w:jc w:val="both"/>
        <w:rPr>
          <w:rFonts w:ascii="Arial" w:hAnsi="Arial" w:cs="Arial"/>
          <w:i/>
          <w:color w:val="44546A" w:themeColor="text2"/>
          <w:sz w:val="20"/>
          <w:szCs w:val="20"/>
        </w:rPr>
      </w:pPr>
      <w:r w:rsidRPr="006E1AE5">
        <w:rPr>
          <w:rFonts w:ascii="Arial" w:hAnsi="Arial" w:cs="Arial"/>
          <w:i/>
          <w:color w:val="44546A" w:themeColor="text2"/>
          <w:sz w:val="20"/>
          <w:szCs w:val="20"/>
        </w:rPr>
        <w:t>Derivado de lo anterior, y de una revisión a las constancias que integran el recurso de revisión en que se actúa, se advierte ha transcurrido el termino otorgado 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mérito.</w:t>
      </w:r>
    </w:p>
    <w:p w:rsidR="006E1AE5" w:rsidRPr="006E1AE5" w:rsidRDefault="006E1AE5" w:rsidP="006E1AE5">
      <w:pPr>
        <w:spacing w:line="360" w:lineRule="auto"/>
        <w:jc w:val="both"/>
        <w:rPr>
          <w:rFonts w:ascii="Arial" w:hAnsi="Arial" w:cs="Arial"/>
          <w:i/>
          <w:color w:val="44546A" w:themeColor="text2"/>
          <w:sz w:val="20"/>
          <w:szCs w:val="20"/>
        </w:rPr>
      </w:pPr>
    </w:p>
    <w:p w:rsidR="006E1AE5" w:rsidRPr="006E1AE5" w:rsidRDefault="006E1AE5" w:rsidP="006E1AE5">
      <w:pPr>
        <w:spacing w:line="360" w:lineRule="auto"/>
        <w:ind w:firstLine="708"/>
        <w:jc w:val="both"/>
        <w:rPr>
          <w:rFonts w:ascii="Arial" w:hAnsi="Arial" w:cs="Arial"/>
          <w:i/>
          <w:color w:val="44546A" w:themeColor="text2"/>
          <w:sz w:val="20"/>
          <w:szCs w:val="20"/>
        </w:rPr>
      </w:pPr>
      <w:r w:rsidRPr="006E1AE5">
        <w:rPr>
          <w:rFonts w:ascii="Arial" w:hAnsi="Arial" w:cs="Arial"/>
          <w:i/>
          <w:color w:val="44546A" w:themeColor="text2"/>
          <w:sz w:val="20"/>
          <w:szCs w:val="20"/>
        </w:rPr>
        <w:t>En las condiciones anotadas, de la revisión al citado recurso de revisión se desprende que el sujeto obligado no acredita el cumplimiento a la resolución de mérito.</w:t>
      </w:r>
    </w:p>
    <w:p w:rsidR="006E1AE5" w:rsidRPr="006E1AE5" w:rsidRDefault="006E1AE5" w:rsidP="006E1AE5">
      <w:pPr>
        <w:spacing w:line="360" w:lineRule="auto"/>
        <w:ind w:firstLine="708"/>
        <w:jc w:val="both"/>
        <w:rPr>
          <w:rFonts w:ascii="Arial" w:hAnsi="Arial" w:cs="Arial"/>
          <w:i/>
          <w:color w:val="44546A" w:themeColor="text2"/>
          <w:sz w:val="20"/>
          <w:szCs w:val="20"/>
        </w:rPr>
      </w:pPr>
    </w:p>
    <w:p w:rsidR="006E1AE5" w:rsidRPr="006E1AE5" w:rsidRDefault="006E1AE5" w:rsidP="006E1AE5">
      <w:pPr>
        <w:spacing w:line="360" w:lineRule="auto"/>
        <w:ind w:firstLine="680"/>
        <w:jc w:val="both"/>
        <w:rPr>
          <w:rFonts w:ascii="Arial" w:hAnsi="Arial" w:cs="Arial"/>
          <w:i/>
          <w:color w:val="44546A" w:themeColor="text2"/>
          <w:sz w:val="20"/>
          <w:szCs w:val="20"/>
        </w:rPr>
      </w:pPr>
      <w:r w:rsidRPr="006E1AE5">
        <w:rPr>
          <w:rFonts w:ascii="Arial" w:hAnsi="Arial" w:cs="Arial"/>
          <w:i/>
          <w:color w:val="44546A" w:themeColor="text2"/>
          <w:sz w:val="20"/>
          <w:szCs w:val="20"/>
        </w:rPr>
        <w:t>Consecuentemente, este organismo garante no cuenta con los elementos suficientes para analizar si el sujeto obligado dio o no cumplimiento a la ya citada resolución y por tanto la resolución se encuentra incumplida.</w:t>
      </w:r>
    </w:p>
    <w:p w:rsidR="006E1AE5" w:rsidRPr="006E1AE5" w:rsidRDefault="006E1AE5" w:rsidP="006E1AE5">
      <w:pPr>
        <w:spacing w:line="360" w:lineRule="auto"/>
        <w:jc w:val="both"/>
        <w:rPr>
          <w:rFonts w:ascii="Arial" w:hAnsi="Arial" w:cs="Arial"/>
          <w:i/>
          <w:color w:val="44546A" w:themeColor="text2"/>
          <w:sz w:val="20"/>
          <w:szCs w:val="20"/>
        </w:rPr>
      </w:pPr>
    </w:p>
    <w:p w:rsidR="006E1AE5" w:rsidRPr="006E1AE5" w:rsidRDefault="006E1AE5" w:rsidP="006E1AE5">
      <w:pPr>
        <w:spacing w:line="360" w:lineRule="auto"/>
        <w:ind w:firstLine="708"/>
        <w:jc w:val="both"/>
        <w:rPr>
          <w:rFonts w:ascii="Arial" w:hAnsi="Arial" w:cs="Arial"/>
          <w:i/>
          <w:color w:val="44546A" w:themeColor="text2"/>
          <w:sz w:val="20"/>
          <w:szCs w:val="20"/>
        </w:rPr>
      </w:pPr>
      <w:r w:rsidRPr="006E1AE5">
        <w:rPr>
          <w:rFonts w:ascii="Arial" w:hAnsi="Arial" w:cs="Arial"/>
          <w:i/>
          <w:color w:val="44546A" w:themeColor="text2"/>
          <w:sz w:val="20"/>
          <w:szCs w:val="20"/>
        </w:rPr>
        <w:t>Bajo este contexto, resulta pertinente transcribir lo dispuesto por la Ley de transparencia señala en sus artículos 183 y 184 lo siguiente:</w:t>
      </w:r>
    </w:p>
    <w:p w:rsidR="006E1AE5" w:rsidRPr="006E1AE5" w:rsidRDefault="006E1AE5" w:rsidP="006E1AE5">
      <w:pPr>
        <w:spacing w:line="360" w:lineRule="auto"/>
        <w:jc w:val="both"/>
        <w:rPr>
          <w:rFonts w:ascii="Arial" w:hAnsi="Arial" w:cs="Arial"/>
          <w:i/>
          <w:color w:val="44546A" w:themeColor="text2"/>
          <w:sz w:val="20"/>
          <w:szCs w:val="20"/>
        </w:rPr>
      </w:pPr>
    </w:p>
    <w:p w:rsidR="006E1AE5" w:rsidRPr="006E1AE5" w:rsidRDefault="006E1AE5" w:rsidP="006E1AE5">
      <w:pPr>
        <w:spacing w:line="360" w:lineRule="auto"/>
        <w:ind w:left="680"/>
        <w:jc w:val="both"/>
        <w:rPr>
          <w:rFonts w:ascii="Arial" w:hAnsi="Arial" w:cs="Arial"/>
          <w:i/>
          <w:color w:val="44546A" w:themeColor="text2"/>
          <w:sz w:val="20"/>
          <w:szCs w:val="20"/>
        </w:rPr>
      </w:pPr>
      <w:r w:rsidRPr="006E1AE5">
        <w:rPr>
          <w:rFonts w:ascii="Arial" w:hAnsi="Arial" w:cs="Arial"/>
          <w:i/>
          <w:color w:val="44546A" w:themeColor="text2"/>
          <w:sz w:val="20"/>
          <w:szCs w:val="20"/>
        </w:rPr>
        <w:t>“ARTÍCULO 183. Los sujetos obligados, a través de la Unidad de Transparencia, darán estricto cumplimiento a las resoluciones de la CEGAIP y deberán informar a estos sobre su cumplimiento.”</w:t>
      </w:r>
    </w:p>
    <w:p w:rsidR="006E1AE5" w:rsidRPr="006E1AE5" w:rsidRDefault="006E1AE5" w:rsidP="006E1AE5">
      <w:pPr>
        <w:spacing w:line="360" w:lineRule="auto"/>
        <w:ind w:left="680"/>
        <w:jc w:val="both"/>
        <w:rPr>
          <w:rFonts w:ascii="Arial" w:hAnsi="Arial" w:cs="Arial"/>
          <w:i/>
          <w:color w:val="44546A" w:themeColor="text2"/>
          <w:sz w:val="20"/>
          <w:szCs w:val="20"/>
        </w:rPr>
      </w:pPr>
    </w:p>
    <w:p w:rsidR="006E1AE5" w:rsidRPr="006E1AE5" w:rsidRDefault="006E1AE5" w:rsidP="006E1AE5">
      <w:pPr>
        <w:spacing w:line="360" w:lineRule="auto"/>
        <w:ind w:left="680"/>
        <w:jc w:val="both"/>
        <w:rPr>
          <w:rFonts w:ascii="Arial" w:hAnsi="Arial" w:cs="Arial"/>
          <w:i/>
          <w:color w:val="44546A" w:themeColor="text2"/>
          <w:sz w:val="20"/>
          <w:szCs w:val="20"/>
        </w:rPr>
      </w:pPr>
      <w:r w:rsidRPr="006E1AE5">
        <w:rPr>
          <w:rFonts w:ascii="Arial" w:hAnsi="Arial" w:cs="Arial"/>
          <w:i/>
          <w:color w:val="44546A" w:themeColor="text2"/>
          <w:sz w:val="20"/>
          <w:szCs w:val="20"/>
        </w:rPr>
        <w:t>“ARTÍCULO 184. Transcurrido el plazo señalado en el artículo anterior, el sujeto obligado deberá informar a la CEGAIP sobre el cumplimento de la resolución.</w:t>
      </w:r>
    </w:p>
    <w:p w:rsidR="006E1AE5" w:rsidRPr="006E1AE5" w:rsidRDefault="006E1AE5" w:rsidP="006E1AE5">
      <w:pPr>
        <w:spacing w:line="360" w:lineRule="auto"/>
        <w:ind w:left="680"/>
        <w:jc w:val="both"/>
        <w:rPr>
          <w:rFonts w:ascii="Arial" w:hAnsi="Arial" w:cs="Arial"/>
          <w:i/>
          <w:color w:val="44546A" w:themeColor="text2"/>
          <w:sz w:val="20"/>
          <w:szCs w:val="20"/>
        </w:rPr>
      </w:pPr>
    </w:p>
    <w:p w:rsidR="006E1AE5" w:rsidRPr="006E1AE5" w:rsidRDefault="006E1AE5" w:rsidP="006E1AE5">
      <w:pPr>
        <w:spacing w:line="360" w:lineRule="auto"/>
        <w:ind w:left="680"/>
        <w:jc w:val="both"/>
        <w:rPr>
          <w:rFonts w:ascii="Arial" w:hAnsi="Arial" w:cs="Arial"/>
          <w:i/>
          <w:color w:val="44546A" w:themeColor="text2"/>
          <w:sz w:val="20"/>
          <w:szCs w:val="20"/>
        </w:rPr>
      </w:pPr>
      <w:r w:rsidRPr="006E1AE5">
        <w:rPr>
          <w:rFonts w:ascii="Arial" w:hAnsi="Arial" w:cs="Arial"/>
          <w:i/>
          <w:color w:val="44546A" w:themeColor="text2"/>
          <w:sz w:val="20"/>
          <w:szCs w:val="20"/>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6E1AE5" w:rsidRPr="006E1AE5" w:rsidRDefault="006E1AE5" w:rsidP="006E1AE5">
      <w:pPr>
        <w:spacing w:line="360" w:lineRule="auto"/>
        <w:ind w:left="680" w:firstLine="708"/>
        <w:jc w:val="both"/>
        <w:rPr>
          <w:rFonts w:ascii="Arial" w:hAnsi="Arial" w:cs="Arial"/>
          <w:i/>
          <w:color w:val="44546A" w:themeColor="text2"/>
          <w:sz w:val="20"/>
          <w:szCs w:val="20"/>
        </w:rPr>
      </w:pPr>
    </w:p>
    <w:p w:rsidR="006E1AE5" w:rsidRPr="006E1AE5" w:rsidRDefault="006E1AE5" w:rsidP="006E1AE5">
      <w:pPr>
        <w:spacing w:line="360" w:lineRule="auto"/>
        <w:ind w:firstLine="709"/>
        <w:jc w:val="both"/>
        <w:rPr>
          <w:rFonts w:ascii="Arial" w:hAnsi="Arial" w:cs="Arial"/>
          <w:i/>
          <w:color w:val="44546A" w:themeColor="text2"/>
          <w:sz w:val="20"/>
          <w:szCs w:val="20"/>
        </w:rPr>
      </w:pPr>
      <w:r w:rsidRPr="006E1AE5">
        <w:rPr>
          <w:rFonts w:ascii="Arial" w:hAnsi="Arial" w:cs="Arial"/>
          <w:i/>
          <w:color w:val="44546A" w:themeColor="text2"/>
          <w:sz w:val="20"/>
          <w:szCs w:val="20"/>
        </w:rPr>
        <w:t>Así las cosas, se tiene por incumplida la resolución del Recurso de Revisión 1728/2019-1; ya que no se cumple con lo establecido en el resolutivo en análisis, en virtud de que como ha quedado visto en el presente acuerdo, el sujeto obligado no rindió informe mediante el cual acredite el cumplimiento a la resolución de mérito, y en consecuencia, se conmina al sujeto obligado a que:</w:t>
      </w:r>
    </w:p>
    <w:p w:rsidR="006E1AE5" w:rsidRPr="006E1AE5" w:rsidRDefault="006E1AE5" w:rsidP="006E1AE5">
      <w:pPr>
        <w:spacing w:line="360" w:lineRule="auto"/>
        <w:ind w:firstLine="709"/>
        <w:jc w:val="both"/>
        <w:rPr>
          <w:rFonts w:ascii="Arial" w:hAnsi="Arial" w:cs="Arial"/>
          <w:i/>
          <w:color w:val="44546A" w:themeColor="text2"/>
          <w:sz w:val="20"/>
          <w:szCs w:val="20"/>
        </w:rPr>
      </w:pPr>
    </w:p>
    <w:p w:rsidR="006E1AE5" w:rsidRPr="006E1AE5" w:rsidRDefault="006E1AE5" w:rsidP="006E1AE5">
      <w:pPr>
        <w:pStyle w:val="corte4fondo"/>
        <w:numPr>
          <w:ilvl w:val="0"/>
          <w:numId w:val="2"/>
        </w:numPr>
        <w:tabs>
          <w:tab w:val="left" w:pos="567"/>
        </w:tabs>
        <w:rPr>
          <w:rFonts w:eastAsiaTheme="minorHAnsi" w:cs="Arial"/>
          <w:i/>
          <w:color w:val="44546A" w:themeColor="text2"/>
          <w:sz w:val="20"/>
          <w:szCs w:val="20"/>
        </w:rPr>
      </w:pPr>
      <w:r w:rsidRPr="006E1AE5">
        <w:rPr>
          <w:rFonts w:eastAsiaTheme="minorHAnsi" w:cs="Arial"/>
          <w:i/>
          <w:color w:val="44546A" w:themeColor="text2"/>
          <w:sz w:val="20"/>
          <w:szCs w:val="20"/>
        </w:rPr>
        <w:t>remuneración bruta y neta mensual del Alcalde, Regidores, Síndicos, funcionarios y empleados de la actual administración.</w:t>
      </w:r>
    </w:p>
    <w:p w:rsidR="006E1AE5" w:rsidRPr="006E1AE5" w:rsidRDefault="006E1AE5" w:rsidP="006E1AE5">
      <w:pPr>
        <w:pStyle w:val="corte4fondo"/>
        <w:numPr>
          <w:ilvl w:val="0"/>
          <w:numId w:val="2"/>
        </w:numPr>
        <w:tabs>
          <w:tab w:val="left" w:pos="567"/>
        </w:tabs>
        <w:rPr>
          <w:rFonts w:eastAsiaTheme="minorHAnsi" w:cs="Arial"/>
          <w:i/>
          <w:color w:val="44546A" w:themeColor="text2"/>
          <w:sz w:val="20"/>
          <w:szCs w:val="20"/>
        </w:rPr>
      </w:pPr>
      <w:r w:rsidRPr="006E1AE5">
        <w:rPr>
          <w:rFonts w:eastAsiaTheme="minorHAnsi" w:cs="Arial"/>
          <w:i/>
          <w:color w:val="44546A" w:themeColor="text2"/>
          <w:sz w:val="20"/>
          <w:szCs w:val="20"/>
        </w:rPr>
        <w:t>Así mismo se especifiquen en caso de existir las percepciones, incluyendo sueldo, prestaciones, gratificaciones, primas, comisiones, dietas, bonos, estímulos, ingresos y sistemas de compensación, señalando la periodicidad de dicha remuneración.</w:t>
      </w:r>
    </w:p>
    <w:p w:rsidR="006E1AE5" w:rsidRPr="006E1AE5" w:rsidRDefault="006E1AE5" w:rsidP="006E1AE5">
      <w:pPr>
        <w:pStyle w:val="Prrafodelista"/>
        <w:spacing w:line="360" w:lineRule="auto"/>
        <w:ind w:left="1040"/>
        <w:jc w:val="both"/>
        <w:rPr>
          <w:rFonts w:eastAsiaTheme="minorHAnsi" w:cs="Arial"/>
          <w:i/>
          <w:color w:val="44546A" w:themeColor="text2"/>
          <w:sz w:val="20"/>
          <w:lang w:eastAsia="en-US"/>
        </w:rPr>
      </w:pPr>
    </w:p>
    <w:p w:rsidR="006E1AE5" w:rsidRPr="006E1AE5" w:rsidRDefault="006E1AE5" w:rsidP="006E1AE5">
      <w:pPr>
        <w:pStyle w:val="Prrafodelista"/>
        <w:numPr>
          <w:ilvl w:val="0"/>
          <w:numId w:val="2"/>
        </w:numPr>
        <w:spacing w:line="360" w:lineRule="auto"/>
        <w:jc w:val="both"/>
        <w:rPr>
          <w:rFonts w:eastAsiaTheme="minorHAnsi" w:cs="Arial"/>
          <w:i/>
          <w:color w:val="44546A" w:themeColor="text2"/>
          <w:sz w:val="20"/>
          <w:lang w:eastAsia="en-US"/>
        </w:rPr>
      </w:pPr>
      <w:r w:rsidRPr="006E1AE5">
        <w:rPr>
          <w:rFonts w:eastAsiaTheme="minorHAnsi" w:cs="Arial"/>
          <w:i/>
          <w:color w:val="44546A" w:themeColor="text2"/>
          <w:sz w:val="20"/>
          <w:lang w:eastAsia="en-US"/>
        </w:rPr>
        <w:t>En la inteligencia de que de lo contrario será acreedor a la medida de apremio consistente en una MULTA, de conformidad con el artículo 190 fracción II y 197 fracción XV de la Ley de Transparencia y Acceso a la Información Pública del Estado.</w:t>
      </w:r>
    </w:p>
    <w:p w:rsidR="006E1AE5" w:rsidRPr="006E1AE5" w:rsidRDefault="006E1AE5" w:rsidP="006E1AE5">
      <w:pPr>
        <w:pStyle w:val="Prrafodelista"/>
        <w:numPr>
          <w:ilvl w:val="0"/>
          <w:numId w:val="2"/>
        </w:numPr>
        <w:spacing w:line="360" w:lineRule="auto"/>
        <w:jc w:val="both"/>
        <w:rPr>
          <w:rFonts w:eastAsiaTheme="minorHAnsi" w:cs="Arial"/>
          <w:i/>
          <w:color w:val="44546A" w:themeColor="text2"/>
          <w:sz w:val="20"/>
          <w:lang w:eastAsia="en-US"/>
        </w:rPr>
      </w:pPr>
      <w:r w:rsidRPr="006E1AE5">
        <w:rPr>
          <w:rFonts w:eastAsiaTheme="minorHAnsi" w:cs="Arial"/>
          <w:i/>
          <w:color w:val="44546A" w:themeColor="text2"/>
          <w:sz w:val="20"/>
          <w:lang w:eastAsia="en-US"/>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rsidR="006E1AE5" w:rsidRPr="006E1AE5" w:rsidRDefault="006E1AE5" w:rsidP="006E1AE5">
      <w:pPr>
        <w:spacing w:line="360" w:lineRule="auto"/>
        <w:jc w:val="both"/>
        <w:rPr>
          <w:rFonts w:ascii="Arial" w:hAnsi="Arial" w:cs="Arial"/>
          <w:i/>
          <w:color w:val="44546A" w:themeColor="text2"/>
          <w:sz w:val="20"/>
          <w:szCs w:val="20"/>
        </w:rPr>
      </w:pPr>
    </w:p>
    <w:p w:rsidR="006E1AE5" w:rsidRPr="006E1AE5" w:rsidRDefault="006E1AE5" w:rsidP="006E1AE5">
      <w:pPr>
        <w:spacing w:line="360" w:lineRule="auto"/>
        <w:ind w:firstLine="680"/>
        <w:jc w:val="both"/>
        <w:rPr>
          <w:rFonts w:ascii="Arial" w:hAnsi="Arial" w:cs="Arial"/>
          <w:i/>
          <w:color w:val="44546A" w:themeColor="text2"/>
          <w:sz w:val="20"/>
          <w:szCs w:val="20"/>
        </w:rPr>
      </w:pPr>
      <w:r w:rsidRPr="006E1AE5">
        <w:rPr>
          <w:rFonts w:ascii="Arial" w:hAnsi="Arial" w:cs="Arial"/>
          <w:i/>
          <w:color w:val="44546A" w:themeColor="text2"/>
          <w:sz w:val="20"/>
          <w:szCs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se requiere al Titular del Municipio de Villa de Ramos,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dentro del recurso de revisión en que se actúa, tomando en cuenta las consideraciones contenidas en el presente proveído, apercibido de que de no hacerlo, se impondrá en su contra la medida de apremio consistente en una MULTA, de conformidad con el artículo 190 fracción II y 197 fracción XV de la Ley de Transparencia y Acceso a la Información Pública del Estado. </w:t>
      </w:r>
    </w:p>
    <w:p w:rsidR="006E1AE5" w:rsidRPr="006E1AE5" w:rsidRDefault="006E1AE5" w:rsidP="006E1AE5">
      <w:pPr>
        <w:spacing w:line="360" w:lineRule="auto"/>
        <w:ind w:firstLine="680"/>
        <w:jc w:val="both"/>
        <w:rPr>
          <w:rFonts w:ascii="Arial" w:hAnsi="Arial" w:cs="Arial"/>
          <w:i/>
          <w:color w:val="44546A" w:themeColor="text2"/>
          <w:sz w:val="20"/>
          <w:szCs w:val="20"/>
        </w:rPr>
      </w:pPr>
    </w:p>
    <w:p w:rsidR="006E1AE5" w:rsidRPr="006E1AE5" w:rsidRDefault="006E1AE5" w:rsidP="006E1AE5">
      <w:pPr>
        <w:spacing w:line="360" w:lineRule="auto"/>
        <w:ind w:firstLine="680"/>
        <w:jc w:val="both"/>
        <w:rPr>
          <w:rFonts w:ascii="Arial" w:hAnsi="Arial" w:cs="Arial"/>
          <w:i/>
          <w:color w:val="44546A" w:themeColor="text2"/>
          <w:sz w:val="20"/>
          <w:szCs w:val="20"/>
        </w:rPr>
      </w:pPr>
      <w:r w:rsidRPr="006E1AE5">
        <w:rPr>
          <w:rFonts w:ascii="Arial" w:hAnsi="Arial" w:cs="Arial"/>
          <w:i/>
          <w:color w:val="44546A" w:themeColor="text2"/>
          <w:sz w:val="20"/>
          <w:szCs w:val="20"/>
        </w:rPr>
        <w:t>De igual modo, se requiere al Titular del Municipio de Villa de Ramos,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p>
    <w:p w:rsidR="006E1AE5" w:rsidRPr="006E1AE5" w:rsidRDefault="006E1AE5" w:rsidP="006E1AE5">
      <w:pPr>
        <w:spacing w:line="360" w:lineRule="auto"/>
        <w:ind w:firstLine="680"/>
        <w:jc w:val="both"/>
        <w:rPr>
          <w:rFonts w:ascii="Arial" w:hAnsi="Arial" w:cs="Arial"/>
          <w:i/>
          <w:color w:val="44546A" w:themeColor="text2"/>
          <w:sz w:val="20"/>
          <w:szCs w:val="20"/>
        </w:rPr>
      </w:pPr>
    </w:p>
    <w:p w:rsidR="006E1AE5" w:rsidRPr="006E1AE5" w:rsidRDefault="006E1AE5" w:rsidP="006E1AE5">
      <w:pPr>
        <w:spacing w:line="360" w:lineRule="auto"/>
        <w:ind w:left="680"/>
        <w:jc w:val="both"/>
        <w:rPr>
          <w:rFonts w:ascii="Arial" w:hAnsi="Arial" w:cs="Arial"/>
          <w:i/>
          <w:color w:val="44546A" w:themeColor="text2"/>
          <w:sz w:val="20"/>
          <w:szCs w:val="20"/>
        </w:rPr>
      </w:pPr>
      <w:r w:rsidRPr="006E1AE5">
        <w:rPr>
          <w:rFonts w:ascii="Arial" w:hAnsi="Arial" w:cs="Arial"/>
          <w:i/>
          <w:color w:val="44546A" w:themeColor="text2"/>
          <w:sz w:val="20"/>
          <w:szCs w:val="20"/>
        </w:rPr>
        <w:t>“ARTÍCULO 192.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6E1AE5" w:rsidRPr="006E1AE5" w:rsidRDefault="006E1AE5" w:rsidP="006E1AE5">
      <w:pPr>
        <w:spacing w:line="360" w:lineRule="auto"/>
        <w:ind w:firstLine="709"/>
        <w:jc w:val="both"/>
        <w:rPr>
          <w:rFonts w:ascii="Arial" w:hAnsi="Arial" w:cs="Arial"/>
          <w:i/>
          <w:color w:val="44546A" w:themeColor="text2"/>
          <w:sz w:val="20"/>
          <w:szCs w:val="20"/>
        </w:rPr>
      </w:pPr>
    </w:p>
    <w:p w:rsidR="006E1AE5" w:rsidRPr="006E1AE5" w:rsidRDefault="006E1AE5" w:rsidP="006E1AE5">
      <w:pPr>
        <w:spacing w:line="360" w:lineRule="auto"/>
        <w:ind w:firstLine="680"/>
        <w:jc w:val="both"/>
        <w:rPr>
          <w:rFonts w:ascii="Arial" w:hAnsi="Arial" w:cs="Arial"/>
          <w:i/>
          <w:color w:val="44546A" w:themeColor="text2"/>
          <w:sz w:val="20"/>
          <w:szCs w:val="20"/>
        </w:rPr>
      </w:pPr>
      <w:r w:rsidRPr="006E1AE5">
        <w:rPr>
          <w:rFonts w:ascii="Arial" w:hAnsi="Arial" w:cs="Arial"/>
          <w:i/>
          <w:color w:val="44546A" w:themeColor="text2"/>
          <w:sz w:val="20"/>
          <w:szCs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6E1AE5">
        <w:rPr>
          <w:rFonts w:ascii="Arial" w:hAnsi="Arial" w:cs="Arial"/>
          <w:i/>
          <w:color w:val="44546A" w:themeColor="text2"/>
          <w:sz w:val="20"/>
          <w:szCs w:val="20"/>
        </w:rPr>
        <w:t xml:space="preserve"> Notifíquese por lista y personalmente a las partes.</w:t>
      </w:r>
      <w:r>
        <w:rPr>
          <w:rFonts w:ascii="Arial" w:hAnsi="Arial" w:cs="Arial"/>
          <w:i/>
          <w:color w:val="44546A" w:themeColor="text2"/>
          <w:sz w:val="20"/>
          <w:szCs w:val="20"/>
        </w:rPr>
        <w:t>”</w:t>
      </w:r>
    </w:p>
    <w:bookmarkEnd w:id="1"/>
    <w:p w:rsidR="006E1AE5" w:rsidRPr="006E1AE5" w:rsidRDefault="006E1AE5" w:rsidP="006E1AE5">
      <w:pPr>
        <w:rPr>
          <w:rFonts w:ascii="Arial" w:hAnsi="Arial" w:cs="Arial"/>
          <w:i/>
          <w:color w:val="44546A" w:themeColor="text2"/>
          <w:sz w:val="10"/>
          <w:szCs w:val="10"/>
        </w:rPr>
      </w:pPr>
      <w:r w:rsidRPr="006E1AE5">
        <w:rPr>
          <w:rFonts w:ascii="Arial" w:hAnsi="Arial" w:cs="Arial"/>
          <w:i/>
          <w:color w:val="44546A" w:themeColor="text2"/>
          <w:sz w:val="10"/>
          <w:szCs w:val="10"/>
        </w:rPr>
        <w:t>HVI.</w:t>
      </w:r>
    </w:p>
    <w:p w:rsidR="00FE10DF" w:rsidRDefault="00BD4366" w:rsidP="00BD4366">
      <w:pPr>
        <w:tabs>
          <w:tab w:val="left" w:pos="932"/>
        </w:tabs>
        <w:spacing w:after="200" w:line="276" w:lineRule="auto"/>
        <w:jc w:val="both"/>
        <w:rPr>
          <w:rFonts w:ascii="Arial" w:eastAsia="Calibri" w:hAnsi="Arial" w:cs="Arial"/>
          <w:sz w:val="20"/>
          <w:szCs w:val="18"/>
          <w:lang w:val="es-MX"/>
        </w:rPr>
      </w:pPr>
      <w:r w:rsidRPr="00FE10DF">
        <w:rPr>
          <w:rFonts w:ascii="Arial" w:eastAsia="Calibri" w:hAnsi="Arial" w:cs="Arial"/>
          <w:sz w:val="20"/>
          <w:szCs w:val="18"/>
          <w:lang w:val="es-MX"/>
        </w:rPr>
        <w:t xml:space="preserve">         </w:t>
      </w: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Pr="005A47D6" w:rsidRDefault="00CE6F3B">
      <w:pPr>
        <w:rPr>
          <w:lang w:val="es-MX"/>
        </w:rPr>
      </w:pPr>
    </w:p>
    <w:sectPr w:rsidR="000A404C" w:rsidRPr="005A47D6" w:rsidSect="005A47D6">
      <w:headerReference w:type="default" r:id="rId7"/>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6F3B" w:rsidRDefault="00CE6F3B" w:rsidP="005A47D6">
      <w:pPr>
        <w:spacing w:after="0" w:line="240" w:lineRule="auto"/>
      </w:pPr>
      <w:r>
        <w:separator/>
      </w:r>
    </w:p>
  </w:endnote>
  <w:endnote w:type="continuationSeparator" w:id="0">
    <w:p w:rsidR="00CE6F3B" w:rsidRDefault="00CE6F3B"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00022FF" w:usb1="C000205B" w:usb2="00000009" w:usb3="00000000" w:csb0="000001D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6F3B" w:rsidRDefault="00CE6F3B" w:rsidP="005A47D6">
      <w:pPr>
        <w:spacing w:after="0" w:line="240" w:lineRule="auto"/>
      </w:pPr>
      <w:r>
        <w:separator/>
      </w:r>
    </w:p>
  </w:footnote>
  <w:footnote w:type="continuationSeparator" w:id="0">
    <w:p w:rsidR="00CE6F3B" w:rsidRDefault="00CE6F3B"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0DF" w:rsidRPr="00FE10DF" w:rsidRDefault="00E5298F" w:rsidP="00FE10DF">
    <w:pPr>
      <w:pStyle w:val="Piedepgina"/>
      <w:rPr>
        <w:i/>
      </w:rPr>
    </w:pPr>
    <w:r>
      <w:rPr>
        <w:rFonts w:ascii="Arial" w:hAnsi="Arial" w:cs="Arial"/>
        <w:i/>
        <w:color w:val="222222"/>
        <w:shd w:val="clear" w:color="auto" w:fill="FFFFFF"/>
      </w:rPr>
      <w:tab/>
      <w:t xml:space="preserve">                  </w:t>
    </w:r>
    <w:r w:rsidR="00FE10DF"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w:t>
    </w:r>
    <w:r w:rsidR="00E5298F">
      <w:rPr>
        <w:rFonts w:ascii="Arial" w:hAnsi="Arial" w:cs="Arial"/>
        <w:b/>
        <w:sz w:val="24"/>
        <w:szCs w:val="24"/>
        <w:lang w:val="es-MX"/>
      </w:rPr>
      <w:tab/>
    </w:r>
    <w:r>
      <w:rPr>
        <w:rFonts w:ascii="Arial" w:hAnsi="Arial" w:cs="Arial"/>
        <w:b/>
        <w:sz w:val="24"/>
        <w:szCs w:val="24"/>
        <w:lang w:val="es-MX"/>
      </w:rPr>
      <w:t>RR-</w:t>
    </w:r>
    <w:r w:rsidR="008A0B07">
      <w:rPr>
        <w:rFonts w:ascii="Arial" w:hAnsi="Arial" w:cs="Arial"/>
        <w:b/>
        <w:sz w:val="24"/>
        <w:szCs w:val="24"/>
        <w:lang w:val="es-MX"/>
      </w:rPr>
      <w:t>1728</w:t>
    </w:r>
    <w:r>
      <w:rPr>
        <w:rFonts w:ascii="Arial" w:hAnsi="Arial" w:cs="Arial"/>
        <w:b/>
        <w:sz w:val="24"/>
        <w:szCs w:val="24"/>
        <w:lang w:val="es-MX"/>
      </w:rPr>
      <w:t>/20</w:t>
    </w:r>
    <w:r w:rsidR="006E1AE5">
      <w:rPr>
        <w:rFonts w:ascii="Arial" w:hAnsi="Arial" w:cs="Arial"/>
        <w:b/>
        <w:sz w:val="24"/>
        <w:szCs w:val="24"/>
        <w:lang w:val="es-MX"/>
      </w:rPr>
      <w:t>19</w:t>
    </w:r>
    <w:r>
      <w:rPr>
        <w:rFonts w:ascii="Arial" w:hAnsi="Arial" w:cs="Arial"/>
        <w:b/>
        <w:sz w:val="24"/>
        <w:szCs w:val="24"/>
        <w:lang w:val="es-MX"/>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mirrorMargins/>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7D6"/>
    <w:rsid w:val="000F0B5C"/>
    <w:rsid w:val="00127FA7"/>
    <w:rsid w:val="0014282D"/>
    <w:rsid w:val="00187D95"/>
    <w:rsid w:val="00192149"/>
    <w:rsid w:val="001F39C4"/>
    <w:rsid w:val="001F64E6"/>
    <w:rsid w:val="002012E8"/>
    <w:rsid w:val="0021399A"/>
    <w:rsid w:val="00217971"/>
    <w:rsid w:val="00217E18"/>
    <w:rsid w:val="003073AA"/>
    <w:rsid w:val="00336320"/>
    <w:rsid w:val="003427A6"/>
    <w:rsid w:val="003679C1"/>
    <w:rsid w:val="00385A2A"/>
    <w:rsid w:val="003B283A"/>
    <w:rsid w:val="003F0712"/>
    <w:rsid w:val="00405767"/>
    <w:rsid w:val="00525DCB"/>
    <w:rsid w:val="00553665"/>
    <w:rsid w:val="005A47D6"/>
    <w:rsid w:val="005D178C"/>
    <w:rsid w:val="0062064B"/>
    <w:rsid w:val="0063445C"/>
    <w:rsid w:val="006C5C84"/>
    <w:rsid w:val="006E1AE5"/>
    <w:rsid w:val="007753D2"/>
    <w:rsid w:val="007B53A2"/>
    <w:rsid w:val="007F50CF"/>
    <w:rsid w:val="008A0B07"/>
    <w:rsid w:val="00981FD3"/>
    <w:rsid w:val="009A4425"/>
    <w:rsid w:val="009C0FA5"/>
    <w:rsid w:val="00AD3AA3"/>
    <w:rsid w:val="00B579DD"/>
    <w:rsid w:val="00BA592B"/>
    <w:rsid w:val="00BD4366"/>
    <w:rsid w:val="00C308F1"/>
    <w:rsid w:val="00C523D0"/>
    <w:rsid w:val="00C80C1A"/>
    <w:rsid w:val="00CE6F3B"/>
    <w:rsid w:val="00D1597D"/>
    <w:rsid w:val="00DC7720"/>
    <w:rsid w:val="00E22421"/>
    <w:rsid w:val="00E5298F"/>
    <w:rsid w:val="00F238FB"/>
    <w:rsid w:val="00F802ED"/>
    <w:rsid w:val="00F90264"/>
    <w:rsid w:val="00F9181C"/>
    <w:rsid w:val="00F96BEE"/>
    <w:rsid w:val="00FC4A5E"/>
    <w:rsid w:val="00FE0120"/>
    <w:rsid w:val="00FE10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E3B9A1"/>
  <w15:docId w15:val="{3637E60D-34D6-4C37-9D80-B1187440E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customStyle="1" w:styleId="xmsonormal">
    <w:name w:val="x_msonormal"/>
    <w:basedOn w:val="Normal"/>
    <w:rsid w:val="0063445C"/>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Sinespaciado">
    <w:name w:val="No Spacing"/>
    <w:qFormat/>
    <w:rsid w:val="00AD3AA3"/>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6E1AE5"/>
    <w:pPr>
      <w:spacing w:after="0" w:line="240" w:lineRule="auto"/>
      <w:ind w:left="720"/>
      <w:contextualSpacing/>
    </w:pPr>
    <w:rPr>
      <w:rFonts w:ascii="Arial" w:eastAsia="Times New Roman" w:hAnsi="Arial" w:cs="Times New Roman"/>
      <w:sz w:val="24"/>
      <w:szCs w:val="20"/>
      <w:lang w:eastAsia="es-MX"/>
    </w:rPr>
  </w:style>
  <w:style w:type="character" w:customStyle="1" w:styleId="corte4fondoCar1">
    <w:name w:val="corte4 fondo Car1"/>
    <w:link w:val="corte4fondo"/>
    <w:locked/>
    <w:rsid w:val="006E1AE5"/>
    <w:rPr>
      <w:rFonts w:ascii="Arial" w:eastAsia="Times New Roman" w:hAnsi="Arial"/>
      <w:sz w:val="30"/>
    </w:rPr>
  </w:style>
  <w:style w:type="paragraph" w:customStyle="1" w:styleId="corte4fondo">
    <w:name w:val="corte4 fondo"/>
    <w:basedOn w:val="Normal"/>
    <w:link w:val="corte4fondoCar1"/>
    <w:qFormat/>
    <w:rsid w:val="006E1AE5"/>
    <w:pPr>
      <w:spacing w:after="0" w:line="360" w:lineRule="auto"/>
      <w:ind w:firstLine="709"/>
      <w:jc w:val="both"/>
    </w:pPr>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1211</Words>
  <Characters>6666</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 Monsivais</dc:creator>
  <cp:lastModifiedBy>Italia</cp:lastModifiedBy>
  <cp:revision>2</cp:revision>
  <cp:lastPrinted>2022-04-25T19:57:00Z</cp:lastPrinted>
  <dcterms:created xsi:type="dcterms:W3CDTF">2022-05-24T20:19:00Z</dcterms:created>
  <dcterms:modified xsi:type="dcterms:W3CDTF">2022-05-24T20:19:00Z</dcterms:modified>
</cp:coreProperties>
</file>