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1131" w:rsidRPr="00FD6433" w:rsidRDefault="009D1131" w:rsidP="009D1131">
      <w:pPr>
        <w:pStyle w:val="Ttulo"/>
        <w:spacing w:line="240" w:lineRule="auto"/>
        <w:jc w:val="both"/>
        <w:rPr>
          <w:rFonts w:ascii="Arial" w:hAnsi="Arial" w:cs="Arial"/>
          <w:color w:val="4472C4" w:themeColor="accent1"/>
          <w:sz w:val="24"/>
          <w:szCs w:val="24"/>
        </w:rPr>
      </w:pPr>
      <w:r w:rsidRPr="00FD6433">
        <w:rPr>
          <w:rFonts w:ascii="Arial" w:hAnsi="Arial" w:cs="Arial"/>
          <w:color w:val="4472C4" w:themeColor="accent1"/>
          <w:sz w:val="24"/>
          <w:szCs w:val="24"/>
        </w:rPr>
        <w:t xml:space="preserve">   </w:t>
      </w:r>
    </w:p>
    <w:p w:rsidR="009D1131" w:rsidRPr="00FD6433" w:rsidRDefault="009D1131" w:rsidP="009D1131">
      <w:pPr>
        <w:pStyle w:val="corte1datos"/>
        <w:jc w:val="right"/>
        <w:rPr>
          <w:rFonts w:cs="Arial"/>
          <w:color w:val="4472C4" w:themeColor="accent1"/>
          <w:sz w:val="24"/>
          <w:szCs w:val="24"/>
          <w:lang w:val="es-MX"/>
        </w:rPr>
      </w:pPr>
      <w:r w:rsidRPr="00FD6433">
        <w:rPr>
          <w:rFonts w:cs="Arial"/>
          <w:color w:val="4472C4" w:themeColor="accent1"/>
          <w:sz w:val="24"/>
          <w:szCs w:val="24"/>
          <w:lang w:val="es-MX"/>
        </w:rPr>
        <w:t xml:space="preserve">  </w:t>
      </w:r>
      <w:bookmarkStart w:id="0" w:name="_GoBack"/>
      <w:bookmarkEnd w:id="0"/>
      <w:r w:rsidRPr="00FD6433">
        <w:rPr>
          <w:rFonts w:cs="Arial"/>
          <w:color w:val="4472C4" w:themeColor="accent1"/>
          <w:sz w:val="24"/>
          <w:szCs w:val="24"/>
        </w:rPr>
        <w:t>RECURSO DE REVISIÓN</w:t>
      </w:r>
      <w:r w:rsidRPr="00FD6433">
        <w:rPr>
          <w:rFonts w:cs="Arial"/>
          <w:color w:val="4472C4" w:themeColor="accent1"/>
          <w:sz w:val="24"/>
          <w:szCs w:val="24"/>
          <w:lang w:val="es-MX"/>
        </w:rPr>
        <w:t xml:space="preserve"> </w:t>
      </w:r>
      <w:r w:rsidR="006B1DFF">
        <w:rPr>
          <w:rFonts w:cs="Arial"/>
          <w:color w:val="4472C4" w:themeColor="accent1"/>
          <w:sz w:val="24"/>
          <w:szCs w:val="24"/>
          <w:lang w:val="es-MX"/>
        </w:rPr>
        <w:t>576</w:t>
      </w:r>
      <w:r w:rsidRPr="00FD6433">
        <w:rPr>
          <w:rFonts w:cs="Arial"/>
          <w:color w:val="4472C4" w:themeColor="accent1"/>
          <w:sz w:val="24"/>
          <w:szCs w:val="24"/>
          <w:lang w:val="es-MX"/>
        </w:rPr>
        <w:t xml:space="preserve">/2022-2 </w:t>
      </w:r>
    </w:p>
    <w:p w:rsidR="009D1131" w:rsidRPr="00FD6433" w:rsidRDefault="009D1131" w:rsidP="009D1131">
      <w:pPr>
        <w:pStyle w:val="corte1datos"/>
        <w:jc w:val="right"/>
        <w:rPr>
          <w:rFonts w:cs="Arial"/>
          <w:color w:val="4472C4" w:themeColor="accent1"/>
          <w:sz w:val="24"/>
          <w:szCs w:val="24"/>
          <w:lang w:val="es-MX"/>
        </w:rPr>
      </w:pPr>
      <w:r w:rsidRPr="00FD6433">
        <w:rPr>
          <w:rFonts w:cs="Arial"/>
          <w:color w:val="4472C4" w:themeColor="accent1"/>
          <w:sz w:val="24"/>
          <w:szCs w:val="24"/>
          <w:lang w:val="es-MX"/>
        </w:rPr>
        <w:t>SICOM.</w:t>
      </w:r>
    </w:p>
    <w:p w:rsidR="009D1131" w:rsidRPr="00FD6433" w:rsidRDefault="009D1131" w:rsidP="009D1131">
      <w:pPr>
        <w:pStyle w:val="corte1datos"/>
        <w:jc w:val="right"/>
        <w:rPr>
          <w:rFonts w:cs="Arial"/>
          <w:color w:val="4472C4" w:themeColor="accent1"/>
          <w:sz w:val="24"/>
          <w:szCs w:val="24"/>
          <w:lang w:val="es-MX"/>
        </w:rPr>
      </w:pPr>
    </w:p>
    <w:p w:rsidR="009D1131" w:rsidRPr="00FD6433" w:rsidRDefault="009D1131" w:rsidP="009D1131">
      <w:pPr>
        <w:pStyle w:val="corte2ponente"/>
        <w:jc w:val="right"/>
        <w:rPr>
          <w:rFonts w:cs="Arial"/>
          <w:color w:val="4472C4" w:themeColor="accent1"/>
          <w:sz w:val="24"/>
          <w:szCs w:val="24"/>
        </w:rPr>
      </w:pPr>
      <w:r w:rsidRPr="00FD6433">
        <w:rPr>
          <w:rFonts w:cs="Arial"/>
          <w:color w:val="4472C4" w:themeColor="accent1"/>
          <w:sz w:val="24"/>
          <w:szCs w:val="24"/>
        </w:rPr>
        <w:t xml:space="preserve">COMISIONADO PONENTE: </w:t>
      </w:r>
    </w:p>
    <w:p w:rsidR="009D1131" w:rsidRPr="00FD6433" w:rsidRDefault="009D1131" w:rsidP="009D1131">
      <w:pPr>
        <w:pStyle w:val="corte2ponente"/>
        <w:jc w:val="right"/>
        <w:rPr>
          <w:rFonts w:cs="Arial"/>
          <w:color w:val="4472C4" w:themeColor="accent1"/>
          <w:sz w:val="24"/>
          <w:szCs w:val="24"/>
          <w:lang w:val="es-MX"/>
        </w:rPr>
      </w:pPr>
      <w:r w:rsidRPr="00FD6433">
        <w:rPr>
          <w:rFonts w:cs="Arial"/>
          <w:color w:val="4472C4" w:themeColor="accent1"/>
          <w:sz w:val="24"/>
          <w:szCs w:val="24"/>
          <w:lang w:val="es-MX"/>
        </w:rPr>
        <w:t>LIC. Jose alfredo solis ramirez</w:t>
      </w:r>
    </w:p>
    <w:p w:rsidR="009D1131" w:rsidRPr="00FD6433" w:rsidRDefault="009D1131" w:rsidP="009D1131">
      <w:pPr>
        <w:pStyle w:val="corte2ponente"/>
        <w:jc w:val="right"/>
        <w:rPr>
          <w:rFonts w:cs="Arial"/>
          <w:color w:val="4472C4" w:themeColor="accent1"/>
          <w:sz w:val="24"/>
          <w:szCs w:val="24"/>
          <w:lang w:val="es-MX"/>
        </w:rPr>
      </w:pPr>
    </w:p>
    <w:p w:rsidR="009D1131" w:rsidRPr="00FD6433" w:rsidRDefault="009D1131" w:rsidP="009D1131">
      <w:pPr>
        <w:pStyle w:val="corte2ponente"/>
        <w:jc w:val="right"/>
        <w:rPr>
          <w:rFonts w:cs="Arial"/>
          <w:color w:val="4472C4" w:themeColor="accent1"/>
          <w:sz w:val="24"/>
          <w:szCs w:val="24"/>
          <w:lang w:val="es-MX"/>
        </w:rPr>
      </w:pPr>
      <w:r w:rsidRPr="00FD6433">
        <w:rPr>
          <w:rFonts w:cs="Arial"/>
          <w:color w:val="4472C4" w:themeColor="accent1"/>
          <w:sz w:val="24"/>
          <w:szCs w:val="24"/>
          <w:lang w:val="es-MX"/>
        </w:rPr>
        <w:t>ENTE OBLIGADO:</w:t>
      </w:r>
    </w:p>
    <w:p w:rsidR="009D1131" w:rsidRPr="00FD6433" w:rsidRDefault="009D1131" w:rsidP="009D1131">
      <w:pPr>
        <w:pStyle w:val="corte2ponente"/>
        <w:ind w:left="708" w:hanging="708"/>
        <w:jc w:val="right"/>
        <w:rPr>
          <w:rFonts w:cs="Arial"/>
          <w:color w:val="4472C4" w:themeColor="accent1"/>
          <w:sz w:val="24"/>
          <w:szCs w:val="24"/>
          <w:lang w:val="es-MX"/>
        </w:rPr>
      </w:pPr>
      <w:r w:rsidRPr="00FD6433">
        <w:rPr>
          <w:rFonts w:cs="Arial"/>
          <w:color w:val="4472C4" w:themeColor="accent1"/>
          <w:sz w:val="24"/>
          <w:szCs w:val="24"/>
          <w:lang w:val="es-MX"/>
        </w:rPr>
        <w:t xml:space="preserve">H. AYUNTAMIENTO DE </w:t>
      </w:r>
      <w:r w:rsidR="006B1DFF">
        <w:rPr>
          <w:rFonts w:cs="Arial"/>
          <w:color w:val="4472C4" w:themeColor="accent1"/>
          <w:sz w:val="24"/>
          <w:szCs w:val="24"/>
          <w:lang w:val="es-MX"/>
        </w:rPr>
        <w:t>MATEHUALA</w:t>
      </w:r>
      <w:r w:rsidRPr="00FD6433">
        <w:rPr>
          <w:rFonts w:cs="Arial"/>
          <w:color w:val="4472C4" w:themeColor="accent1"/>
          <w:sz w:val="24"/>
          <w:szCs w:val="24"/>
          <w:lang w:val="es-MX"/>
        </w:rPr>
        <w:t xml:space="preserve">, </w:t>
      </w:r>
    </w:p>
    <w:p w:rsidR="009D1131" w:rsidRPr="00FD6433" w:rsidRDefault="009D1131" w:rsidP="009D1131">
      <w:pPr>
        <w:pStyle w:val="corte2ponente"/>
        <w:ind w:left="708" w:hanging="708"/>
        <w:jc w:val="right"/>
        <w:rPr>
          <w:rFonts w:cs="Arial"/>
          <w:color w:val="4472C4" w:themeColor="accent1"/>
          <w:sz w:val="24"/>
          <w:szCs w:val="24"/>
          <w:lang w:val="es-MX"/>
        </w:rPr>
      </w:pPr>
      <w:r w:rsidRPr="00FD6433">
        <w:rPr>
          <w:rFonts w:cs="Arial"/>
          <w:color w:val="4472C4" w:themeColor="accent1"/>
          <w:sz w:val="24"/>
          <w:szCs w:val="24"/>
          <w:lang w:val="es-MX"/>
        </w:rPr>
        <w:t>SAN LUIS POTOSÍ</w:t>
      </w:r>
    </w:p>
    <w:p w:rsidR="009D1131" w:rsidRPr="00FD6433" w:rsidRDefault="009D1131" w:rsidP="009D1131">
      <w:pPr>
        <w:pStyle w:val="corte2ponente"/>
        <w:rPr>
          <w:rFonts w:cs="Arial"/>
          <w:color w:val="4472C4" w:themeColor="accent1"/>
          <w:sz w:val="24"/>
          <w:szCs w:val="24"/>
          <w:lang w:val="es-MX"/>
        </w:rPr>
      </w:pPr>
    </w:p>
    <w:p w:rsidR="009D1131" w:rsidRPr="00FD6433" w:rsidRDefault="009D1131" w:rsidP="009D1131">
      <w:pPr>
        <w:pStyle w:val="corte2ponente"/>
        <w:rPr>
          <w:rFonts w:cs="Arial"/>
          <w:color w:val="4472C4" w:themeColor="accent1"/>
          <w:sz w:val="24"/>
          <w:szCs w:val="24"/>
          <w:lang w:val="es-MX"/>
        </w:rPr>
      </w:pPr>
    </w:p>
    <w:p w:rsidR="009D1131" w:rsidRPr="00FD6433" w:rsidRDefault="009D1131" w:rsidP="009D1131">
      <w:pPr>
        <w:pStyle w:val="corte4fondo"/>
        <w:spacing w:line="240" w:lineRule="auto"/>
        <w:ind w:firstLine="0"/>
        <w:rPr>
          <w:rFonts w:cs="Arial"/>
          <w:b/>
          <w:color w:val="4472C4" w:themeColor="accent1"/>
          <w:sz w:val="24"/>
          <w:szCs w:val="24"/>
          <w:vertAlign w:val="subscript"/>
          <w:lang w:val="es-MX"/>
        </w:rPr>
      </w:pPr>
      <w:r w:rsidRPr="00FD6433">
        <w:rPr>
          <w:rFonts w:cs="Arial"/>
          <w:color w:val="4472C4" w:themeColor="accent1"/>
          <w:sz w:val="24"/>
          <w:szCs w:val="24"/>
        </w:rPr>
        <w:tab/>
      </w:r>
      <w:r w:rsidRPr="00FD6433">
        <w:rPr>
          <w:rFonts w:cs="Arial"/>
          <w:color w:val="4472C4" w:themeColor="accent1"/>
          <w:sz w:val="24"/>
          <w:szCs w:val="24"/>
          <w:lang w:val="es-MX"/>
        </w:rPr>
        <w:t>San Luis Potosí, San Luis Potosí</w:t>
      </w:r>
      <w:r w:rsidRPr="00FD6433">
        <w:rPr>
          <w:rFonts w:cs="Arial"/>
          <w:color w:val="4472C4" w:themeColor="accent1"/>
          <w:sz w:val="24"/>
          <w:szCs w:val="24"/>
        </w:rPr>
        <w:t>. Acuerdo de</w:t>
      </w:r>
      <w:r w:rsidRPr="00FD6433">
        <w:rPr>
          <w:rFonts w:cs="Arial"/>
          <w:color w:val="4472C4" w:themeColor="accent1"/>
          <w:sz w:val="24"/>
          <w:szCs w:val="24"/>
          <w:lang w:val="es-MX"/>
        </w:rPr>
        <w:t>l</w:t>
      </w:r>
      <w:r w:rsidRPr="00FD6433">
        <w:rPr>
          <w:rFonts w:cs="Arial"/>
          <w:color w:val="4472C4" w:themeColor="accent1"/>
          <w:sz w:val="24"/>
          <w:szCs w:val="24"/>
        </w:rPr>
        <w:t xml:space="preserve"> </w:t>
      </w:r>
      <w:r w:rsidRPr="00FD6433">
        <w:rPr>
          <w:rFonts w:cs="Arial"/>
          <w:color w:val="4472C4" w:themeColor="accent1"/>
          <w:sz w:val="24"/>
          <w:szCs w:val="24"/>
          <w:lang w:val="es-MX"/>
        </w:rPr>
        <w:t>Pleno de la Comisión Estatal de Garantía de Acceso a la Información Pública</w:t>
      </w:r>
      <w:r w:rsidRPr="00FD6433">
        <w:rPr>
          <w:rFonts w:cs="Arial"/>
          <w:color w:val="4472C4" w:themeColor="accent1"/>
          <w:sz w:val="24"/>
          <w:szCs w:val="24"/>
        </w:rPr>
        <w:t>, correspondiente a</w:t>
      </w:r>
      <w:r w:rsidRPr="00FD6433">
        <w:rPr>
          <w:rFonts w:cs="Arial"/>
          <w:color w:val="4472C4" w:themeColor="accent1"/>
          <w:sz w:val="24"/>
          <w:szCs w:val="24"/>
          <w:lang w:val="es-MX"/>
        </w:rPr>
        <w:t xml:space="preserve"> la Sesión </w:t>
      </w:r>
      <w:r w:rsidR="006B1DFF">
        <w:rPr>
          <w:rFonts w:cs="Arial"/>
          <w:color w:val="4472C4" w:themeColor="accent1"/>
          <w:sz w:val="24"/>
          <w:szCs w:val="24"/>
          <w:lang w:val="es-MX"/>
        </w:rPr>
        <w:t>extra</w:t>
      </w:r>
      <w:r w:rsidRPr="00FD6433">
        <w:rPr>
          <w:rFonts w:cs="Arial"/>
          <w:color w:val="4472C4" w:themeColor="accent1"/>
          <w:sz w:val="24"/>
          <w:szCs w:val="24"/>
          <w:lang w:val="es-MX"/>
        </w:rPr>
        <w:t xml:space="preserve">ordinaria  de </w:t>
      </w:r>
      <w:r w:rsidR="006B1DFF">
        <w:rPr>
          <w:rFonts w:cs="Arial"/>
          <w:color w:val="4472C4" w:themeColor="accent1"/>
          <w:sz w:val="24"/>
          <w:szCs w:val="24"/>
          <w:lang w:val="es-MX"/>
        </w:rPr>
        <w:t>01 uno de junio</w:t>
      </w:r>
      <w:r w:rsidRPr="00FD6433">
        <w:rPr>
          <w:rFonts w:cs="Arial"/>
          <w:color w:val="4472C4" w:themeColor="accent1"/>
          <w:sz w:val="24"/>
          <w:szCs w:val="24"/>
          <w:lang w:val="es-MX"/>
        </w:rPr>
        <w:t xml:space="preserve"> de 2022 dos mil </w:t>
      </w:r>
      <w:r w:rsidRPr="00FD6433">
        <w:rPr>
          <w:rFonts w:cs="Arial"/>
          <w:color w:val="4472C4" w:themeColor="accent1"/>
          <w:sz w:val="24"/>
          <w:szCs w:val="24"/>
        </w:rPr>
        <w:t>veintidós.</w:t>
      </w:r>
    </w:p>
    <w:p w:rsidR="009D1131" w:rsidRPr="00FD6433" w:rsidRDefault="009D1131" w:rsidP="009D1131">
      <w:pPr>
        <w:pStyle w:val="corte4fondo"/>
        <w:spacing w:line="240" w:lineRule="auto"/>
        <w:ind w:firstLine="0"/>
        <w:rPr>
          <w:rFonts w:cs="Arial"/>
          <w:b/>
          <w:color w:val="4472C4" w:themeColor="accent1"/>
          <w:sz w:val="24"/>
          <w:szCs w:val="24"/>
          <w:lang w:val="es-MX"/>
        </w:rPr>
      </w:pPr>
    </w:p>
    <w:p w:rsidR="009D1131" w:rsidRPr="00FD6433" w:rsidRDefault="009D1131" w:rsidP="009D1131">
      <w:pPr>
        <w:pStyle w:val="corte4fondo"/>
        <w:spacing w:line="240" w:lineRule="auto"/>
        <w:rPr>
          <w:rFonts w:cs="Arial"/>
          <w:color w:val="4472C4" w:themeColor="accent1"/>
          <w:sz w:val="24"/>
          <w:szCs w:val="24"/>
          <w:lang w:val="es-MX"/>
        </w:rPr>
      </w:pPr>
      <w:r w:rsidRPr="00FD6433">
        <w:rPr>
          <w:rFonts w:cs="Arial"/>
          <w:b/>
          <w:color w:val="4472C4" w:themeColor="accent1"/>
          <w:sz w:val="24"/>
          <w:szCs w:val="24"/>
        </w:rPr>
        <w:t>VISTOS</w:t>
      </w:r>
      <w:r w:rsidRPr="00FD6433">
        <w:rPr>
          <w:rFonts w:cs="Arial"/>
          <w:color w:val="4472C4" w:themeColor="accent1"/>
          <w:sz w:val="24"/>
          <w:szCs w:val="24"/>
          <w:lang w:val="es-MX"/>
        </w:rPr>
        <w:t>,</w:t>
      </w:r>
      <w:r w:rsidRPr="00FD6433">
        <w:rPr>
          <w:rFonts w:cs="Arial"/>
          <w:color w:val="4472C4" w:themeColor="accent1"/>
          <w:sz w:val="24"/>
          <w:szCs w:val="24"/>
        </w:rPr>
        <w:t xml:space="preserve"> para resolver</w:t>
      </w:r>
      <w:r w:rsidRPr="00FD6433">
        <w:rPr>
          <w:rFonts w:cs="Arial"/>
          <w:color w:val="4472C4" w:themeColor="accent1"/>
          <w:sz w:val="24"/>
          <w:szCs w:val="24"/>
          <w:lang w:val="es-MX"/>
        </w:rPr>
        <w:t>,</w:t>
      </w:r>
      <w:r w:rsidRPr="00FD6433">
        <w:rPr>
          <w:rFonts w:cs="Arial"/>
          <w:color w:val="4472C4" w:themeColor="accent1"/>
          <w:sz w:val="24"/>
          <w:szCs w:val="24"/>
        </w:rPr>
        <w:t xml:space="preserve"> los autos del recurso de revisión identificado al rubro; y</w:t>
      </w:r>
    </w:p>
    <w:p w:rsidR="009D1131" w:rsidRPr="00FD6433" w:rsidRDefault="009D1131" w:rsidP="009D1131">
      <w:pPr>
        <w:pStyle w:val="corte4fondo"/>
        <w:spacing w:line="240" w:lineRule="auto"/>
        <w:rPr>
          <w:rFonts w:cs="Arial"/>
          <w:color w:val="4472C4" w:themeColor="accent1"/>
          <w:sz w:val="24"/>
          <w:szCs w:val="24"/>
          <w:lang w:val="es-MX"/>
        </w:rPr>
      </w:pPr>
    </w:p>
    <w:p w:rsidR="009D1131" w:rsidRPr="00FD6433" w:rsidRDefault="009D1131" w:rsidP="009D1131">
      <w:pPr>
        <w:pStyle w:val="corte4fondo"/>
        <w:spacing w:line="240" w:lineRule="auto"/>
        <w:jc w:val="center"/>
        <w:rPr>
          <w:rFonts w:cs="Arial"/>
          <w:color w:val="4472C4" w:themeColor="accent1"/>
          <w:sz w:val="24"/>
          <w:szCs w:val="24"/>
          <w:lang w:val="es-MX"/>
        </w:rPr>
      </w:pPr>
      <w:r w:rsidRPr="00FD6433">
        <w:rPr>
          <w:rFonts w:cs="Arial"/>
          <w:b/>
          <w:color w:val="4472C4" w:themeColor="accent1"/>
          <w:sz w:val="24"/>
          <w:szCs w:val="24"/>
          <w:lang w:val="es-MX"/>
        </w:rPr>
        <w:t>R E S U L T A N D O</w:t>
      </w:r>
      <w:r w:rsidRPr="00FD6433">
        <w:rPr>
          <w:rFonts w:cs="Arial"/>
          <w:color w:val="4472C4" w:themeColor="accent1"/>
          <w:sz w:val="24"/>
          <w:szCs w:val="24"/>
          <w:lang w:val="es-MX"/>
        </w:rPr>
        <w:t>:</w:t>
      </w:r>
    </w:p>
    <w:p w:rsidR="009D1131" w:rsidRPr="00FD6433" w:rsidRDefault="009D1131" w:rsidP="009D1131">
      <w:pPr>
        <w:pStyle w:val="corte4fondo"/>
        <w:spacing w:line="240" w:lineRule="auto"/>
        <w:jc w:val="center"/>
        <w:rPr>
          <w:rFonts w:cs="Arial"/>
          <w:color w:val="4472C4" w:themeColor="accent1"/>
          <w:sz w:val="24"/>
          <w:szCs w:val="24"/>
          <w:lang w:val="es-MX"/>
        </w:rPr>
      </w:pPr>
    </w:p>
    <w:p w:rsidR="009D1131" w:rsidRPr="00FD6433" w:rsidRDefault="009D1131" w:rsidP="009D1131">
      <w:pPr>
        <w:pStyle w:val="corte4fondo"/>
        <w:spacing w:line="240" w:lineRule="auto"/>
        <w:rPr>
          <w:rFonts w:cs="Arial"/>
          <w:color w:val="4472C4" w:themeColor="accent1"/>
          <w:sz w:val="24"/>
          <w:szCs w:val="24"/>
        </w:rPr>
      </w:pPr>
      <w:r w:rsidRPr="00FD6433">
        <w:rPr>
          <w:rFonts w:cs="Arial"/>
          <w:b/>
          <w:color w:val="4472C4" w:themeColor="accent1"/>
          <w:sz w:val="24"/>
          <w:szCs w:val="24"/>
          <w:lang w:val="es-MX"/>
        </w:rPr>
        <w:t>PRIMERO. Solicitud de acceso a la información pública.</w:t>
      </w:r>
      <w:r w:rsidRPr="00FD6433">
        <w:rPr>
          <w:rFonts w:cs="Arial"/>
          <w:color w:val="4472C4" w:themeColor="accent1"/>
          <w:sz w:val="24"/>
          <w:szCs w:val="24"/>
          <w:lang w:val="es-MX"/>
        </w:rPr>
        <w:t xml:space="preserve"> Según consta en la Plataforma Nacional de Transparencia en su versión SISAI 2.0 con folio </w:t>
      </w:r>
      <w:r w:rsidR="006B1DFF" w:rsidRPr="006B1DFF">
        <w:rPr>
          <w:rFonts w:cs="Arial"/>
          <w:color w:val="4472C4" w:themeColor="accent1"/>
          <w:sz w:val="24"/>
          <w:szCs w:val="24"/>
          <w:lang w:val="es-MX"/>
        </w:rPr>
        <w:t>240473522000008</w:t>
      </w:r>
      <w:r w:rsidRPr="00FD6433">
        <w:rPr>
          <w:rFonts w:cs="Arial"/>
          <w:color w:val="4472C4" w:themeColor="accent1"/>
          <w:sz w:val="24"/>
          <w:szCs w:val="24"/>
          <w:lang w:val="es-MX"/>
        </w:rPr>
        <w:t xml:space="preserve">, el </w:t>
      </w:r>
      <w:r w:rsidR="006B1DFF">
        <w:rPr>
          <w:rFonts w:cs="Arial"/>
          <w:color w:val="4472C4" w:themeColor="accent1"/>
          <w:sz w:val="24"/>
          <w:szCs w:val="24"/>
          <w:lang w:val="es-MX"/>
        </w:rPr>
        <w:t>11 once de febrero</w:t>
      </w:r>
      <w:r w:rsidRPr="00FD6433">
        <w:rPr>
          <w:rFonts w:cs="Arial"/>
          <w:color w:val="4472C4" w:themeColor="accent1"/>
          <w:sz w:val="24"/>
          <w:szCs w:val="24"/>
          <w:lang w:val="es-MX"/>
        </w:rPr>
        <w:t xml:space="preserve"> de 2022 dos mil veintidós, el recurrente presento una solicitud de información, al Municipio de </w:t>
      </w:r>
      <w:r w:rsidR="006B1DFF">
        <w:rPr>
          <w:rFonts w:cs="Arial"/>
          <w:color w:val="4472C4" w:themeColor="accent1"/>
          <w:sz w:val="24"/>
          <w:szCs w:val="24"/>
          <w:lang w:val="es-MX"/>
        </w:rPr>
        <w:t>Matehuala</w:t>
      </w:r>
      <w:r w:rsidRPr="00FD6433">
        <w:rPr>
          <w:rFonts w:cs="Arial"/>
          <w:color w:val="4472C4" w:themeColor="accent1"/>
          <w:sz w:val="24"/>
          <w:szCs w:val="24"/>
          <w:lang w:val="es-MX"/>
        </w:rPr>
        <w:t>, mediante la cual se le requirió la siguiente, información:</w:t>
      </w:r>
    </w:p>
    <w:p w:rsidR="009D1131" w:rsidRPr="00FD6433" w:rsidRDefault="009D1131" w:rsidP="009D1131">
      <w:pPr>
        <w:pStyle w:val="corte4fondo"/>
        <w:spacing w:line="240" w:lineRule="auto"/>
        <w:rPr>
          <w:rFonts w:cs="Arial"/>
          <w:color w:val="4472C4" w:themeColor="accent1"/>
          <w:sz w:val="24"/>
          <w:szCs w:val="24"/>
          <w:lang w:val="es-MX"/>
        </w:rPr>
      </w:pPr>
    </w:p>
    <w:p w:rsidR="009D1131" w:rsidRPr="00FD6433" w:rsidRDefault="009D1131" w:rsidP="009D1131">
      <w:pPr>
        <w:pStyle w:val="corte4fondo"/>
        <w:spacing w:line="240" w:lineRule="auto"/>
        <w:rPr>
          <w:rFonts w:cs="Arial"/>
          <w:i/>
          <w:color w:val="4472C4" w:themeColor="accent1"/>
          <w:sz w:val="24"/>
          <w:szCs w:val="24"/>
          <w:lang w:val="es-MX"/>
        </w:rPr>
      </w:pPr>
      <w:r w:rsidRPr="00FD6433">
        <w:rPr>
          <w:rFonts w:cs="Arial"/>
          <w:i/>
          <w:color w:val="4472C4" w:themeColor="accent1"/>
          <w:sz w:val="24"/>
          <w:szCs w:val="24"/>
          <w:lang w:val="es-MX"/>
        </w:rPr>
        <w:t>“</w:t>
      </w:r>
      <w:r w:rsidR="006B1DFF" w:rsidRPr="006B1DFF">
        <w:rPr>
          <w:rFonts w:cs="Arial"/>
          <w:i/>
          <w:color w:val="4472C4" w:themeColor="accent1"/>
          <w:sz w:val="24"/>
          <w:szCs w:val="24"/>
          <w:lang w:val="es-MX"/>
        </w:rPr>
        <w:t>1) Ingresos recibidos por cualquier concepto por el sujeto obligado mes de Noviembre 2021 Formato (LTAIPSLP84IVA). 2) Ingresos recibidos por cualquier concepto por el sujeto obligado mes de Diciembre 2021 (LTAIPSLP84IVA). 3) Ingresos recibidos por cualquier concepto por el sujeto obligado mes de Enero 2022 Formato (LTAIPSLP84IVA). 4) Egresos Noviembre 2021Formato (LTAIPSLP84IVB). 5) Egresos Diciembre 2021(LTAIPSLP84IVB). 4) Egresos Enero 2022 (LTAIPSLP84IVB).</w:t>
      </w:r>
      <w:r w:rsidRPr="00FD6433">
        <w:rPr>
          <w:rFonts w:cs="Arial"/>
          <w:i/>
          <w:color w:val="4472C4" w:themeColor="accent1"/>
          <w:sz w:val="24"/>
          <w:szCs w:val="24"/>
          <w:lang w:val="es-MX"/>
        </w:rPr>
        <w:t>” sic</w:t>
      </w:r>
    </w:p>
    <w:p w:rsidR="009D1131" w:rsidRPr="00FD6433" w:rsidRDefault="009D1131" w:rsidP="009D1131">
      <w:pPr>
        <w:pStyle w:val="corte4fondo"/>
        <w:spacing w:line="240" w:lineRule="auto"/>
        <w:rPr>
          <w:rFonts w:cs="Arial"/>
          <w:i/>
          <w:color w:val="4472C4" w:themeColor="accent1"/>
          <w:sz w:val="24"/>
          <w:szCs w:val="24"/>
          <w:lang w:val="es-MX"/>
        </w:rPr>
      </w:pPr>
    </w:p>
    <w:p w:rsidR="009D1131" w:rsidRPr="00FD6433" w:rsidRDefault="009D1131" w:rsidP="009D1131">
      <w:pPr>
        <w:pStyle w:val="corte4fondo"/>
        <w:spacing w:line="240" w:lineRule="auto"/>
        <w:rPr>
          <w:rFonts w:eastAsia="Arial" w:cs="Arial"/>
          <w:color w:val="4472C4" w:themeColor="accent1"/>
          <w:sz w:val="24"/>
          <w:szCs w:val="24"/>
        </w:rPr>
      </w:pPr>
      <w:r w:rsidRPr="00FD6433">
        <w:rPr>
          <w:rFonts w:eastAsia="Arial" w:cs="Arial"/>
          <w:b/>
          <w:bCs/>
          <w:color w:val="4472C4" w:themeColor="accent1"/>
          <w:sz w:val="24"/>
          <w:szCs w:val="24"/>
        </w:rPr>
        <w:t>SEGUNDO.</w:t>
      </w:r>
      <w:r w:rsidR="006B1DFF">
        <w:rPr>
          <w:rFonts w:eastAsia="Arial" w:cs="Arial"/>
          <w:b/>
          <w:bCs/>
          <w:color w:val="4472C4" w:themeColor="accent1"/>
          <w:sz w:val="24"/>
          <w:szCs w:val="24"/>
          <w:lang w:val="es-ES"/>
        </w:rPr>
        <w:t xml:space="preserve"> </w:t>
      </w:r>
      <w:r w:rsidRPr="00FD6433">
        <w:rPr>
          <w:rFonts w:eastAsia="Arial" w:cs="Arial"/>
          <w:b/>
          <w:bCs/>
          <w:color w:val="4472C4" w:themeColor="accent1"/>
          <w:sz w:val="24"/>
          <w:szCs w:val="24"/>
        </w:rPr>
        <w:t>Respuesta a la solicitud de acceso a la información pública.</w:t>
      </w:r>
      <w:r w:rsidRPr="00FD6433">
        <w:rPr>
          <w:rFonts w:eastAsia="Arial" w:cs="Arial"/>
          <w:color w:val="4472C4" w:themeColor="accent1"/>
          <w:sz w:val="24"/>
          <w:szCs w:val="24"/>
        </w:rPr>
        <w:t xml:space="preserve"> El </w:t>
      </w:r>
      <w:r w:rsidR="006B1DFF">
        <w:rPr>
          <w:rFonts w:eastAsia="Arial" w:cs="Arial"/>
          <w:color w:val="4472C4" w:themeColor="accent1"/>
          <w:sz w:val="24"/>
          <w:szCs w:val="24"/>
          <w:lang w:val="es-ES"/>
        </w:rPr>
        <w:t>23 veintitrés</w:t>
      </w:r>
      <w:r w:rsidRPr="00FD6433">
        <w:rPr>
          <w:rFonts w:eastAsia="Arial" w:cs="Arial"/>
          <w:color w:val="4472C4" w:themeColor="accent1"/>
          <w:sz w:val="24"/>
          <w:szCs w:val="24"/>
          <w:lang w:val="es-ES"/>
        </w:rPr>
        <w:t xml:space="preserve"> de febrero de 2022 dos mil veintidós</w:t>
      </w:r>
      <w:r w:rsidRPr="00FD6433">
        <w:rPr>
          <w:rFonts w:eastAsia="Arial" w:cs="Arial"/>
          <w:color w:val="4472C4" w:themeColor="accent1"/>
          <w:sz w:val="24"/>
          <w:szCs w:val="24"/>
        </w:rPr>
        <w:t>, el sujeto obligado consta que, a través de la Plataforma Nacional de Transparencia, otorgó respuesta al escrito de solicitud del recurrente de la manera siguiente:</w:t>
      </w:r>
    </w:p>
    <w:p w:rsidR="009D1131" w:rsidRPr="00FD6433" w:rsidRDefault="009D1131" w:rsidP="009D1131">
      <w:pPr>
        <w:pStyle w:val="corte4fondo"/>
        <w:spacing w:line="240" w:lineRule="auto"/>
        <w:rPr>
          <w:rFonts w:eastAsia="Arial" w:cs="Arial"/>
          <w:color w:val="4472C4" w:themeColor="accent1"/>
          <w:sz w:val="24"/>
          <w:szCs w:val="24"/>
        </w:rPr>
      </w:pPr>
    </w:p>
    <w:p w:rsidR="009D1131" w:rsidRPr="00FD6433" w:rsidRDefault="009D1131" w:rsidP="009D1131">
      <w:pPr>
        <w:pStyle w:val="corte4fondo"/>
        <w:spacing w:line="240" w:lineRule="auto"/>
        <w:rPr>
          <w:rFonts w:eastAsia="Arial" w:cs="Arial"/>
          <w:i/>
          <w:color w:val="4472C4" w:themeColor="accent1"/>
          <w:sz w:val="24"/>
          <w:szCs w:val="24"/>
          <w:lang w:val="es-MX"/>
        </w:rPr>
      </w:pPr>
      <w:r w:rsidRPr="00FD6433">
        <w:rPr>
          <w:rFonts w:eastAsia="Arial" w:cs="Arial"/>
          <w:i/>
          <w:color w:val="4472C4" w:themeColor="accent1"/>
          <w:sz w:val="24"/>
          <w:szCs w:val="24"/>
          <w:lang w:val="es-MX"/>
        </w:rPr>
        <w:t>“</w:t>
      </w:r>
      <w:r w:rsidR="006B1DFF" w:rsidRPr="006B1DFF">
        <w:rPr>
          <w:rFonts w:eastAsia="Arial" w:cs="Arial"/>
          <w:i/>
          <w:color w:val="4472C4" w:themeColor="accent1"/>
          <w:sz w:val="24"/>
          <w:szCs w:val="24"/>
          <w:lang w:val="es-MX"/>
        </w:rPr>
        <w:t>Por medio del presente, estando en tiempo y forma, se le da contestación a su solicitud de información, por lo tanto, se adjunta un archivo denominado: contestación 240473522000008, el cual contiene la respuesta expedida por el departamento de Tesorería Municipal, mediante oficio numero TM-043/2022, de fecha 18 de febrero del 2022.</w:t>
      </w:r>
      <w:r w:rsidRPr="00FD6433">
        <w:rPr>
          <w:rFonts w:eastAsia="Arial" w:cs="Arial"/>
          <w:i/>
          <w:color w:val="4472C4" w:themeColor="accent1"/>
          <w:sz w:val="24"/>
          <w:szCs w:val="24"/>
          <w:lang w:val="es-MX"/>
        </w:rPr>
        <w:t>” Sic</w:t>
      </w:r>
    </w:p>
    <w:p w:rsidR="009D1131" w:rsidRPr="00FD6433" w:rsidRDefault="009D1131" w:rsidP="009D1131">
      <w:pPr>
        <w:pStyle w:val="corte4fondo"/>
        <w:spacing w:line="240" w:lineRule="auto"/>
        <w:rPr>
          <w:rFonts w:eastAsia="Arial" w:cs="Arial"/>
          <w:i/>
          <w:color w:val="4472C4" w:themeColor="accent1"/>
          <w:sz w:val="24"/>
          <w:szCs w:val="24"/>
          <w:lang w:val="es-MX"/>
        </w:rPr>
      </w:pPr>
    </w:p>
    <w:p w:rsidR="009D1131" w:rsidRPr="00FD6433" w:rsidRDefault="006B1DFF" w:rsidP="009D1131">
      <w:pPr>
        <w:pStyle w:val="corte4fondo"/>
        <w:spacing w:line="240" w:lineRule="auto"/>
        <w:rPr>
          <w:rFonts w:eastAsia="Arial" w:cs="Arial"/>
          <w:i/>
          <w:color w:val="4472C4" w:themeColor="accent1"/>
          <w:sz w:val="24"/>
          <w:szCs w:val="24"/>
          <w:lang w:val="es-MX"/>
        </w:rPr>
      </w:pPr>
      <w:r w:rsidRPr="006B1DFF">
        <w:rPr>
          <w:rFonts w:eastAsia="Arial" w:cs="Arial"/>
          <w:i/>
          <w:noProof/>
          <w:color w:val="4472C4" w:themeColor="accent1"/>
          <w:sz w:val="24"/>
          <w:szCs w:val="24"/>
          <w:lang w:val="es-MX"/>
        </w:rPr>
        <w:lastRenderedPageBreak/>
        <w:drawing>
          <wp:anchor distT="0" distB="0" distL="114300" distR="114300" simplePos="0" relativeHeight="251661312" behindDoc="1" locked="0" layoutInCell="1" allowOverlap="1">
            <wp:simplePos x="0" y="0"/>
            <wp:positionH relativeFrom="column">
              <wp:posOffset>227330</wp:posOffset>
            </wp:positionH>
            <wp:positionV relativeFrom="paragraph">
              <wp:posOffset>4445</wp:posOffset>
            </wp:positionV>
            <wp:extent cx="4772025" cy="3609975"/>
            <wp:effectExtent l="0" t="0" r="9525" b="9525"/>
            <wp:wrapTight wrapText="bothSides">
              <wp:wrapPolygon edited="0">
                <wp:start x="0" y="0"/>
                <wp:lineTo x="0" y="21543"/>
                <wp:lineTo x="21557" y="21543"/>
                <wp:lineTo x="21557" y="0"/>
                <wp:lineTo x="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5771" r="9188"/>
                    <a:stretch/>
                  </pic:blipFill>
                  <pic:spPr bwMode="auto">
                    <a:xfrm>
                      <a:off x="0" y="0"/>
                      <a:ext cx="4772025" cy="36099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rsidR="009D1131" w:rsidRPr="00FD6433" w:rsidRDefault="009D1131" w:rsidP="009D1131">
      <w:pPr>
        <w:pStyle w:val="corte4fondo"/>
        <w:spacing w:line="240" w:lineRule="auto"/>
        <w:rPr>
          <w:rFonts w:eastAsia="Arial" w:cs="Arial"/>
          <w:i/>
          <w:color w:val="4472C4" w:themeColor="accent1"/>
          <w:sz w:val="24"/>
          <w:szCs w:val="24"/>
          <w:lang w:val="es-ES"/>
        </w:rPr>
      </w:pPr>
    </w:p>
    <w:p w:rsidR="009D1131" w:rsidRPr="00FD6433" w:rsidRDefault="009D1131" w:rsidP="009D1131">
      <w:pPr>
        <w:pStyle w:val="corte4fondo"/>
        <w:spacing w:line="240" w:lineRule="auto"/>
        <w:rPr>
          <w:rFonts w:eastAsia="Arial" w:cs="Arial"/>
          <w:i/>
          <w:color w:val="4472C4" w:themeColor="accent1"/>
          <w:sz w:val="24"/>
          <w:szCs w:val="24"/>
          <w:lang w:val="es-ES"/>
        </w:rPr>
      </w:pPr>
      <w:r w:rsidRPr="00FD6433">
        <w:rPr>
          <w:rFonts w:eastAsia="Arial" w:cs="Arial"/>
          <w:i/>
          <w:color w:val="4472C4" w:themeColor="accent1"/>
          <w:sz w:val="24"/>
          <w:szCs w:val="24"/>
          <w:lang w:val="es-ES"/>
        </w:rPr>
        <w:t>(archivo adjunto, pagina 1-</w:t>
      </w:r>
      <w:r w:rsidR="006B1DFF">
        <w:rPr>
          <w:rFonts w:eastAsia="Arial" w:cs="Arial"/>
          <w:i/>
          <w:color w:val="4472C4" w:themeColor="accent1"/>
          <w:sz w:val="24"/>
          <w:szCs w:val="24"/>
          <w:lang w:val="es-ES"/>
        </w:rPr>
        <w:t>16</w:t>
      </w:r>
      <w:r w:rsidRPr="00FD6433">
        <w:rPr>
          <w:rFonts w:eastAsia="Arial" w:cs="Arial"/>
          <w:i/>
          <w:color w:val="4472C4" w:themeColor="accent1"/>
          <w:sz w:val="24"/>
          <w:szCs w:val="24"/>
          <w:lang w:val="es-ES"/>
        </w:rPr>
        <w:t>)</w:t>
      </w:r>
    </w:p>
    <w:p w:rsidR="009D1131" w:rsidRPr="00FD6433" w:rsidRDefault="009D1131" w:rsidP="009D1131">
      <w:pPr>
        <w:pStyle w:val="corte4fondo"/>
        <w:spacing w:line="240" w:lineRule="auto"/>
        <w:ind w:firstLine="0"/>
        <w:rPr>
          <w:rFonts w:cs="Arial"/>
          <w:color w:val="4472C4" w:themeColor="accent1"/>
          <w:sz w:val="24"/>
          <w:szCs w:val="24"/>
          <w:lang w:val="es-MX"/>
        </w:rPr>
      </w:pPr>
    </w:p>
    <w:p w:rsidR="009D1131" w:rsidRPr="00FD6433" w:rsidRDefault="009D1131" w:rsidP="009D1131">
      <w:pPr>
        <w:pStyle w:val="corte4fondo"/>
        <w:tabs>
          <w:tab w:val="left" w:pos="5825"/>
        </w:tabs>
        <w:spacing w:line="240" w:lineRule="auto"/>
        <w:rPr>
          <w:rFonts w:cs="Arial"/>
          <w:b/>
          <w:color w:val="4472C4" w:themeColor="accent1"/>
          <w:sz w:val="24"/>
          <w:szCs w:val="24"/>
          <w:lang w:val="es-MX"/>
        </w:rPr>
      </w:pPr>
    </w:p>
    <w:p w:rsidR="009D1131" w:rsidRPr="00FD6433" w:rsidRDefault="009D1131" w:rsidP="009D1131">
      <w:pPr>
        <w:pStyle w:val="corte4fondo"/>
        <w:tabs>
          <w:tab w:val="left" w:pos="5825"/>
        </w:tabs>
        <w:spacing w:line="240" w:lineRule="auto"/>
        <w:rPr>
          <w:rFonts w:cs="Arial"/>
          <w:color w:val="4472C4" w:themeColor="accent1"/>
          <w:sz w:val="24"/>
          <w:szCs w:val="24"/>
          <w:lang w:val="es-MX"/>
        </w:rPr>
      </w:pPr>
      <w:r w:rsidRPr="00FD6433">
        <w:rPr>
          <w:rFonts w:cs="Arial"/>
          <w:b/>
          <w:color w:val="4472C4" w:themeColor="accent1"/>
          <w:sz w:val="24"/>
          <w:szCs w:val="24"/>
          <w:lang w:val="es-MX"/>
        </w:rPr>
        <w:t xml:space="preserve">CUARTO. </w:t>
      </w:r>
      <w:r w:rsidRPr="00FD6433">
        <w:rPr>
          <w:rFonts w:cs="Arial"/>
          <w:b/>
          <w:color w:val="4472C4" w:themeColor="accent1"/>
          <w:sz w:val="24"/>
          <w:szCs w:val="24"/>
        </w:rPr>
        <w:t xml:space="preserve">Interposición del recurso. </w:t>
      </w:r>
      <w:r w:rsidRPr="00FD6433">
        <w:rPr>
          <w:rFonts w:cs="Arial"/>
          <w:color w:val="4472C4" w:themeColor="accent1"/>
          <w:sz w:val="24"/>
          <w:szCs w:val="24"/>
        </w:rPr>
        <w:t>El</w:t>
      </w:r>
      <w:r w:rsidRPr="00FD6433">
        <w:rPr>
          <w:rFonts w:cs="Arial"/>
          <w:color w:val="4472C4" w:themeColor="accent1"/>
          <w:sz w:val="24"/>
          <w:szCs w:val="24"/>
          <w:lang w:val="es-MX"/>
        </w:rPr>
        <w:t xml:space="preserve"> </w:t>
      </w:r>
      <w:r w:rsidR="0092248C">
        <w:rPr>
          <w:rFonts w:cs="Arial"/>
          <w:color w:val="4472C4" w:themeColor="accent1"/>
          <w:sz w:val="24"/>
          <w:szCs w:val="24"/>
          <w:lang w:val="es-MX"/>
        </w:rPr>
        <w:t>25 veinticinco</w:t>
      </w:r>
      <w:r w:rsidRPr="00FD6433">
        <w:rPr>
          <w:rFonts w:cs="Arial"/>
          <w:color w:val="4472C4" w:themeColor="accent1"/>
          <w:sz w:val="24"/>
          <w:szCs w:val="24"/>
          <w:lang w:val="es-MX"/>
        </w:rPr>
        <w:t xml:space="preserve"> de febrero de 2022 dos mil veintidós, el hoy recurrente interpuso el presente medio de impugnación a través de la Plataforma Nacional de Transparencia, el cual quedó presentado el día ocho, del mismo mes y año, ante oficialía de partes de esta Comisión; mediante el cual señaló como inconformidad lo siguiente:</w:t>
      </w:r>
    </w:p>
    <w:p w:rsidR="009D1131" w:rsidRPr="00FD6433" w:rsidRDefault="009D1131" w:rsidP="009D1131">
      <w:pPr>
        <w:pStyle w:val="corte4fondo"/>
        <w:tabs>
          <w:tab w:val="left" w:pos="5825"/>
        </w:tabs>
        <w:spacing w:line="240" w:lineRule="auto"/>
        <w:rPr>
          <w:rFonts w:cs="Arial"/>
          <w:color w:val="4472C4" w:themeColor="accent1"/>
          <w:sz w:val="24"/>
          <w:szCs w:val="24"/>
          <w:lang w:val="es-MX"/>
        </w:rPr>
      </w:pPr>
    </w:p>
    <w:p w:rsidR="009D1131" w:rsidRPr="00FD6433" w:rsidRDefault="009D1131" w:rsidP="009D1131">
      <w:pPr>
        <w:pStyle w:val="corte4fondo"/>
        <w:spacing w:line="240" w:lineRule="auto"/>
        <w:rPr>
          <w:rFonts w:cs="Arial"/>
          <w:i/>
          <w:color w:val="4472C4" w:themeColor="accent1"/>
          <w:sz w:val="24"/>
          <w:szCs w:val="24"/>
          <w:lang w:val="es-MX"/>
        </w:rPr>
      </w:pPr>
      <w:r w:rsidRPr="00FD6433">
        <w:rPr>
          <w:rFonts w:cs="Arial"/>
          <w:i/>
          <w:color w:val="4472C4" w:themeColor="accent1"/>
          <w:sz w:val="24"/>
          <w:szCs w:val="24"/>
          <w:lang w:val="es-MX"/>
        </w:rPr>
        <w:t>“</w:t>
      </w:r>
      <w:r w:rsidR="00470121">
        <w:rPr>
          <w:rFonts w:cs="Arial"/>
          <w:i/>
          <w:color w:val="4472C4" w:themeColor="accent1"/>
          <w:sz w:val="24"/>
          <w:szCs w:val="24"/>
          <w:lang w:val="es-MX"/>
        </w:rPr>
        <w:t xml:space="preserve">Información recibida incompleta, faltan los conceptos relacionados al mes de Enero 2022, ver enseguida: 3) Ingresos recibidos por cualquier concepto por el </w:t>
      </w:r>
      <w:r w:rsidR="00CC2E1E">
        <w:rPr>
          <w:rFonts w:cs="Arial"/>
          <w:i/>
          <w:color w:val="4472C4" w:themeColor="accent1"/>
          <w:sz w:val="24"/>
          <w:szCs w:val="24"/>
          <w:lang w:val="es-MX"/>
        </w:rPr>
        <w:t xml:space="preserve"> sujeto obligado mes de Enero 2022 Formato (LTAIPSLP84IVA) Egresos Enero 2022 (LTAIPSLP84IVB). </w:t>
      </w:r>
      <w:r w:rsidRPr="00FD6433">
        <w:rPr>
          <w:rFonts w:cs="Arial"/>
          <w:i/>
          <w:color w:val="4472C4" w:themeColor="accent1"/>
          <w:sz w:val="24"/>
          <w:szCs w:val="24"/>
          <w:lang w:val="es-MX"/>
        </w:rPr>
        <w:t xml:space="preserve">” sic </w:t>
      </w:r>
    </w:p>
    <w:p w:rsidR="009D1131" w:rsidRPr="00FD6433" w:rsidRDefault="009D1131" w:rsidP="009D1131">
      <w:pPr>
        <w:pStyle w:val="corte4fondo"/>
        <w:tabs>
          <w:tab w:val="left" w:pos="5825"/>
        </w:tabs>
        <w:spacing w:line="240" w:lineRule="auto"/>
        <w:rPr>
          <w:rFonts w:cs="Arial"/>
          <w:color w:val="4472C4" w:themeColor="accent1"/>
          <w:sz w:val="24"/>
          <w:szCs w:val="24"/>
          <w:lang w:val="es-MX"/>
        </w:rPr>
      </w:pPr>
    </w:p>
    <w:p w:rsidR="009D1131" w:rsidRPr="00FD6433" w:rsidRDefault="009D1131" w:rsidP="009D1131">
      <w:pPr>
        <w:pStyle w:val="corte4fondo"/>
        <w:spacing w:line="240" w:lineRule="auto"/>
        <w:rPr>
          <w:rFonts w:cs="Arial"/>
          <w:b/>
          <w:color w:val="4472C4" w:themeColor="accent1"/>
          <w:sz w:val="24"/>
          <w:szCs w:val="24"/>
          <w:lang w:val="es-MX"/>
        </w:rPr>
      </w:pPr>
    </w:p>
    <w:p w:rsidR="009D1131" w:rsidRPr="00FD6433" w:rsidRDefault="009D1131" w:rsidP="009D1131">
      <w:pPr>
        <w:pStyle w:val="corte4fondo"/>
        <w:spacing w:line="240" w:lineRule="auto"/>
        <w:rPr>
          <w:rFonts w:cs="Arial"/>
          <w:color w:val="4472C4" w:themeColor="accent1"/>
          <w:sz w:val="24"/>
          <w:szCs w:val="24"/>
          <w:lang w:val="es-MX"/>
        </w:rPr>
      </w:pPr>
      <w:r w:rsidRPr="00FD6433">
        <w:rPr>
          <w:rFonts w:cs="Arial"/>
          <w:b/>
          <w:color w:val="4472C4" w:themeColor="accent1"/>
          <w:sz w:val="24"/>
          <w:szCs w:val="24"/>
          <w:lang w:val="es-MX"/>
        </w:rPr>
        <w:t xml:space="preserve">QUINTO. Trámite del recurso de revisión ante esta Comisión Estatal de Garantía de Acceso a la Información Pública. </w:t>
      </w:r>
      <w:r w:rsidRPr="00FD6433">
        <w:rPr>
          <w:rFonts w:cs="Arial"/>
          <w:color w:val="4472C4" w:themeColor="accent1"/>
          <w:sz w:val="24"/>
          <w:szCs w:val="24"/>
          <w:lang w:val="es-MX"/>
        </w:rPr>
        <w:t xml:space="preserve">Mediante auto de </w:t>
      </w:r>
      <w:r w:rsidR="00CC2E1E">
        <w:rPr>
          <w:rFonts w:cs="Arial"/>
          <w:color w:val="4472C4" w:themeColor="accent1"/>
          <w:sz w:val="24"/>
          <w:szCs w:val="24"/>
          <w:lang w:val="es-MX"/>
        </w:rPr>
        <w:t>01 uno de marzo</w:t>
      </w:r>
      <w:r w:rsidRPr="00FD6433">
        <w:rPr>
          <w:rFonts w:cs="Arial"/>
          <w:color w:val="4472C4" w:themeColor="accent1"/>
          <w:sz w:val="24"/>
          <w:szCs w:val="24"/>
          <w:lang w:val="es-MX"/>
        </w:rPr>
        <w:t xml:space="preserve"> de 2022 dos mil veintidós, la Presidencia de esta Comisión tuvo por recibido el recurso de revisión que hoy nos ocupa, por lo que en razón de turno toco conocer a la ponencia del Licenciado José Alfredo Solis Ramírez, con fundamento en el artículo 110 del Código de Procedimientos Civiles del Estado, de aplicación supletoria a la Ley de Transparencia y Acceso a la Información Pública del Estado de San Luis Potosí, en concatenación con los diversos numerales 4° y 28°, segundo párrafo, así como, por el acuerdo  “CEGAIP-910/2021.S.E.”, emitido  en la sesión extraordinaria del primero de julio de dos mil veintiuno a las catorce horas, la Licenciada Rosa María Motilla García, Secretaria de Pleno de este Órgano Colegiado asienta y hace constar que: a partir del día 1° de julio del año 2021 dos mil veintiuno, el H. Pleno de esta Comisión designo  al Licenciado José Alfredo Solis Ramírez, Comisionado adscrito a la ponencia 2 de esta Comisión Estatal de Garantía de Acceso a la Información Pública, lo que se asienta para los efectos legales conducentes,  turnando dicho expediente  bajo el número </w:t>
      </w:r>
      <w:r w:rsidR="006B1DFF">
        <w:rPr>
          <w:rFonts w:cs="Arial"/>
          <w:b/>
          <w:color w:val="4472C4" w:themeColor="accent1"/>
          <w:sz w:val="24"/>
          <w:szCs w:val="24"/>
          <w:lang w:val="es-MX"/>
        </w:rPr>
        <w:t>576</w:t>
      </w:r>
      <w:r w:rsidR="005112DD">
        <w:rPr>
          <w:rFonts w:cs="Arial"/>
          <w:b/>
          <w:color w:val="4472C4" w:themeColor="accent1"/>
          <w:sz w:val="24"/>
          <w:szCs w:val="24"/>
          <w:lang w:val="es-MX"/>
        </w:rPr>
        <w:t>/2022-</w:t>
      </w:r>
      <w:r w:rsidRPr="00FD6433">
        <w:rPr>
          <w:rFonts w:cs="Arial"/>
          <w:b/>
          <w:color w:val="4472C4" w:themeColor="accent1"/>
          <w:sz w:val="24"/>
          <w:szCs w:val="24"/>
          <w:lang w:val="es-MX"/>
        </w:rPr>
        <w:t xml:space="preserve"> SICOM, </w:t>
      </w:r>
      <w:r w:rsidRPr="00FD6433">
        <w:rPr>
          <w:rFonts w:cs="Arial"/>
          <w:color w:val="4472C4" w:themeColor="accent1"/>
          <w:sz w:val="24"/>
          <w:szCs w:val="24"/>
          <w:lang w:val="es-MX"/>
        </w:rPr>
        <w:t xml:space="preserve">para que procediera, previo análisis a su admisión o desechamiento según fuera el caso.  </w:t>
      </w:r>
    </w:p>
    <w:p w:rsidR="009D1131" w:rsidRPr="00FD6433" w:rsidRDefault="009D1131" w:rsidP="009D1131">
      <w:pPr>
        <w:pStyle w:val="corte4fondo"/>
        <w:spacing w:line="240" w:lineRule="auto"/>
        <w:rPr>
          <w:rFonts w:cs="Arial"/>
          <w:color w:val="4472C4" w:themeColor="accent1"/>
          <w:sz w:val="24"/>
          <w:szCs w:val="24"/>
          <w:lang w:val="es-MX"/>
        </w:rPr>
      </w:pPr>
    </w:p>
    <w:p w:rsidR="009D1131" w:rsidRPr="00FD6433" w:rsidRDefault="009D1131" w:rsidP="009D1131">
      <w:pPr>
        <w:spacing w:line="240" w:lineRule="auto"/>
        <w:ind w:firstLine="709"/>
        <w:jc w:val="both"/>
        <w:rPr>
          <w:rFonts w:ascii="Arial" w:hAnsi="Arial" w:cs="Arial"/>
          <w:color w:val="4472C4" w:themeColor="accent1"/>
          <w:sz w:val="24"/>
          <w:szCs w:val="24"/>
        </w:rPr>
      </w:pPr>
      <w:r w:rsidRPr="00FD6433">
        <w:rPr>
          <w:rFonts w:ascii="Arial" w:hAnsi="Arial" w:cs="Arial"/>
          <w:b/>
          <w:color w:val="4472C4" w:themeColor="accent1"/>
          <w:sz w:val="24"/>
          <w:szCs w:val="24"/>
        </w:rPr>
        <w:lastRenderedPageBreak/>
        <w:t xml:space="preserve">SEXTO. Auto de admisión y trámite. </w:t>
      </w:r>
      <w:r w:rsidRPr="00FD6433">
        <w:rPr>
          <w:rFonts w:ascii="Arial" w:hAnsi="Arial" w:cs="Arial"/>
          <w:color w:val="4472C4" w:themeColor="accent1"/>
          <w:sz w:val="24"/>
          <w:szCs w:val="24"/>
        </w:rPr>
        <w:t xml:space="preserve">El </w:t>
      </w:r>
      <w:r w:rsidR="00232F0A">
        <w:rPr>
          <w:rFonts w:ascii="Arial" w:hAnsi="Arial" w:cs="Arial"/>
          <w:color w:val="4472C4" w:themeColor="accent1"/>
          <w:sz w:val="24"/>
          <w:szCs w:val="24"/>
        </w:rPr>
        <w:t>15 quince</w:t>
      </w:r>
      <w:r w:rsidRPr="00FD6433">
        <w:rPr>
          <w:rFonts w:ascii="Arial" w:hAnsi="Arial" w:cs="Arial"/>
          <w:color w:val="4472C4" w:themeColor="accent1"/>
          <w:sz w:val="24"/>
          <w:szCs w:val="24"/>
        </w:rPr>
        <w:t xml:space="preserve"> de </w:t>
      </w:r>
      <w:r w:rsidR="00232F0A">
        <w:rPr>
          <w:rFonts w:ascii="Arial" w:hAnsi="Arial" w:cs="Arial"/>
          <w:color w:val="4472C4" w:themeColor="accent1"/>
          <w:sz w:val="24"/>
          <w:szCs w:val="24"/>
        </w:rPr>
        <w:t>marzo</w:t>
      </w:r>
      <w:r w:rsidRPr="00FD6433">
        <w:rPr>
          <w:rFonts w:ascii="Arial" w:hAnsi="Arial" w:cs="Arial"/>
          <w:color w:val="4472C4" w:themeColor="accent1"/>
          <w:sz w:val="24"/>
          <w:szCs w:val="24"/>
        </w:rPr>
        <w:t xml:space="preserve"> de 2022 dos mil veintidós, el Comisionado Ponente acordó la admisión del recurso de revisión por </w:t>
      </w:r>
      <w:r w:rsidR="005112DD">
        <w:rPr>
          <w:rFonts w:ascii="Arial" w:hAnsi="Arial" w:cs="Arial"/>
          <w:color w:val="4472C4" w:themeColor="accent1"/>
          <w:sz w:val="24"/>
          <w:szCs w:val="24"/>
        </w:rPr>
        <w:t>actualizarse la hipótesis de la</w:t>
      </w:r>
      <w:r w:rsidRPr="00FD6433">
        <w:rPr>
          <w:rFonts w:ascii="Arial" w:hAnsi="Arial" w:cs="Arial"/>
          <w:color w:val="4472C4" w:themeColor="accent1"/>
          <w:sz w:val="24"/>
          <w:szCs w:val="24"/>
        </w:rPr>
        <w:t xml:space="preserve"> </w:t>
      </w:r>
      <w:r w:rsidR="005112DD" w:rsidRPr="00FD6433">
        <w:rPr>
          <w:rFonts w:ascii="Arial" w:hAnsi="Arial" w:cs="Arial"/>
          <w:color w:val="4472C4" w:themeColor="accent1"/>
          <w:sz w:val="24"/>
          <w:szCs w:val="24"/>
        </w:rPr>
        <w:t>fracción</w:t>
      </w:r>
      <w:r w:rsidRPr="00FD6433">
        <w:rPr>
          <w:rFonts w:ascii="Arial" w:hAnsi="Arial" w:cs="Arial"/>
          <w:color w:val="4472C4" w:themeColor="accent1"/>
          <w:sz w:val="24"/>
          <w:szCs w:val="24"/>
        </w:rPr>
        <w:t xml:space="preserve"> IV del artículo 167 de la Ley de Transparencia y Acceso a la Información Pública del Estado, tuvo como ente obligado al </w:t>
      </w:r>
      <w:r w:rsidRPr="00FD6433">
        <w:rPr>
          <w:rFonts w:ascii="Arial" w:hAnsi="Arial" w:cs="Arial"/>
          <w:b/>
          <w:color w:val="4472C4" w:themeColor="accent1"/>
          <w:sz w:val="24"/>
          <w:szCs w:val="24"/>
        </w:rPr>
        <w:t xml:space="preserve">H. AYUNTAMIENTO DE </w:t>
      </w:r>
      <w:r w:rsidR="006B1DFF">
        <w:rPr>
          <w:rFonts w:ascii="Arial" w:hAnsi="Arial" w:cs="Arial"/>
          <w:b/>
          <w:color w:val="4472C4" w:themeColor="accent1"/>
          <w:sz w:val="24"/>
          <w:szCs w:val="24"/>
        </w:rPr>
        <w:t>MATEHUALA</w:t>
      </w:r>
      <w:r w:rsidRPr="00FD6433">
        <w:rPr>
          <w:rFonts w:ascii="Arial" w:hAnsi="Arial" w:cs="Arial"/>
          <w:b/>
          <w:color w:val="4472C4" w:themeColor="accent1"/>
          <w:sz w:val="24"/>
          <w:szCs w:val="24"/>
        </w:rPr>
        <w:t>, SAN LUIS POTOSÍ</w:t>
      </w:r>
      <w:r w:rsidRPr="00FD6433">
        <w:rPr>
          <w:rFonts w:ascii="Arial" w:hAnsi="Arial" w:cs="Arial"/>
          <w:color w:val="4472C4" w:themeColor="accent1"/>
          <w:sz w:val="24"/>
          <w:szCs w:val="24"/>
        </w:rPr>
        <w:t xml:space="preserve"> en lo sucesivo sujeto obligado. Se puso a disposición de las partes el expediente para que en un plazo máximo de 7 siete días manifestaran lo que a su derecho conviniera –ofrecer pruebas y alegar–. </w:t>
      </w:r>
      <w:r w:rsidRPr="00FD6433">
        <w:rPr>
          <w:rFonts w:ascii="Arial" w:hAnsi="Arial" w:cs="Arial"/>
          <w:color w:val="4472C4" w:themeColor="accent1"/>
          <w:sz w:val="24"/>
          <w:szCs w:val="24"/>
        </w:rPr>
        <w:tab/>
      </w:r>
    </w:p>
    <w:p w:rsidR="009D1131" w:rsidRPr="00FD6433" w:rsidRDefault="009D1131" w:rsidP="009D1131">
      <w:pPr>
        <w:autoSpaceDE w:val="0"/>
        <w:autoSpaceDN w:val="0"/>
        <w:adjustRightInd w:val="0"/>
        <w:spacing w:after="0" w:line="240" w:lineRule="auto"/>
        <w:jc w:val="both"/>
        <w:rPr>
          <w:rFonts w:ascii="Arial" w:hAnsi="Arial" w:cs="Arial"/>
          <w:color w:val="4472C4" w:themeColor="accent1"/>
          <w:sz w:val="24"/>
          <w:szCs w:val="24"/>
        </w:rPr>
      </w:pPr>
      <w:r w:rsidRPr="00FD6433">
        <w:rPr>
          <w:rFonts w:ascii="Arial" w:hAnsi="Arial" w:cs="Arial"/>
          <w:color w:val="4472C4" w:themeColor="accent1"/>
          <w:sz w:val="24"/>
          <w:szCs w:val="24"/>
        </w:rPr>
        <w:tab/>
      </w:r>
      <w:r w:rsidRPr="00FD6433">
        <w:rPr>
          <w:rFonts w:ascii="Arial" w:hAnsi="Arial" w:cs="Arial"/>
          <w:b/>
          <w:bCs/>
          <w:color w:val="4472C4" w:themeColor="accent1"/>
          <w:sz w:val="24"/>
          <w:szCs w:val="24"/>
        </w:rPr>
        <w:t>SÉPTIMO. Rendición del informe de los sujetos obligados</w:t>
      </w:r>
      <w:r w:rsidRPr="00FD6433">
        <w:rPr>
          <w:rFonts w:ascii="Arial" w:hAnsi="Arial" w:cs="Arial"/>
          <w:color w:val="4472C4" w:themeColor="accent1"/>
          <w:sz w:val="24"/>
          <w:szCs w:val="24"/>
        </w:rPr>
        <w:t xml:space="preserve">. El </w:t>
      </w:r>
      <w:r w:rsidR="005112DD">
        <w:rPr>
          <w:rFonts w:ascii="Arial" w:hAnsi="Arial" w:cs="Arial"/>
          <w:color w:val="4472C4" w:themeColor="accent1"/>
          <w:sz w:val="24"/>
          <w:szCs w:val="24"/>
        </w:rPr>
        <w:t xml:space="preserve">28 veintiocho </w:t>
      </w:r>
      <w:r w:rsidRPr="00FD6433">
        <w:rPr>
          <w:rFonts w:ascii="Arial" w:hAnsi="Arial" w:cs="Arial"/>
          <w:color w:val="4472C4" w:themeColor="accent1"/>
          <w:sz w:val="24"/>
          <w:szCs w:val="24"/>
        </w:rPr>
        <w:t xml:space="preserve">de abril de dos mil veintidós, esta Comisión tuvo por recibido oficio número </w:t>
      </w:r>
      <w:r w:rsidR="005112DD">
        <w:rPr>
          <w:rFonts w:ascii="Arial" w:hAnsi="Arial" w:cs="Arial"/>
          <w:color w:val="4472C4" w:themeColor="accent1"/>
          <w:sz w:val="24"/>
          <w:szCs w:val="24"/>
        </w:rPr>
        <w:t xml:space="preserve">SEDA-077/2022 signado por el Director de Vigilancia Análisis y Gestión Documental del Sistema Estatal de Documentación y Archivo CEGAIP, así como oficio UT-185/2022 </w:t>
      </w:r>
      <w:r w:rsidRPr="00FD6433">
        <w:rPr>
          <w:rFonts w:ascii="Arial" w:hAnsi="Arial" w:cs="Arial"/>
          <w:color w:val="4472C4" w:themeColor="accent1"/>
          <w:sz w:val="24"/>
          <w:szCs w:val="24"/>
        </w:rPr>
        <w:t>signado por el Titular de la Unidad de Transparencia del sujeto obligado, con diversos anexos, a través del cual realiza diversas manifestaciones respecto al agravio señalado por el hoy recurrente en su recurso de revisión, de la manera siguiente:</w:t>
      </w:r>
    </w:p>
    <w:p w:rsidR="0064314A" w:rsidRPr="00FD6433" w:rsidRDefault="0064314A" w:rsidP="0064314A">
      <w:pPr>
        <w:pStyle w:val="Prrafodelista"/>
        <w:autoSpaceDE w:val="0"/>
        <w:autoSpaceDN w:val="0"/>
        <w:adjustRightInd w:val="0"/>
        <w:spacing w:after="0" w:line="240" w:lineRule="auto"/>
        <w:jc w:val="both"/>
        <w:rPr>
          <w:rFonts w:ascii="Arial" w:hAnsi="Arial" w:cs="Arial"/>
          <w:i/>
          <w:iCs/>
          <w:color w:val="4472C4" w:themeColor="accent1"/>
          <w:sz w:val="24"/>
          <w:szCs w:val="24"/>
        </w:rPr>
      </w:pPr>
    </w:p>
    <w:p w:rsidR="009D1131" w:rsidRPr="00FD6433" w:rsidRDefault="009D1131" w:rsidP="009D1131">
      <w:pPr>
        <w:autoSpaceDE w:val="0"/>
        <w:autoSpaceDN w:val="0"/>
        <w:adjustRightInd w:val="0"/>
        <w:spacing w:after="0" w:line="240" w:lineRule="auto"/>
        <w:ind w:firstLine="708"/>
        <w:jc w:val="both"/>
        <w:rPr>
          <w:rFonts w:ascii="Arial" w:hAnsi="Arial" w:cs="Arial"/>
          <w:i/>
          <w:iCs/>
          <w:color w:val="4472C4" w:themeColor="accent1"/>
          <w:sz w:val="24"/>
          <w:szCs w:val="24"/>
        </w:rPr>
      </w:pPr>
    </w:p>
    <w:p w:rsidR="009D1131" w:rsidRDefault="0064314A" w:rsidP="0064314A">
      <w:pPr>
        <w:autoSpaceDE w:val="0"/>
        <w:autoSpaceDN w:val="0"/>
        <w:adjustRightInd w:val="0"/>
        <w:spacing w:after="0" w:line="240" w:lineRule="auto"/>
        <w:jc w:val="both"/>
        <w:rPr>
          <w:rFonts w:ascii="Arial" w:hAnsi="Arial" w:cs="Arial"/>
          <w:i/>
          <w:iCs/>
          <w:color w:val="4472C4" w:themeColor="accent1"/>
          <w:sz w:val="24"/>
          <w:szCs w:val="24"/>
        </w:rPr>
      </w:pPr>
      <w:r>
        <w:rPr>
          <w:rFonts w:ascii="Arial" w:hAnsi="Arial" w:cs="Arial"/>
          <w:b/>
          <w:bCs/>
          <w:color w:val="4472C4" w:themeColor="accent1"/>
          <w:sz w:val="24"/>
          <w:szCs w:val="24"/>
        </w:rPr>
        <w:tab/>
      </w:r>
      <w:r w:rsidR="00454A4A">
        <w:rPr>
          <w:rFonts w:ascii="Arial" w:hAnsi="Arial" w:cs="Arial"/>
          <w:b/>
          <w:bCs/>
          <w:color w:val="4472C4" w:themeColor="accent1"/>
          <w:sz w:val="24"/>
          <w:szCs w:val="24"/>
        </w:rPr>
        <w:t>El oficio</w:t>
      </w:r>
      <w:r w:rsidRPr="00FD6433">
        <w:rPr>
          <w:rFonts w:ascii="Arial" w:hAnsi="Arial" w:cs="Arial"/>
          <w:b/>
          <w:bCs/>
          <w:color w:val="4472C4" w:themeColor="accent1"/>
          <w:sz w:val="24"/>
          <w:szCs w:val="24"/>
        </w:rPr>
        <w:t xml:space="preserve"> número</w:t>
      </w:r>
      <w:r w:rsidR="00454A4A">
        <w:rPr>
          <w:rFonts w:ascii="Arial" w:hAnsi="Arial" w:cs="Arial"/>
          <w:b/>
          <w:bCs/>
          <w:color w:val="4472C4" w:themeColor="accent1"/>
          <w:sz w:val="24"/>
          <w:szCs w:val="24"/>
        </w:rPr>
        <w:t xml:space="preserve"> UT-185/2022</w:t>
      </w:r>
      <w:r w:rsidRPr="00FD6433">
        <w:rPr>
          <w:rFonts w:ascii="Arial" w:hAnsi="Arial" w:cs="Arial"/>
          <w:b/>
          <w:bCs/>
          <w:color w:val="4472C4" w:themeColor="accent1"/>
          <w:sz w:val="24"/>
          <w:szCs w:val="24"/>
        </w:rPr>
        <w:t xml:space="preserve"> de fecha </w:t>
      </w:r>
      <w:r w:rsidR="00454A4A">
        <w:rPr>
          <w:rFonts w:ascii="Arial" w:hAnsi="Arial" w:cs="Arial"/>
          <w:b/>
          <w:bCs/>
          <w:color w:val="4472C4" w:themeColor="accent1"/>
          <w:sz w:val="24"/>
          <w:szCs w:val="24"/>
        </w:rPr>
        <w:t>18 dieciocho de abril</w:t>
      </w:r>
      <w:r w:rsidRPr="00FD6433">
        <w:rPr>
          <w:rFonts w:ascii="Arial" w:hAnsi="Arial" w:cs="Arial"/>
          <w:b/>
          <w:bCs/>
          <w:color w:val="4472C4" w:themeColor="accent1"/>
          <w:sz w:val="24"/>
          <w:szCs w:val="24"/>
        </w:rPr>
        <w:t xml:space="preserve"> de 2022 dos mil veintidós; señala lo siguiente: </w:t>
      </w:r>
      <w:r w:rsidRPr="00FD6433">
        <w:rPr>
          <w:rFonts w:ascii="Arial" w:hAnsi="Arial" w:cs="Arial"/>
          <w:i/>
          <w:iCs/>
          <w:color w:val="4472C4" w:themeColor="accent1"/>
          <w:sz w:val="24"/>
          <w:szCs w:val="24"/>
        </w:rPr>
        <w:t>“(</w:t>
      </w:r>
      <w:r w:rsidR="00454A4A" w:rsidRPr="00FD6433">
        <w:rPr>
          <w:rFonts w:ascii="Arial" w:hAnsi="Arial" w:cs="Arial"/>
          <w:i/>
          <w:iCs/>
          <w:color w:val="4472C4" w:themeColor="accent1"/>
          <w:sz w:val="24"/>
          <w:szCs w:val="24"/>
        </w:rPr>
        <w:t>…)</w:t>
      </w:r>
      <w:r w:rsidR="00454A4A">
        <w:rPr>
          <w:rFonts w:ascii="Arial" w:hAnsi="Arial" w:cs="Arial"/>
          <w:i/>
          <w:iCs/>
          <w:color w:val="4472C4" w:themeColor="accent1"/>
          <w:sz w:val="24"/>
          <w:szCs w:val="24"/>
        </w:rPr>
        <w:t xml:space="preserve"> Una vez recepcionada la respuesta expedida por el departamento mencionado, se le da contestación al solicitante por vía PNT en fecha 23 de febrero de 2022, en donde se anexa un archivo en pdf</w:t>
      </w:r>
      <w:r w:rsidR="00BE1E0E">
        <w:rPr>
          <w:rFonts w:ascii="Arial" w:hAnsi="Arial" w:cs="Arial"/>
          <w:i/>
          <w:iCs/>
          <w:color w:val="4472C4" w:themeColor="accent1"/>
          <w:sz w:val="24"/>
          <w:szCs w:val="24"/>
        </w:rPr>
        <w:t xml:space="preserve"> denominado: contestación 240473522000008, el cual contiene la respuesta por parte de Tesorería Municipal </w:t>
      </w:r>
      <w:r>
        <w:rPr>
          <w:rFonts w:ascii="Arial" w:hAnsi="Arial" w:cs="Arial"/>
          <w:i/>
          <w:iCs/>
          <w:color w:val="4472C4" w:themeColor="accent1"/>
          <w:sz w:val="24"/>
          <w:szCs w:val="24"/>
        </w:rPr>
        <w:t>(…)” sic</w:t>
      </w:r>
    </w:p>
    <w:p w:rsidR="0064314A" w:rsidRDefault="0064314A" w:rsidP="0064314A">
      <w:pPr>
        <w:autoSpaceDE w:val="0"/>
        <w:autoSpaceDN w:val="0"/>
        <w:adjustRightInd w:val="0"/>
        <w:spacing w:after="0" w:line="240" w:lineRule="auto"/>
        <w:jc w:val="both"/>
        <w:rPr>
          <w:rFonts w:ascii="Arial" w:hAnsi="Arial" w:cs="Arial"/>
          <w:i/>
          <w:iCs/>
          <w:color w:val="4472C4" w:themeColor="accent1"/>
          <w:sz w:val="24"/>
          <w:szCs w:val="24"/>
        </w:rPr>
      </w:pPr>
    </w:p>
    <w:p w:rsidR="0064314A" w:rsidRPr="00FD6433" w:rsidRDefault="0064314A" w:rsidP="0064314A">
      <w:pPr>
        <w:autoSpaceDE w:val="0"/>
        <w:autoSpaceDN w:val="0"/>
        <w:adjustRightInd w:val="0"/>
        <w:spacing w:after="0" w:line="240" w:lineRule="auto"/>
        <w:jc w:val="both"/>
        <w:rPr>
          <w:rFonts w:ascii="Arial" w:hAnsi="Arial" w:cs="Arial"/>
          <w:color w:val="4472C4" w:themeColor="accent1"/>
          <w:sz w:val="24"/>
          <w:szCs w:val="24"/>
        </w:rPr>
      </w:pPr>
    </w:p>
    <w:p w:rsidR="009D1131" w:rsidRPr="00FD6433" w:rsidRDefault="009D1131" w:rsidP="009D1131">
      <w:pPr>
        <w:autoSpaceDE w:val="0"/>
        <w:autoSpaceDN w:val="0"/>
        <w:adjustRightInd w:val="0"/>
        <w:spacing w:after="0" w:line="240" w:lineRule="auto"/>
        <w:ind w:firstLine="708"/>
        <w:jc w:val="both"/>
        <w:rPr>
          <w:rFonts w:ascii="Arial" w:hAnsi="Arial" w:cs="Arial"/>
          <w:color w:val="4472C4" w:themeColor="accent1"/>
          <w:sz w:val="24"/>
          <w:szCs w:val="24"/>
        </w:rPr>
      </w:pPr>
      <w:r w:rsidRPr="00FD6433">
        <w:rPr>
          <w:rFonts w:ascii="Arial" w:hAnsi="Arial" w:cs="Arial"/>
          <w:color w:val="4472C4" w:themeColor="accent1"/>
          <w:sz w:val="24"/>
          <w:szCs w:val="24"/>
        </w:rPr>
        <w:t xml:space="preserve">En cuanto al recurrente, no compareció a realizar las manifestaciones que a su derecho considero convenientes. Asimismo, en el contexto del mismo proveído  se decretó la ampliación del plazo para resolver el presente recurso de revisión así como el cierre de instrucción y se ordenó se elaborara el proyecto de resolución correspondiente y,  </w:t>
      </w:r>
    </w:p>
    <w:p w:rsidR="009D1131" w:rsidRPr="00FD6433" w:rsidRDefault="009D1131" w:rsidP="009D1131">
      <w:pPr>
        <w:autoSpaceDE w:val="0"/>
        <w:autoSpaceDN w:val="0"/>
        <w:adjustRightInd w:val="0"/>
        <w:spacing w:after="0" w:line="240" w:lineRule="auto"/>
        <w:jc w:val="both"/>
        <w:rPr>
          <w:rFonts w:ascii="Arial" w:hAnsi="Arial" w:cs="Arial"/>
          <w:color w:val="4472C4" w:themeColor="accent1"/>
          <w:sz w:val="24"/>
          <w:szCs w:val="24"/>
        </w:rPr>
      </w:pPr>
    </w:p>
    <w:p w:rsidR="009D1131" w:rsidRPr="00FD6433" w:rsidRDefault="009D1131" w:rsidP="009D1131">
      <w:pPr>
        <w:pStyle w:val="corte4fondo"/>
        <w:spacing w:line="240" w:lineRule="auto"/>
        <w:jc w:val="center"/>
        <w:rPr>
          <w:rFonts w:cs="Arial"/>
          <w:b/>
          <w:color w:val="4472C4" w:themeColor="accent1"/>
          <w:sz w:val="24"/>
          <w:szCs w:val="24"/>
          <w:lang w:val="es-MX"/>
        </w:rPr>
      </w:pPr>
    </w:p>
    <w:p w:rsidR="009D1131" w:rsidRPr="00FD6433" w:rsidRDefault="009D1131" w:rsidP="009D1131">
      <w:pPr>
        <w:pStyle w:val="corte4fondo"/>
        <w:spacing w:line="240" w:lineRule="auto"/>
        <w:jc w:val="center"/>
        <w:rPr>
          <w:rFonts w:cs="Arial"/>
          <w:b/>
          <w:color w:val="4472C4" w:themeColor="accent1"/>
          <w:sz w:val="24"/>
          <w:szCs w:val="24"/>
          <w:lang w:val="es-MX"/>
        </w:rPr>
      </w:pPr>
      <w:r w:rsidRPr="00FD6433">
        <w:rPr>
          <w:rFonts w:cs="Arial"/>
          <w:b/>
          <w:color w:val="4472C4" w:themeColor="accent1"/>
          <w:sz w:val="24"/>
          <w:szCs w:val="24"/>
          <w:lang w:val="es-MX"/>
        </w:rPr>
        <w:t>C O N S I D E R A N D O</w:t>
      </w:r>
    </w:p>
    <w:p w:rsidR="009D1131" w:rsidRPr="00FD6433" w:rsidRDefault="009D1131" w:rsidP="009D1131">
      <w:pPr>
        <w:pStyle w:val="corte4fondo"/>
        <w:spacing w:line="240" w:lineRule="auto"/>
        <w:rPr>
          <w:rFonts w:cs="Arial"/>
          <w:b/>
          <w:color w:val="4472C4" w:themeColor="accent1"/>
          <w:sz w:val="24"/>
          <w:szCs w:val="24"/>
          <w:lang w:val="es-MX"/>
        </w:rPr>
      </w:pPr>
    </w:p>
    <w:p w:rsidR="009D1131" w:rsidRPr="00FD6433" w:rsidRDefault="009D1131" w:rsidP="009D1131">
      <w:pPr>
        <w:pStyle w:val="corte4fondo"/>
        <w:spacing w:line="240" w:lineRule="auto"/>
        <w:rPr>
          <w:rFonts w:cs="Arial"/>
          <w:color w:val="4472C4" w:themeColor="accent1"/>
          <w:sz w:val="24"/>
          <w:szCs w:val="24"/>
          <w:lang w:val="es-MX"/>
        </w:rPr>
      </w:pPr>
      <w:r w:rsidRPr="00FD6433">
        <w:rPr>
          <w:rFonts w:cs="Arial"/>
          <w:b/>
          <w:color w:val="4472C4" w:themeColor="accent1"/>
          <w:sz w:val="24"/>
          <w:szCs w:val="24"/>
          <w:lang w:val="es-MX"/>
        </w:rPr>
        <w:t xml:space="preserve">PRIMERO. Competencia. </w:t>
      </w:r>
      <w:r w:rsidRPr="00FD6433">
        <w:rPr>
          <w:rFonts w:cs="Arial"/>
          <w:color w:val="4472C4" w:themeColor="accent1"/>
          <w:sz w:val="24"/>
          <w:szCs w:val="24"/>
          <w:lang w:val="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9D1131" w:rsidRPr="00FD6433" w:rsidRDefault="009D1131" w:rsidP="009D1131">
      <w:pPr>
        <w:pStyle w:val="corte4fondo"/>
        <w:spacing w:line="240" w:lineRule="auto"/>
        <w:rPr>
          <w:rFonts w:cs="Arial"/>
          <w:color w:val="4472C4" w:themeColor="accent1"/>
          <w:sz w:val="24"/>
          <w:szCs w:val="24"/>
          <w:lang w:val="es-MX"/>
        </w:rPr>
      </w:pPr>
    </w:p>
    <w:p w:rsidR="009D1131" w:rsidRPr="00FD6433" w:rsidRDefault="009D1131" w:rsidP="009D1131">
      <w:pPr>
        <w:pStyle w:val="corte4fondo"/>
        <w:spacing w:line="240" w:lineRule="auto"/>
        <w:rPr>
          <w:rFonts w:cs="Arial"/>
          <w:color w:val="4472C4" w:themeColor="accent1"/>
          <w:sz w:val="24"/>
          <w:szCs w:val="24"/>
          <w:lang w:val="es-MX"/>
        </w:rPr>
      </w:pPr>
      <w:r w:rsidRPr="00FD6433">
        <w:rPr>
          <w:rFonts w:cs="Arial"/>
          <w:color w:val="4472C4" w:themeColor="accent1"/>
          <w:sz w:val="24"/>
          <w:szCs w:val="24"/>
          <w:lang w:val="es-MX"/>
        </w:rPr>
        <w:t xml:space="preserve">      </w:t>
      </w:r>
    </w:p>
    <w:p w:rsidR="009D1131" w:rsidRPr="00FD6433" w:rsidRDefault="009D1131" w:rsidP="009D1131">
      <w:pPr>
        <w:pStyle w:val="corte4fondo"/>
        <w:spacing w:line="240" w:lineRule="auto"/>
        <w:rPr>
          <w:rFonts w:cs="Arial"/>
          <w:color w:val="4472C4" w:themeColor="accent1"/>
          <w:sz w:val="24"/>
          <w:szCs w:val="24"/>
          <w:lang w:val="es-MX"/>
        </w:rPr>
      </w:pPr>
      <w:r w:rsidRPr="00FD6433">
        <w:rPr>
          <w:rFonts w:cs="Arial"/>
          <w:b/>
          <w:color w:val="4472C4" w:themeColor="accent1"/>
          <w:sz w:val="24"/>
          <w:szCs w:val="24"/>
        </w:rPr>
        <w:t xml:space="preserve">SEGUNDO. Procedencia. </w:t>
      </w:r>
      <w:r w:rsidRPr="00FD6433">
        <w:rPr>
          <w:rFonts w:cs="Arial"/>
          <w:color w:val="4472C4" w:themeColor="accent1"/>
          <w:sz w:val="24"/>
          <w:szCs w:val="24"/>
          <w:lang w:val="es-MX"/>
        </w:rPr>
        <w:t>El recurso de revisión es procedente en términos del artículo 166 de la Ley de Transparencia y Acceso a la Información Pública, en virtud de que fue interpuesto en tiempo y se encuentran satisfechos los requisitos que establece la misma; asimismo el recurrente se inconformó en contra de la respuesta a su solicitud de información por parte del sujeto obligado.</w:t>
      </w:r>
    </w:p>
    <w:p w:rsidR="009D1131" w:rsidRPr="00FD6433" w:rsidRDefault="009D1131" w:rsidP="009D1131">
      <w:pPr>
        <w:pStyle w:val="corte4fondo"/>
        <w:spacing w:line="240" w:lineRule="auto"/>
        <w:rPr>
          <w:rFonts w:cs="Arial"/>
          <w:color w:val="4472C4" w:themeColor="accent1"/>
          <w:sz w:val="24"/>
          <w:szCs w:val="24"/>
          <w:lang w:val="es-MX"/>
        </w:rPr>
      </w:pPr>
    </w:p>
    <w:p w:rsidR="009D1131" w:rsidRPr="00FD6433" w:rsidRDefault="009D1131" w:rsidP="009D1131">
      <w:pPr>
        <w:pStyle w:val="corte4fondo"/>
        <w:spacing w:line="240" w:lineRule="auto"/>
        <w:rPr>
          <w:rFonts w:cs="Arial"/>
          <w:bCs/>
          <w:color w:val="4472C4" w:themeColor="accent1"/>
          <w:sz w:val="24"/>
          <w:szCs w:val="24"/>
        </w:rPr>
      </w:pPr>
      <w:r w:rsidRPr="00FD6433">
        <w:rPr>
          <w:rFonts w:cs="Arial"/>
          <w:b/>
          <w:color w:val="4472C4" w:themeColor="accent1"/>
          <w:sz w:val="24"/>
          <w:szCs w:val="24"/>
        </w:rPr>
        <w:t>TECERO. Oportunidad del recurso</w:t>
      </w:r>
      <w:r w:rsidRPr="00FD6433">
        <w:rPr>
          <w:rFonts w:cs="Arial"/>
          <w:color w:val="4472C4" w:themeColor="accent1"/>
          <w:sz w:val="24"/>
          <w:szCs w:val="24"/>
        </w:rPr>
        <w:t>. La interposición del escrito inicial del recurso de revisión fue oportuna al presentarse en</w:t>
      </w:r>
      <w:r w:rsidRPr="00FD6433">
        <w:rPr>
          <w:rFonts w:cs="Arial"/>
          <w:b/>
          <w:color w:val="4472C4" w:themeColor="accent1"/>
          <w:sz w:val="24"/>
          <w:szCs w:val="24"/>
        </w:rPr>
        <w:t xml:space="preserve"> fecha </w:t>
      </w:r>
      <w:r w:rsidR="00BE1E0E">
        <w:rPr>
          <w:rFonts w:cs="Arial"/>
          <w:b/>
          <w:color w:val="4472C4" w:themeColor="accent1"/>
          <w:sz w:val="24"/>
          <w:szCs w:val="24"/>
          <w:lang w:val="es-ES"/>
        </w:rPr>
        <w:t>25 veinticinco</w:t>
      </w:r>
      <w:r w:rsidRPr="00FD6433">
        <w:rPr>
          <w:rFonts w:cs="Arial"/>
          <w:b/>
          <w:color w:val="4472C4" w:themeColor="accent1"/>
          <w:sz w:val="24"/>
          <w:szCs w:val="24"/>
          <w:lang w:val="es-ES"/>
        </w:rPr>
        <w:t xml:space="preserve"> de febrero</w:t>
      </w:r>
      <w:r w:rsidRPr="00FD6433">
        <w:rPr>
          <w:rFonts w:cs="Arial"/>
          <w:b/>
          <w:color w:val="4472C4" w:themeColor="accent1"/>
          <w:sz w:val="24"/>
          <w:szCs w:val="24"/>
        </w:rPr>
        <w:t xml:space="preserve"> de la presente anualidad</w:t>
      </w:r>
      <w:r w:rsidRPr="00FD6433">
        <w:rPr>
          <w:rFonts w:cs="Arial"/>
          <w:color w:val="4472C4" w:themeColor="accent1"/>
          <w:sz w:val="24"/>
          <w:szCs w:val="24"/>
        </w:rPr>
        <w:t xml:space="preserve">, es notoria que se realizó dentro del plazo de quince días a que se refiere el artículo 166 de la Ley de Transparencia y Acceso a la Información Pública del </w:t>
      </w:r>
      <w:r w:rsidRPr="00FD6433">
        <w:rPr>
          <w:rFonts w:cs="Arial"/>
          <w:color w:val="4472C4" w:themeColor="accent1"/>
          <w:sz w:val="24"/>
          <w:szCs w:val="24"/>
        </w:rPr>
        <w:lastRenderedPageBreak/>
        <w:t>Estado</w:t>
      </w:r>
      <w:r w:rsidR="0080783D">
        <w:rPr>
          <w:rFonts w:cs="Arial"/>
          <w:color w:val="4472C4" w:themeColor="accent1"/>
          <w:sz w:val="24"/>
          <w:szCs w:val="24"/>
          <w:lang w:val="es-ES"/>
        </w:rPr>
        <w:t xml:space="preserve"> en razón de que se presentó el día que se dio respuesta, por lo cual </w:t>
      </w:r>
      <w:r w:rsidRPr="00FD6433">
        <w:rPr>
          <w:rFonts w:cs="Arial"/>
          <w:color w:val="4472C4" w:themeColor="accent1"/>
          <w:sz w:val="24"/>
          <w:szCs w:val="24"/>
        </w:rPr>
        <w:t xml:space="preserve"> </w:t>
      </w:r>
      <w:r w:rsidR="0080783D">
        <w:rPr>
          <w:rFonts w:cs="Arial"/>
          <w:color w:val="4472C4" w:themeColor="accent1"/>
          <w:sz w:val="24"/>
          <w:szCs w:val="24"/>
          <w:lang w:val="es-ES"/>
        </w:rPr>
        <w:t>dicho t</w:t>
      </w:r>
      <w:r w:rsidR="0080783D" w:rsidRPr="00FD6433">
        <w:rPr>
          <w:rFonts w:cs="Arial"/>
          <w:color w:val="4472C4" w:themeColor="accent1"/>
          <w:sz w:val="24"/>
          <w:szCs w:val="24"/>
        </w:rPr>
        <w:t>termino</w:t>
      </w:r>
      <w:r w:rsidRPr="00FD6433">
        <w:rPr>
          <w:rFonts w:cs="Arial"/>
          <w:color w:val="4472C4" w:themeColor="accent1"/>
          <w:sz w:val="24"/>
          <w:szCs w:val="24"/>
        </w:rPr>
        <w:t xml:space="preserve"> que </w:t>
      </w:r>
      <w:r w:rsidRPr="00FD6433">
        <w:rPr>
          <w:rFonts w:cs="Arial"/>
          <w:b/>
          <w:bCs/>
          <w:color w:val="4472C4" w:themeColor="accent1"/>
          <w:sz w:val="24"/>
          <w:szCs w:val="24"/>
        </w:rPr>
        <w:t xml:space="preserve">empezó a contar el plazo el </w:t>
      </w:r>
      <w:r w:rsidR="00A40983">
        <w:rPr>
          <w:rFonts w:cs="Arial"/>
          <w:b/>
          <w:bCs/>
          <w:color w:val="4472C4" w:themeColor="accent1"/>
          <w:sz w:val="24"/>
          <w:szCs w:val="24"/>
          <w:lang w:val="es-ES"/>
        </w:rPr>
        <w:t>28 veintiocho</w:t>
      </w:r>
      <w:r w:rsidRPr="00FD6433">
        <w:rPr>
          <w:rFonts w:cs="Arial"/>
          <w:b/>
          <w:bCs/>
          <w:color w:val="4472C4" w:themeColor="accent1"/>
          <w:sz w:val="24"/>
          <w:szCs w:val="24"/>
          <w:lang w:val="es-ES"/>
        </w:rPr>
        <w:t xml:space="preserve"> de febrero del mismo año</w:t>
      </w:r>
      <w:r w:rsidRPr="00FD6433">
        <w:rPr>
          <w:rFonts w:cs="Arial"/>
          <w:b/>
          <w:bCs/>
          <w:color w:val="4472C4" w:themeColor="accent1"/>
          <w:sz w:val="24"/>
          <w:szCs w:val="24"/>
        </w:rPr>
        <w:t xml:space="preserve"> y venció el </w:t>
      </w:r>
      <w:r w:rsidR="00A40983">
        <w:rPr>
          <w:rFonts w:cs="Arial"/>
          <w:b/>
          <w:bCs/>
          <w:color w:val="4472C4" w:themeColor="accent1"/>
          <w:sz w:val="24"/>
          <w:szCs w:val="24"/>
          <w:lang w:val="es-ES"/>
        </w:rPr>
        <w:t>18 dieciocho</w:t>
      </w:r>
      <w:r w:rsidRPr="00FD6433">
        <w:rPr>
          <w:rFonts w:cs="Arial"/>
          <w:b/>
          <w:bCs/>
          <w:color w:val="4472C4" w:themeColor="accent1"/>
          <w:sz w:val="24"/>
          <w:szCs w:val="24"/>
          <w:lang w:val="es-ES"/>
        </w:rPr>
        <w:t xml:space="preserve"> de febrero de 2022 dos mil veintidós</w:t>
      </w:r>
      <w:r w:rsidRPr="00FD6433">
        <w:rPr>
          <w:rFonts w:cs="Arial"/>
          <w:b/>
          <w:bCs/>
          <w:color w:val="4472C4" w:themeColor="accent1"/>
          <w:sz w:val="24"/>
          <w:szCs w:val="24"/>
        </w:rPr>
        <w:t>;</w:t>
      </w:r>
      <w:r w:rsidRPr="00FD6433">
        <w:rPr>
          <w:rFonts w:cs="Arial"/>
          <w:color w:val="4472C4" w:themeColor="accent1"/>
          <w:sz w:val="24"/>
          <w:szCs w:val="24"/>
        </w:rPr>
        <w:t xml:space="preserve"> descontando los días inhábiles de conformidad con el artículo 15 del Código Procesal Administrativo del Estado aplicado de manera supletoria a la Ley de Transparencia y Acceso a la Información Pública del Estado de conformidad al numeral 1°. </w:t>
      </w:r>
    </w:p>
    <w:p w:rsidR="009D1131" w:rsidRPr="00FD6433" w:rsidRDefault="009D1131" w:rsidP="009D1131">
      <w:pPr>
        <w:rPr>
          <w:rFonts w:ascii="Arial" w:hAnsi="Arial" w:cs="Arial"/>
          <w:color w:val="4472C4" w:themeColor="accent1"/>
          <w:sz w:val="24"/>
          <w:szCs w:val="24"/>
        </w:rPr>
      </w:pPr>
    </w:p>
    <w:p w:rsidR="009D1131" w:rsidRPr="00FD6433" w:rsidRDefault="009D1131" w:rsidP="009D1131">
      <w:pPr>
        <w:pStyle w:val="corte4fondo"/>
        <w:spacing w:line="240" w:lineRule="auto"/>
        <w:rPr>
          <w:rFonts w:eastAsia="Arial" w:cs="Arial"/>
          <w:color w:val="4472C4" w:themeColor="accent1"/>
          <w:sz w:val="24"/>
          <w:szCs w:val="24"/>
        </w:rPr>
      </w:pPr>
      <w:r w:rsidRPr="00FD6433">
        <w:rPr>
          <w:rFonts w:eastAsia="Arial" w:cs="Arial"/>
          <w:b/>
          <w:bCs/>
          <w:color w:val="4472C4" w:themeColor="accent1"/>
          <w:sz w:val="24"/>
          <w:szCs w:val="24"/>
        </w:rPr>
        <w:t>CUARTO</w:t>
      </w:r>
      <w:r w:rsidRPr="00FD6433">
        <w:rPr>
          <w:rFonts w:eastAsia="Arial" w:cs="Arial"/>
          <w:color w:val="4472C4" w:themeColor="accent1"/>
          <w:sz w:val="24"/>
          <w:szCs w:val="24"/>
        </w:rPr>
        <w:t xml:space="preserve">. </w:t>
      </w:r>
      <w:r w:rsidRPr="00FD6433">
        <w:rPr>
          <w:rFonts w:eastAsia="Arial" w:cs="Arial"/>
          <w:b/>
          <w:bCs/>
          <w:color w:val="4472C4" w:themeColor="accent1"/>
          <w:sz w:val="24"/>
          <w:szCs w:val="24"/>
        </w:rPr>
        <w:t xml:space="preserve">Caso Concreto. </w:t>
      </w:r>
      <w:r w:rsidRPr="00FD6433">
        <w:rPr>
          <w:rFonts w:eastAsia="Arial" w:cs="Arial"/>
          <w:color w:val="4472C4" w:themeColor="accent1"/>
          <w:sz w:val="24"/>
          <w:szCs w:val="24"/>
        </w:rPr>
        <w:t>En la solicitud de acceso a la información, el hoy recurrente solicitó a</w:t>
      </w:r>
      <w:r w:rsidRPr="00FD6433">
        <w:rPr>
          <w:rFonts w:eastAsia="Arial" w:cs="Arial"/>
          <w:color w:val="4472C4" w:themeColor="accent1"/>
          <w:sz w:val="24"/>
          <w:szCs w:val="24"/>
          <w:lang w:val="es-MX"/>
        </w:rPr>
        <w:t>l</w:t>
      </w:r>
      <w:r w:rsidRPr="00FD6433">
        <w:rPr>
          <w:rFonts w:eastAsia="Arial" w:cs="Arial"/>
          <w:color w:val="4472C4" w:themeColor="accent1"/>
          <w:sz w:val="24"/>
          <w:szCs w:val="24"/>
        </w:rPr>
        <w:t xml:space="preserve"> </w:t>
      </w:r>
      <w:r w:rsidRPr="00FD6433">
        <w:rPr>
          <w:rFonts w:eastAsia="Arial" w:cs="Arial"/>
          <w:color w:val="4472C4" w:themeColor="accent1"/>
          <w:sz w:val="24"/>
          <w:szCs w:val="24"/>
          <w:lang w:val="es-MX"/>
        </w:rPr>
        <w:t>Municipio de Ciudad Valle</w:t>
      </w:r>
      <w:r w:rsidRPr="00FD6433">
        <w:rPr>
          <w:rFonts w:eastAsia="Arial" w:cs="Arial"/>
          <w:color w:val="4472C4" w:themeColor="accent1"/>
          <w:sz w:val="24"/>
          <w:szCs w:val="24"/>
        </w:rPr>
        <w:t xml:space="preserve"> ,a saber: </w:t>
      </w:r>
    </w:p>
    <w:p w:rsidR="009D1131" w:rsidRPr="00FD6433" w:rsidRDefault="009D1131" w:rsidP="009D1131">
      <w:pPr>
        <w:spacing w:after="0" w:line="240" w:lineRule="auto"/>
        <w:ind w:firstLine="709"/>
        <w:jc w:val="both"/>
        <w:rPr>
          <w:rFonts w:ascii="Arial" w:eastAsia="Arial" w:hAnsi="Arial" w:cs="Arial"/>
          <w:color w:val="4472C4" w:themeColor="accent1"/>
          <w:sz w:val="24"/>
          <w:szCs w:val="24"/>
        </w:rPr>
      </w:pPr>
    </w:p>
    <w:p w:rsidR="00A40983" w:rsidRPr="00FD6433" w:rsidRDefault="00A40983" w:rsidP="00A40983">
      <w:pPr>
        <w:pStyle w:val="corte4fondo"/>
        <w:spacing w:line="240" w:lineRule="auto"/>
        <w:rPr>
          <w:rFonts w:cs="Arial"/>
          <w:i/>
          <w:color w:val="4472C4" w:themeColor="accent1"/>
          <w:sz w:val="24"/>
          <w:szCs w:val="24"/>
          <w:lang w:val="es-MX"/>
        </w:rPr>
      </w:pPr>
      <w:r w:rsidRPr="00FD6433">
        <w:rPr>
          <w:rFonts w:cs="Arial"/>
          <w:i/>
          <w:color w:val="4472C4" w:themeColor="accent1"/>
          <w:sz w:val="24"/>
          <w:szCs w:val="24"/>
          <w:lang w:val="es-MX"/>
        </w:rPr>
        <w:t>“</w:t>
      </w:r>
      <w:r w:rsidRPr="006B1DFF">
        <w:rPr>
          <w:rFonts w:cs="Arial"/>
          <w:i/>
          <w:color w:val="4472C4" w:themeColor="accent1"/>
          <w:sz w:val="24"/>
          <w:szCs w:val="24"/>
          <w:lang w:val="es-MX"/>
        </w:rPr>
        <w:t>1) Ingresos recibidos por cualquier concepto por el sujeto obligado mes de Noviembre 2021 Formato (LTAIPSLP84IVA). 2) Ingresos recibidos por cualquier concepto por el sujeto obligado mes de Diciembre 2021 (LTAIPSLP84IVA). 3) Ingresos recibidos por cualquier concepto por el sujeto obligado mes de Enero 2022 Formato (LTAIPSLP84IVA). 4) Egresos Noviembre 2021Formato (LTAIPSLP84IVB). 5) Egresos Diciembre 2021(LTAIPSLP84IVB). 4) Egresos Enero 2022 (LTAIPSLP84IVB).</w:t>
      </w:r>
      <w:r w:rsidRPr="00FD6433">
        <w:rPr>
          <w:rFonts w:cs="Arial"/>
          <w:i/>
          <w:color w:val="4472C4" w:themeColor="accent1"/>
          <w:sz w:val="24"/>
          <w:szCs w:val="24"/>
          <w:lang w:val="es-MX"/>
        </w:rPr>
        <w:t>” sic</w:t>
      </w:r>
    </w:p>
    <w:p w:rsidR="009D1131" w:rsidRPr="00FD6433" w:rsidRDefault="009D1131" w:rsidP="009D1131">
      <w:pPr>
        <w:spacing w:after="0" w:line="240" w:lineRule="auto"/>
        <w:ind w:firstLine="709"/>
        <w:jc w:val="both"/>
        <w:rPr>
          <w:rFonts w:ascii="Arial" w:eastAsia="Arial" w:hAnsi="Arial" w:cs="Arial"/>
          <w:color w:val="4472C4" w:themeColor="accent1"/>
          <w:sz w:val="24"/>
          <w:szCs w:val="24"/>
        </w:rPr>
      </w:pPr>
    </w:p>
    <w:p w:rsidR="009D1131" w:rsidRPr="00FD6433" w:rsidRDefault="009D1131" w:rsidP="009D1131">
      <w:pPr>
        <w:pStyle w:val="corte4fondo"/>
        <w:tabs>
          <w:tab w:val="left" w:pos="5825"/>
        </w:tabs>
        <w:spacing w:line="240" w:lineRule="auto"/>
        <w:rPr>
          <w:rFonts w:eastAsia="Arial" w:cs="Arial"/>
          <w:color w:val="4472C4" w:themeColor="accent1"/>
          <w:sz w:val="24"/>
          <w:szCs w:val="24"/>
          <w:lang w:val="es-ES"/>
        </w:rPr>
      </w:pPr>
      <w:r w:rsidRPr="00FD6433">
        <w:rPr>
          <w:rFonts w:eastAsia="Arial" w:cs="Arial"/>
          <w:color w:val="4472C4" w:themeColor="accent1"/>
          <w:sz w:val="24"/>
          <w:szCs w:val="24"/>
          <w:lang w:val="es-ES"/>
        </w:rPr>
        <w:t>En respuesta la Titular de la Unidad de Transparencia del sujet</w:t>
      </w:r>
      <w:r w:rsidR="00A40983">
        <w:rPr>
          <w:rFonts w:eastAsia="Arial" w:cs="Arial"/>
          <w:color w:val="4472C4" w:themeColor="accent1"/>
          <w:sz w:val="24"/>
          <w:szCs w:val="24"/>
          <w:lang w:val="es-ES"/>
        </w:rPr>
        <w:t xml:space="preserve">o obligado, informo a través del oficio número TM-043/2022, </w:t>
      </w:r>
      <w:r w:rsidRPr="00FD6433">
        <w:rPr>
          <w:rFonts w:eastAsia="Arial" w:cs="Arial"/>
          <w:color w:val="4472C4" w:themeColor="accent1"/>
          <w:sz w:val="24"/>
          <w:szCs w:val="24"/>
          <w:lang w:val="es-ES"/>
        </w:rPr>
        <w:t>lo respectivo a los puntos solicitados</w:t>
      </w:r>
      <w:r w:rsidR="00A40983">
        <w:rPr>
          <w:rFonts w:eastAsia="Arial" w:cs="Arial"/>
          <w:color w:val="4472C4" w:themeColor="accent1"/>
          <w:sz w:val="24"/>
          <w:szCs w:val="24"/>
          <w:lang w:val="es-ES"/>
        </w:rPr>
        <w:t>.</w:t>
      </w:r>
    </w:p>
    <w:p w:rsidR="009D1131" w:rsidRPr="00FD6433" w:rsidRDefault="009D1131" w:rsidP="009D1131">
      <w:pPr>
        <w:pStyle w:val="corte4fondo"/>
        <w:tabs>
          <w:tab w:val="left" w:pos="5825"/>
        </w:tabs>
        <w:spacing w:line="240" w:lineRule="auto"/>
        <w:rPr>
          <w:rFonts w:eastAsia="Arial" w:cs="Arial"/>
          <w:color w:val="4472C4" w:themeColor="accent1"/>
          <w:sz w:val="24"/>
          <w:szCs w:val="24"/>
          <w:lang w:val="es-ES"/>
        </w:rPr>
      </w:pPr>
    </w:p>
    <w:p w:rsidR="009D1131" w:rsidRPr="00FD6433" w:rsidRDefault="009D1131" w:rsidP="009D1131">
      <w:pPr>
        <w:pStyle w:val="corte4fondo"/>
        <w:tabs>
          <w:tab w:val="left" w:pos="5825"/>
        </w:tabs>
        <w:spacing w:line="240" w:lineRule="auto"/>
        <w:rPr>
          <w:rFonts w:eastAsia="Arial" w:cs="Arial"/>
          <w:color w:val="4472C4" w:themeColor="accent1"/>
          <w:sz w:val="24"/>
          <w:szCs w:val="24"/>
        </w:rPr>
      </w:pPr>
      <w:r w:rsidRPr="00FD6433">
        <w:rPr>
          <w:rFonts w:eastAsia="Arial" w:cs="Arial"/>
          <w:color w:val="4472C4" w:themeColor="accent1"/>
          <w:sz w:val="24"/>
          <w:szCs w:val="24"/>
        </w:rPr>
        <w:t>Inconforme con lo anterior, el hoy recurrente señaló:</w:t>
      </w:r>
    </w:p>
    <w:p w:rsidR="009D1131" w:rsidRPr="00FD6433" w:rsidRDefault="009D1131" w:rsidP="009D1131">
      <w:pPr>
        <w:pStyle w:val="corte4fondo"/>
        <w:tabs>
          <w:tab w:val="left" w:pos="5825"/>
        </w:tabs>
        <w:spacing w:line="240" w:lineRule="auto"/>
        <w:rPr>
          <w:rFonts w:eastAsia="Arial" w:cs="Arial"/>
          <w:color w:val="4472C4" w:themeColor="accent1"/>
          <w:sz w:val="24"/>
          <w:szCs w:val="24"/>
        </w:rPr>
      </w:pPr>
    </w:p>
    <w:p w:rsidR="00A40983" w:rsidRPr="00FD6433" w:rsidRDefault="00A40983" w:rsidP="00A40983">
      <w:pPr>
        <w:pStyle w:val="corte4fondo"/>
        <w:spacing w:line="240" w:lineRule="auto"/>
        <w:rPr>
          <w:rFonts w:cs="Arial"/>
          <w:i/>
          <w:color w:val="4472C4" w:themeColor="accent1"/>
          <w:sz w:val="24"/>
          <w:szCs w:val="24"/>
          <w:lang w:val="es-MX"/>
        </w:rPr>
      </w:pPr>
      <w:r w:rsidRPr="00FD6433">
        <w:rPr>
          <w:rFonts w:cs="Arial"/>
          <w:i/>
          <w:color w:val="4472C4" w:themeColor="accent1"/>
          <w:sz w:val="24"/>
          <w:szCs w:val="24"/>
          <w:lang w:val="es-MX"/>
        </w:rPr>
        <w:t>“</w:t>
      </w:r>
      <w:r>
        <w:rPr>
          <w:rFonts w:cs="Arial"/>
          <w:i/>
          <w:color w:val="4472C4" w:themeColor="accent1"/>
          <w:sz w:val="24"/>
          <w:szCs w:val="24"/>
          <w:lang w:val="es-MX"/>
        </w:rPr>
        <w:t xml:space="preserve">Información recibida incompleta, faltan los conceptos relacionados al mes de Enero 2022, ver enseguida: 3) Ingresos recibidos por cualquier concepto por el  sujeto obligado mes de Enero 2022 Formato (LTAIPSLP84IVA) Egresos Enero 2022 (LTAIPSLP84IVB). </w:t>
      </w:r>
      <w:r w:rsidRPr="00FD6433">
        <w:rPr>
          <w:rFonts w:cs="Arial"/>
          <w:i/>
          <w:color w:val="4472C4" w:themeColor="accent1"/>
          <w:sz w:val="24"/>
          <w:szCs w:val="24"/>
          <w:lang w:val="es-MX"/>
        </w:rPr>
        <w:t xml:space="preserve">” sic </w:t>
      </w:r>
    </w:p>
    <w:p w:rsidR="009D1131" w:rsidRPr="00FD6433" w:rsidRDefault="009D1131" w:rsidP="009D1131">
      <w:pPr>
        <w:tabs>
          <w:tab w:val="left" w:pos="5825"/>
        </w:tabs>
        <w:spacing w:after="0" w:line="240" w:lineRule="auto"/>
        <w:ind w:firstLine="709"/>
        <w:jc w:val="both"/>
        <w:rPr>
          <w:rFonts w:ascii="Arial" w:eastAsia="Arial" w:hAnsi="Arial" w:cs="Arial"/>
          <w:color w:val="4472C4" w:themeColor="accent1"/>
          <w:sz w:val="24"/>
          <w:szCs w:val="24"/>
        </w:rPr>
      </w:pPr>
    </w:p>
    <w:p w:rsidR="009D1131" w:rsidRPr="00FD6433" w:rsidRDefault="009D1131" w:rsidP="009D1131">
      <w:pPr>
        <w:pStyle w:val="corte4fondo"/>
        <w:spacing w:line="240" w:lineRule="auto"/>
        <w:rPr>
          <w:rFonts w:eastAsia="Arial" w:cs="Arial"/>
          <w:color w:val="4472C4" w:themeColor="accent1"/>
          <w:sz w:val="24"/>
          <w:szCs w:val="24"/>
          <w:lang w:val="es-ES"/>
        </w:rPr>
      </w:pPr>
      <w:r w:rsidRPr="00FD6433">
        <w:rPr>
          <w:rFonts w:eastAsia="Arial" w:cs="Arial"/>
          <w:color w:val="4472C4" w:themeColor="accent1"/>
          <w:sz w:val="24"/>
          <w:szCs w:val="24"/>
        </w:rPr>
        <w:t xml:space="preserve">Por su parte, a través de su escrito de informe, el sujeto obligado </w:t>
      </w:r>
      <w:r w:rsidRPr="00FD6433">
        <w:rPr>
          <w:rFonts w:eastAsia="Arial" w:cs="Arial"/>
          <w:color w:val="4472C4" w:themeColor="accent1"/>
          <w:sz w:val="24"/>
          <w:szCs w:val="24"/>
          <w:lang w:val="es-ES"/>
        </w:rPr>
        <w:t>reitero su respuesta primigenia.</w:t>
      </w:r>
    </w:p>
    <w:p w:rsidR="009D1131" w:rsidRPr="00FD6433" w:rsidRDefault="009D1131" w:rsidP="009D1131">
      <w:pPr>
        <w:spacing w:after="0" w:line="240" w:lineRule="auto"/>
        <w:ind w:firstLine="709"/>
        <w:jc w:val="both"/>
        <w:rPr>
          <w:rFonts w:ascii="Arial" w:eastAsia="Arial" w:hAnsi="Arial" w:cs="Arial"/>
          <w:color w:val="4472C4" w:themeColor="accent1"/>
          <w:sz w:val="24"/>
          <w:szCs w:val="24"/>
        </w:rPr>
      </w:pPr>
    </w:p>
    <w:p w:rsidR="009D1131" w:rsidRPr="00FD6433" w:rsidRDefault="009D1131" w:rsidP="009D1131">
      <w:pPr>
        <w:pStyle w:val="corte4fondo"/>
        <w:spacing w:line="240" w:lineRule="auto"/>
        <w:rPr>
          <w:rFonts w:cs="Arial"/>
          <w:color w:val="4472C4" w:themeColor="accent1"/>
          <w:sz w:val="24"/>
          <w:szCs w:val="24"/>
        </w:rPr>
      </w:pPr>
      <w:r w:rsidRPr="00FD6433">
        <w:rPr>
          <w:rFonts w:cs="Arial"/>
          <w:b/>
          <w:bCs/>
          <w:color w:val="4472C4" w:themeColor="accent1"/>
          <w:sz w:val="24"/>
          <w:szCs w:val="24"/>
        </w:rPr>
        <w:t xml:space="preserve">QUINTO. </w:t>
      </w:r>
      <w:r w:rsidRPr="00FD6433">
        <w:rPr>
          <w:rFonts w:cs="Arial"/>
          <w:color w:val="4472C4" w:themeColor="accent1"/>
          <w:sz w:val="24"/>
          <w:szCs w:val="24"/>
        </w:rPr>
        <w:t>Expuesto lo anterior, esta Comisión procede a analizar la legalidad de la respuesta emitida por el sujeto obligado a la solicitud de información motivo del presente recurso de revisión, a fin de determinar si el ente recurrido garantizó el derecho de acceso a la información pública del ahora recurrente, en razón de los agravios expresados.</w:t>
      </w:r>
    </w:p>
    <w:p w:rsidR="009D1131" w:rsidRPr="00FD6433" w:rsidRDefault="009D1131" w:rsidP="009D1131">
      <w:pPr>
        <w:pStyle w:val="corte4fondo"/>
        <w:spacing w:line="240" w:lineRule="auto"/>
        <w:rPr>
          <w:rFonts w:cs="Arial"/>
          <w:color w:val="4472C4" w:themeColor="accent1"/>
          <w:sz w:val="24"/>
          <w:szCs w:val="24"/>
        </w:rPr>
      </w:pPr>
    </w:p>
    <w:p w:rsidR="009D1131" w:rsidRPr="00FD6433" w:rsidRDefault="009D1131" w:rsidP="009D1131">
      <w:pPr>
        <w:pStyle w:val="corte4fondo"/>
        <w:spacing w:line="240" w:lineRule="auto"/>
        <w:rPr>
          <w:rFonts w:cs="Arial"/>
          <w:color w:val="4472C4" w:themeColor="accent1"/>
          <w:sz w:val="24"/>
          <w:szCs w:val="24"/>
        </w:rPr>
      </w:pPr>
      <w:r w:rsidRPr="00FD6433">
        <w:rPr>
          <w:rFonts w:cs="Arial"/>
          <w:color w:val="4472C4" w:themeColor="accent1"/>
          <w:sz w:val="24"/>
          <w:szCs w:val="24"/>
        </w:rPr>
        <w:t>Por lo cual, se determinara si  es información susceptible de generarse, administrarse y/o encontrarse en posesión del Ente Público en esos términos, derivado de sus respectivas funciones, atribuciones y competencia y, asimismo, susceptible de proporcionarse por ésta para su consulta al hoy recurrente, de acuerdo con lo dispuesto por los artículos 3, fracción XIII y XIV, 4,18, 19, 54 fracciones III y IV,  143, y 151  de la Ley de Transparencia y Acceso a la Información Pública del Estado de San Luis Potosí y demás normativa aplicable.</w:t>
      </w:r>
    </w:p>
    <w:p w:rsidR="009D1131" w:rsidRPr="00FD6433" w:rsidRDefault="009D1131" w:rsidP="009D1131">
      <w:pPr>
        <w:pStyle w:val="corte4fondo"/>
        <w:spacing w:line="240" w:lineRule="auto"/>
        <w:rPr>
          <w:rFonts w:cs="Arial"/>
          <w:color w:val="4472C4" w:themeColor="accent1"/>
          <w:sz w:val="24"/>
          <w:szCs w:val="24"/>
        </w:rPr>
      </w:pPr>
    </w:p>
    <w:p w:rsidR="009D1131" w:rsidRPr="00FD6433" w:rsidRDefault="009D1131" w:rsidP="009D1131">
      <w:pPr>
        <w:pStyle w:val="corte4fondo"/>
        <w:spacing w:line="240" w:lineRule="auto"/>
        <w:rPr>
          <w:rFonts w:cs="Arial"/>
          <w:color w:val="4472C4" w:themeColor="accent1"/>
          <w:sz w:val="24"/>
          <w:szCs w:val="24"/>
        </w:rPr>
      </w:pPr>
    </w:p>
    <w:p w:rsidR="009D1131" w:rsidRPr="00FD6433" w:rsidRDefault="009D1131" w:rsidP="009D1131">
      <w:pPr>
        <w:pStyle w:val="corte4fondo"/>
        <w:spacing w:line="240" w:lineRule="auto"/>
        <w:rPr>
          <w:rFonts w:cs="Arial"/>
          <w:i/>
          <w:color w:val="4472C4" w:themeColor="accent1"/>
          <w:sz w:val="24"/>
          <w:szCs w:val="24"/>
        </w:rPr>
      </w:pPr>
      <w:r w:rsidRPr="00FD6433">
        <w:rPr>
          <w:rFonts w:cs="Arial"/>
          <w:b/>
          <w:bCs/>
          <w:i/>
          <w:color w:val="4472C4" w:themeColor="accent1"/>
          <w:sz w:val="24"/>
          <w:szCs w:val="24"/>
        </w:rPr>
        <w:t>“</w:t>
      </w:r>
      <w:r w:rsidRPr="00FD6433">
        <w:rPr>
          <w:rFonts w:cs="Arial"/>
          <w:bCs/>
          <w:i/>
          <w:color w:val="4472C4" w:themeColor="accent1"/>
          <w:sz w:val="24"/>
          <w:szCs w:val="24"/>
        </w:rPr>
        <w:t>ARTÍCULO 3°.</w:t>
      </w:r>
      <w:r w:rsidRPr="00FD6433">
        <w:rPr>
          <w:rFonts w:cs="Arial"/>
          <w:b/>
          <w:bCs/>
          <w:i/>
          <w:color w:val="4472C4" w:themeColor="accent1"/>
          <w:sz w:val="24"/>
          <w:szCs w:val="24"/>
        </w:rPr>
        <w:t xml:space="preserve"> </w:t>
      </w:r>
      <w:r w:rsidRPr="00FD6433">
        <w:rPr>
          <w:rFonts w:cs="Arial"/>
          <w:i/>
          <w:color w:val="4472C4" w:themeColor="accent1"/>
          <w:sz w:val="24"/>
          <w:szCs w:val="24"/>
        </w:rPr>
        <w:t>Para los efectos de la presente Ley se entenderá por:</w:t>
      </w:r>
    </w:p>
    <w:p w:rsidR="009D1131" w:rsidRPr="00FD6433" w:rsidRDefault="009D1131" w:rsidP="009D1131">
      <w:pPr>
        <w:pStyle w:val="corte4fondo"/>
        <w:spacing w:line="240" w:lineRule="auto"/>
        <w:rPr>
          <w:rFonts w:cs="Arial"/>
          <w:i/>
          <w:color w:val="4472C4" w:themeColor="accent1"/>
          <w:sz w:val="24"/>
          <w:szCs w:val="24"/>
        </w:rPr>
      </w:pPr>
    </w:p>
    <w:p w:rsidR="009D1131" w:rsidRPr="00FD6433" w:rsidRDefault="009D1131" w:rsidP="009D1131">
      <w:pPr>
        <w:pStyle w:val="corte4fondo"/>
        <w:spacing w:line="240" w:lineRule="auto"/>
        <w:rPr>
          <w:rFonts w:cs="Arial"/>
          <w:i/>
          <w:color w:val="4472C4" w:themeColor="accent1"/>
          <w:sz w:val="24"/>
          <w:szCs w:val="24"/>
        </w:rPr>
      </w:pPr>
      <w:r w:rsidRPr="00FD6433">
        <w:rPr>
          <w:rFonts w:cs="Arial"/>
          <w:i/>
          <w:color w:val="4472C4" w:themeColor="accent1"/>
          <w:sz w:val="24"/>
          <w:szCs w:val="24"/>
        </w:rPr>
        <w:t>(…)</w:t>
      </w:r>
    </w:p>
    <w:p w:rsidR="009D1131" w:rsidRPr="00FD6433" w:rsidRDefault="009D1131" w:rsidP="009D1131">
      <w:pPr>
        <w:pStyle w:val="corte4fondo"/>
        <w:spacing w:line="240" w:lineRule="auto"/>
        <w:rPr>
          <w:rFonts w:cs="Arial"/>
          <w:i/>
          <w:color w:val="4472C4" w:themeColor="accent1"/>
          <w:sz w:val="24"/>
          <w:szCs w:val="24"/>
        </w:rPr>
      </w:pPr>
    </w:p>
    <w:p w:rsidR="009D1131" w:rsidRPr="00FD6433" w:rsidRDefault="009D1131" w:rsidP="009D1131">
      <w:pPr>
        <w:pStyle w:val="corte4fondo"/>
        <w:spacing w:line="240" w:lineRule="auto"/>
        <w:rPr>
          <w:rFonts w:cs="Arial"/>
          <w:i/>
          <w:color w:val="4472C4" w:themeColor="accent1"/>
          <w:sz w:val="24"/>
          <w:szCs w:val="24"/>
        </w:rPr>
      </w:pPr>
      <w:r w:rsidRPr="00FD6433">
        <w:rPr>
          <w:rFonts w:cs="Arial"/>
          <w:bCs/>
          <w:i/>
          <w:color w:val="4472C4" w:themeColor="accent1"/>
          <w:sz w:val="24"/>
          <w:szCs w:val="24"/>
        </w:rPr>
        <w:t xml:space="preserve">XIII. Documento: </w:t>
      </w:r>
      <w:r w:rsidRPr="00FD6433">
        <w:rPr>
          <w:rFonts w:cs="Arial"/>
          <w:i/>
          <w:color w:val="4472C4" w:themeColor="accent1"/>
          <w:sz w:val="24"/>
          <w:szCs w:val="24"/>
        </w:rPr>
        <w:t xml:space="preserve">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w:t>
      </w:r>
      <w:r w:rsidRPr="00FD6433">
        <w:rPr>
          <w:rFonts w:cs="Arial"/>
          <w:i/>
          <w:color w:val="4472C4" w:themeColor="accent1"/>
          <w:sz w:val="24"/>
          <w:szCs w:val="24"/>
        </w:rPr>
        <w:lastRenderedPageBreak/>
        <w:t xml:space="preserve">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 </w:t>
      </w:r>
    </w:p>
    <w:p w:rsidR="009D1131" w:rsidRPr="00FD6433" w:rsidRDefault="009D1131" w:rsidP="009D1131">
      <w:pPr>
        <w:pStyle w:val="corte4fondo"/>
        <w:spacing w:line="240" w:lineRule="auto"/>
        <w:rPr>
          <w:rFonts w:cs="Arial"/>
          <w:i/>
          <w:color w:val="4472C4" w:themeColor="accent1"/>
          <w:sz w:val="24"/>
          <w:szCs w:val="24"/>
        </w:rPr>
      </w:pPr>
    </w:p>
    <w:p w:rsidR="009D1131" w:rsidRPr="00FD6433" w:rsidRDefault="009D1131" w:rsidP="009D1131">
      <w:pPr>
        <w:pStyle w:val="corte4fondo"/>
        <w:spacing w:line="240" w:lineRule="auto"/>
        <w:rPr>
          <w:rFonts w:cs="Arial"/>
          <w:i/>
          <w:color w:val="4472C4" w:themeColor="accent1"/>
          <w:sz w:val="24"/>
          <w:szCs w:val="24"/>
        </w:rPr>
      </w:pPr>
      <w:r w:rsidRPr="00FD6433">
        <w:rPr>
          <w:rFonts w:cs="Arial"/>
          <w:bCs/>
          <w:i/>
          <w:color w:val="4472C4" w:themeColor="accent1"/>
          <w:sz w:val="24"/>
          <w:szCs w:val="24"/>
        </w:rPr>
        <w:t xml:space="preserve">XIV. Expediente: </w:t>
      </w:r>
      <w:r w:rsidRPr="00FD6433">
        <w:rPr>
          <w:rFonts w:cs="Arial"/>
          <w:i/>
          <w:color w:val="4472C4" w:themeColor="accent1"/>
          <w:sz w:val="24"/>
          <w:szCs w:val="24"/>
        </w:rPr>
        <w:t>unidad documental constituida por uno o varios documentos de archivo, ordenados y relacionados por un mismo asunto, actividad o trámite de los sujetos obligados;”</w:t>
      </w:r>
    </w:p>
    <w:p w:rsidR="009D1131" w:rsidRPr="00FD6433" w:rsidRDefault="009D1131" w:rsidP="009D1131">
      <w:pPr>
        <w:pStyle w:val="corte4fondo"/>
        <w:spacing w:line="240" w:lineRule="auto"/>
        <w:rPr>
          <w:rFonts w:cs="Arial"/>
          <w:i/>
          <w:color w:val="4472C4" w:themeColor="accent1"/>
          <w:sz w:val="24"/>
          <w:szCs w:val="24"/>
        </w:rPr>
      </w:pPr>
    </w:p>
    <w:p w:rsidR="009D1131" w:rsidRPr="00FD6433" w:rsidRDefault="009D1131" w:rsidP="009D1131">
      <w:pPr>
        <w:pStyle w:val="corte4fondo"/>
        <w:spacing w:line="240" w:lineRule="auto"/>
        <w:rPr>
          <w:rFonts w:cs="Arial"/>
          <w:color w:val="4472C4" w:themeColor="accent1"/>
          <w:sz w:val="24"/>
          <w:szCs w:val="24"/>
        </w:rPr>
      </w:pPr>
    </w:p>
    <w:p w:rsidR="009D1131" w:rsidRPr="00FD6433" w:rsidRDefault="009D1131" w:rsidP="009D1131">
      <w:pPr>
        <w:autoSpaceDE w:val="0"/>
        <w:autoSpaceDN w:val="0"/>
        <w:adjustRightInd w:val="0"/>
        <w:spacing w:after="0" w:line="240" w:lineRule="auto"/>
        <w:ind w:firstLine="708"/>
        <w:jc w:val="both"/>
        <w:rPr>
          <w:rFonts w:ascii="Arial" w:hAnsi="Arial" w:cs="Arial"/>
          <w:i/>
          <w:color w:val="4472C4" w:themeColor="accent1"/>
          <w:sz w:val="24"/>
          <w:szCs w:val="24"/>
          <w:lang w:eastAsia="es-MX"/>
        </w:rPr>
      </w:pPr>
      <w:r w:rsidRPr="00FD6433">
        <w:rPr>
          <w:rFonts w:ascii="Arial" w:hAnsi="Arial" w:cs="Arial"/>
          <w:i/>
          <w:color w:val="4472C4" w:themeColor="accent1"/>
          <w:sz w:val="24"/>
          <w:szCs w:val="24"/>
          <w:lang w:eastAsia="es-MX"/>
        </w:rPr>
        <w:t>“ARTÍCULO 4°. El derecho humano de acceso a la información comprende solicitar, investigar, difundir, buscar y recibir información. 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p>
    <w:p w:rsidR="009D1131" w:rsidRPr="00FD6433" w:rsidRDefault="009D1131" w:rsidP="009D1131">
      <w:pPr>
        <w:autoSpaceDE w:val="0"/>
        <w:autoSpaceDN w:val="0"/>
        <w:adjustRightInd w:val="0"/>
        <w:spacing w:after="0" w:line="240" w:lineRule="auto"/>
        <w:ind w:firstLine="708"/>
        <w:jc w:val="both"/>
        <w:rPr>
          <w:rFonts w:ascii="Arial" w:hAnsi="Arial" w:cs="Arial"/>
          <w:i/>
          <w:color w:val="4472C4" w:themeColor="accent1"/>
          <w:sz w:val="24"/>
          <w:szCs w:val="24"/>
          <w:lang w:eastAsia="es-MX"/>
        </w:rPr>
      </w:pPr>
    </w:p>
    <w:p w:rsidR="009D1131" w:rsidRPr="00FD6433" w:rsidRDefault="009D1131" w:rsidP="009D1131">
      <w:pPr>
        <w:autoSpaceDE w:val="0"/>
        <w:autoSpaceDN w:val="0"/>
        <w:adjustRightInd w:val="0"/>
        <w:spacing w:after="0" w:line="240" w:lineRule="auto"/>
        <w:ind w:firstLine="708"/>
        <w:jc w:val="both"/>
        <w:rPr>
          <w:rFonts w:ascii="Arial" w:hAnsi="Arial" w:cs="Arial"/>
          <w:i/>
          <w:color w:val="4472C4" w:themeColor="accent1"/>
          <w:sz w:val="24"/>
          <w:szCs w:val="24"/>
          <w:lang w:eastAsia="es-MX"/>
        </w:rPr>
      </w:pPr>
      <w:r w:rsidRPr="00FD6433">
        <w:rPr>
          <w:rFonts w:ascii="Arial" w:hAnsi="Arial" w:cs="Arial"/>
          <w:i/>
          <w:color w:val="4472C4" w:themeColor="accent1"/>
          <w:sz w:val="24"/>
          <w:szCs w:val="24"/>
          <w:lang w:eastAsia="es-MX"/>
        </w:rPr>
        <w:t>“ARTÍCULO 18. Los sujetos obligados deberán documentar todo acto que derive del ejercicio de sus facultades, competencias o funciones.”</w:t>
      </w:r>
    </w:p>
    <w:p w:rsidR="009D1131" w:rsidRPr="00FD6433" w:rsidRDefault="009D1131" w:rsidP="009D1131">
      <w:pPr>
        <w:autoSpaceDE w:val="0"/>
        <w:autoSpaceDN w:val="0"/>
        <w:adjustRightInd w:val="0"/>
        <w:spacing w:after="0" w:line="240" w:lineRule="auto"/>
        <w:jc w:val="both"/>
        <w:rPr>
          <w:rFonts w:ascii="Arial" w:hAnsi="Arial" w:cs="Arial"/>
          <w:i/>
          <w:color w:val="4472C4" w:themeColor="accent1"/>
          <w:sz w:val="24"/>
          <w:szCs w:val="24"/>
          <w:lang w:eastAsia="es-MX"/>
        </w:rPr>
      </w:pPr>
    </w:p>
    <w:p w:rsidR="009D1131" w:rsidRPr="00FD6433" w:rsidRDefault="009D1131" w:rsidP="009D1131">
      <w:pPr>
        <w:autoSpaceDE w:val="0"/>
        <w:autoSpaceDN w:val="0"/>
        <w:adjustRightInd w:val="0"/>
        <w:spacing w:after="0" w:line="240" w:lineRule="auto"/>
        <w:ind w:firstLine="708"/>
        <w:jc w:val="both"/>
        <w:rPr>
          <w:rFonts w:ascii="Arial" w:hAnsi="Arial" w:cs="Arial"/>
          <w:i/>
          <w:color w:val="4472C4" w:themeColor="accent1"/>
          <w:sz w:val="24"/>
          <w:szCs w:val="24"/>
        </w:rPr>
      </w:pPr>
      <w:r w:rsidRPr="00FD6433">
        <w:rPr>
          <w:rFonts w:ascii="Arial" w:hAnsi="Arial" w:cs="Arial"/>
          <w:i/>
          <w:color w:val="4472C4" w:themeColor="accent1"/>
          <w:sz w:val="24"/>
          <w:szCs w:val="24"/>
        </w:rPr>
        <w:t>“ARTÍCULO 19.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w:t>
      </w:r>
    </w:p>
    <w:p w:rsidR="009D1131" w:rsidRPr="00FD6433" w:rsidRDefault="009D1131" w:rsidP="009D1131">
      <w:pPr>
        <w:autoSpaceDE w:val="0"/>
        <w:autoSpaceDN w:val="0"/>
        <w:adjustRightInd w:val="0"/>
        <w:spacing w:after="0" w:line="240" w:lineRule="auto"/>
        <w:ind w:firstLine="708"/>
        <w:jc w:val="both"/>
        <w:rPr>
          <w:rFonts w:ascii="Arial" w:hAnsi="Arial" w:cs="Arial"/>
          <w:i/>
          <w:color w:val="4472C4" w:themeColor="accent1"/>
          <w:sz w:val="24"/>
          <w:szCs w:val="24"/>
        </w:rPr>
      </w:pPr>
    </w:p>
    <w:p w:rsidR="009D1131" w:rsidRPr="00FD6433" w:rsidRDefault="009D1131" w:rsidP="009D1131">
      <w:pPr>
        <w:autoSpaceDE w:val="0"/>
        <w:autoSpaceDN w:val="0"/>
        <w:adjustRightInd w:val="0"/>
        <w:spacing w:after="0" w:line="240" w:lineRule="auto"/>
        <w:ind w:firstLine="708"/>
        <w:jc w:val="both"/>
        <w:rPr>
          <w:rFonts w:ascii="Arial" w:hAnsi="Arial" w:cs="Arial"/>
          <w:i/>
          <w:color w:val="4472C4" w:themeColor="accent1"/>
          <w:sz w:val="24"/>
          <w:szCs w:val="24"/>
        </w:rPr>
      </w:pPr>
      <w:r w:rsidRPr="00FD6433">
        <w:rPr>
          <w:rFonts w:ascii="Arial" w:hAnsi="Arial" w:cs="Arial"/>
          <w:bCs/>
          <w:i/>
          <w:color w:val="4472C4" w:themeColor="accent1"/>
          <w:sz w:val="24"/>
          <w:szCs w:val="24"/>
        </w:rPr>
        <w:t xml:space="preserve">“ARTÍCULO 54. </w:t>
      </w:r>
      <w:r w:rsidRPr="00FD6433">
        <w:rPr>
          <w:rFonts w:ascii="Arial" w:hAnsi="Arial" w:cs="Arial"/>
          <w:i/>
          <w:color w:val="4472C4" w:themeColor="accent1"/>
          <w:sz w:val="24"/>
          <w:szCs w:val="24"/>
        </w:rPr>
        <w:t>Los sujetos obligados designarán al responsable de la Unidad de Transparencia que tendrá las siguientes funciones:</w:t>
      </w:r>
    </w:p>
    <w:p w:rsidR="009D1131" w:rsidRPr="00FD6433" w:rsidRDefault="009D1131" w:rsidP="009D1131">
      <w:pPr>
        <w:autoSpaceDE w:val="0"/>
        <w:autoSpaceDN w:val="0"/>
        <w:adjustRightInd w:val="0"/>
        <w:spacing w:after="0" w:line="240" w:lineRule="auto"/>
        <w:ind w:firstLine="708"/>
        <w:jc w:val="both"/>
        <w:rPr>
          <w:rFonts w:ascii="Arial" w:hAnsi="Arial" w:cs="Arial"/>
          <w:i/>
          <w:color w:val="4472C4" w:themeColor="accent1"/>
          <w:sz w:val="24"/>
          <w:szCs w:val="24"/>
        </w:rPr>
      </w:pPr>
    </w:p>
    <w:p w:rsidR="009D1131" w:rsidRPr="00FD6433" w:rsidRDefault="009D1131" w:rsidP="009D1131">
      <w:pPr>
        <w:autoSpaceDE w:val="0"/>
        <w:autoSpaceDN w:val="0"/>
        <w:adjustRightInd w:val="0"/>
        <w:spacing w:after="0" w:line="240" w:lineRule="auto"/>
        <w:ind w:firstLine="708"/>
        <w:jc w:val="both"/>
        <w:rPr>
          <w:rFonts w:ascii="Arial" w:hAnsi="Arial" w:cs="Arial"/>
          <w:i/>
          <w:color w:val="4472C4" w:themeColor="accent1"/>
          <w:sz w:val="24"/>
          <w:szCs w:val="24"/>
        </w:rPr>
      </w:pPr>
      <w:r w:rsidRPr="00FD6433">
        <w:rPr>
          <w:rFonts w:ascii="Arial" w:hAnsi="Arial" w:cs="Arial"/>
          <w:i/>
          <w:color w:val="4472C4" w:themeColor="accent1"/>
          <w:sz w:val="24"/>
          <w:szCs w:val="24"/>
        </w:rPr>
        <w:t>(…)</w:t>
      </w:r>
    </w:p>
    <w:p w:rsidR="009D1131" w:rsidRPr="00FD6433" w:rsidRDefault="009D1131" w:rsidP="009D1131">
      <w:pPr>
        <w:autoSpaceDE w:val="0"/>
        <w:autoSpaceDN w:val="0"/>
        <w:adjustRightInd w:val="0"/>
        <w:spacing w:after="0" w:line="240" w:lineRule="auto"/>
        <w:ind w:firstLine="708"/>
        <w:jc w:val="both"/>
        <w:rPr>
          <w:rFonts w:ascii="Arial" w:hAnsi="Arial" w:cs="Arial"/>
          <w:i/>
          <w:color w:val="4472C4" w:themeColor="accent1"/>
          <w:sz w:val="24"/>
          <w:szCs w:val="24"/>
        </w:rPr>
      </w:pPr>
    </w:p>
    <w:p w:rsidR="009D1131" w:rsidRPr="00FD6433" w:rsidRDefault="009D1131" w:rsidP="009D1131">
      <w:pPr>
        <w:autoSpaceDE w:val="0"/>
        <w:autoSpaceDN w:val="0"/>
        <w:adjustRightInd w:val="0"/>
        <w:spacing w:after="0" w:line="240" w:lineRule="auto"/>
        <w:ind w:firstLine="708"/>
        <w:jc w:val="both"/>
        <w:rPr>
          <w:rFonts w:ascii="Arial" w:hAnsi="Arial" w:cs="Arial"/>
          <w:i/>
          <w:color w:val="4472C4" w:themeColor="accent1"/>
          <w:sz w:val="24"/>
          <w:szCs w:val="24"/>
        </w:rPr>
      </w:pPr>
      <w:r w:rsidRPr="00FD6433">
        <w:rPr>
          <w:rFonts w:ascii="Arial" w:hAnsi="Arial" w:cs="Arial"/>
          <w:bCs/>
          <w:i/>
          <w:color w:val="4472C4" w:themeColor="accent1"/>
          <w:sz w:val="24"/>
          <w:szCs w:val="24"/>
        </w:rPr>
        <w:t>IV</w:t>
      </w:r>
      <w:r w:rsidRPr="00FD6433">
        <w:rPr>
          <w:rFonts w:ascii="Arial" w:hAnsi="Arial" w:cs="Arial"/>
          <w:i/>
          <w:color w:val="4472C4" w:themeColor="accent1"/>
          <w:sz w:val="24"/>
          <w:szCs w:val="24"/>
        </w:rPr>
        <w:t>. Realizar los trámites internos necesarios para la atención de las solicitudes de acceso a la información;”</w:t>
      </w:r>
    </w:p>
    <w:p w:rsidR="009D1131" w:rsidRPr="00FD6433" w:rsidRDefault="009D1131" w:rsidP="009D1131">
      <w:pPr>
        <w:pStyle w:val="corte4fondo"/>
        <w:spacing w:line="240" w:lineRule="auto"/>
        <w:rPr>
          <w:rFonts w:cs="Arial"/>
          <w:i/>
          <w:color w:val="4472C4" w:themeColor="accent1"/>
          <w:sz w:val="24"/>
          <w:szCs w:val="24"/>
        </w:rPr>
      </w:pPr>
    </w:p>
    <w:p w:rsidR="009D1131" w:rsidRPr="00FD6433" w:rsidRDefault="009D1131" w:rsidP="009D1131">
      <w:pPr>
        <w:pStyle w:val="corte4fondo"/>
        <w:spacing w:line="240" w:lineRule="auto"/>
        <w:rPr>
          <w:rFonts w:cs="Arial"/>
          <w:i/>
          <w:color w:val="4472C4" w:themeColor="accent1"/>
          <w:sz w:val="24"/>
          <w:szCs w:val="24"/>
        </w:rPr>
      </w:pPr>
      <w:r w:rsidRPr="00FD6433">
        <w:rPr>
          <w:rFonts w:cs="Arial"/>
          <w:bCs/>
          <w:i/>
          <w:color w:val="4472C4" w:themeColor="accent1"/>
          <w:sz w:val="24"/>
          <w:szCs w:val="24"/>
        </w:rPr>
        <w:t xml:space="preserve">“ARTÍCULO 143. </w:t>
      </w:r>
      <w:r w:rsidRPr="00FD6433">
        <w:rPr>
          <w:rFonts w:cs="Arial"/>
          <w:i/>
          <w:color w:val="4472C4" w:themeColor="accent1"/>
          <w:sz w:val="24"/>
          <w:szCs w:val="24"/>
        </w:rPr>
        <w:t>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rsidR="009D1131" w:rsidRPr="00FD6433" w:rsidRDefault="009D1131" w:rsidP="009D1131">
      <w:pPr>
        <w:pStyle w:val="corte4fondo"/>
        <w:spacing w:line="240" w:lineRule="auto"/>
        <w:rPr>
          <w:rFonts w:cs="Arial"/>
          <w:i/>
          <w:color w:val="4472C4" w:themeColor="accent1"/>
          <w:sz w:val="24"/>
          <w:szCs w:val="24"/>
        </w:rPr>
      </w:pPr>
    </w:p>
    <w:p w:rsidR="009D1131" w:rsidRPr="00FD6433" w:rsidRDefault="009D1131" w:rsidP="009D1131">
      <w:pPr>
        <w:pStyle w:val="Default"/>
        <w:ind w:firstLine="708"/>
        <w:jc w:val="both"/>
        <w:rPr>
          <w:i/>
          <w:color w:val="4472C4" w:themeColor="accent1"/>
        </w:rPr>
      </w:pPr>
      <w:r w:rsidRPr="00FD6433">
        <w:rPr>
          <w:bCs/>
          <w:i/>
          <w:color w:val="4472C4" w:themeColor="accent1"/>
        </w:rPr>
        <w:t xml:space="preserve">“ARTÍCULO 151. </w:t>
      </w:r>
      <w:r w:rsidRPr="00FD6433">
        <w:rPr>
          <w:i/>
          <w:color w:val="4472C4" w:themeColor="accent1"/>
        </w:rPr>
        <w:t xml:space="preserve">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9D1131" w:rsidRPr="00FD6433" w:rsidRDefault="009D1131" w:rsidP="009D1131">
      <w:pPr>
        <w:pStyle w:val="Default"/>
        <w:ind w:firstLine="708"/>
        <w:jc w:val="both"/>
        <w:rPr>
          <w:i/>
          <w:color w:val="4472C4" w:themeColor="accent1"/>
        </w:rPr>
      </w:pPr>
    </w:p>
    <w:p w:rsidR="009D1131" w:rsidRPr="00FD6433" w:rsidRDefault="009D1131" w:rsidP="009D1131">
      <w:pPr>
        <w:pStyle w:val="Default"/>
        <w:ind w:firstLine="708"/>
        <w:jc w:val="both"/>
        <w:rPr>
          <w:i/>
          <w:color w:val="4472C4" w:themeColor="accent1"/>
        </w:rPr>
      </w:pPr>
    </w:p>
    <w:p w:rsidR="009D1131" w:rsidRPr="00FD6433" w:rsidRDefault="009D1131" w:rsidP="009D1131">
      <w:pPr>
        <w:pStyle w:val="corte4fondo"/>
        <w:spacing w:line="240" w:lineRule="auto"/>
        <w:rPr>
          <w:rFonts w:cs="Arial"/>
          <w:i/>
          <w:color w:val="4472C4" w:themeColor="accent1"/>
          <w:sz w:val="24"/>
          <w:szCs w:val="24"/>
        </w:rPr>
      </w:pPr>
      <w:r w:rsidRPr="00FD6433">
        <w:rPr>
          <w:rFonts w:cs="Arial"/>
          <w:i/>
          <w:color w:val="4472C4" w:themeColor="accent1"/>
          <w:sz w:val="24"/>
          <w:szCs w:val="24"/>
        </w:rPr>
        <w:t>En el caso de que la información solicitada consista en bases de datos se deberá privilegiar la entrega de la misma en Formatos Abiertos.”</w:t>
      </w:r>
    </w:p>
    <w:p w:rsidR="009D1131" w:rsidRPr="00FD6433" w:rsidRDefault="009D1131" w:rsidP="009D1131">
      <w:pPr>
        <w:pStyle w:val="corte4fondo"/>
        <w:spacing w:line="240" w:lineRule="auto"/>
        <w:rPr>
          <w:rFonts w:cs="Arial"/>
          <w:color w:val="4472C4" w:themeColor="accent1"/>
          <w:sz w:val="24"/>
          <w:szCs w:val="24"/>
        </w:rPr>
      </w:pPr>
    </w:p>
    <w:p w:rsidR="009D1131" w:rsidRPr="00FD6433" w:rsidRDefault="009D1131" w:rsidP="009D1131">
      <w:pPr>
        <w:pStyle w:val="corte4fondo"/>
        <w:spacing w:line="240" w:lineRule="auto"/>
        <w:ind w:firstLine="0"/>
        <w:rPr>
          <w:rFonts w:cs="Arial"/>
          <w:color w:val="4472C4" w:themeColor="accent1"/>
          <w:sz w:val="24"/>
          <w:szCs w:val="24"/>
        </w:rPr>
      </w:pPr>
      <w:r w:rsidRPr="00FD6433">
        <w:rPr>
          <w:rFonts w:cs="Arial"/>
          <w:b/>
          <w:color w:val="4472C4" w:themeColor="accent1"/>
          <w:sz w:val="24"/>
          <w:szCs w:val="24"/>
        </w:rPr>
        <w:lastRenderedPageBreak/>
        <w:tab/>
      </w:r>
      <w:r w:rsidRPr="00FD6433">
        <w:rPr>
          <w:rFonts w:cs="Arial"/>
          <w:color w:val="4472C4" w:themeColor="accent1"/>
          <w:sz w:val="24"/>
          <w:szCs w:val="24"/>
        </w:rPr>
        <w:t>De los preceptos anteriores, se advierte que es un derecho humano el acceder a la información, así mismo es preciso señalar que toda información generada, obtenida, adquirida, trasformada y/o en posesión de los sujetos obligados será publica accesible para cualquier persona, dentro de los términos y condiciones que establezca la ley en la materia.</w:t>
      </w:r>
    </w:p>
    <w:p w:rsidR="009D1131" w:rsidRPr="00FD6433" w:rsidRDefault="009D1131" w:rsidP="009D1131">
      <w:pPr>
        <w:pStyle w:val="corte4fondo"/>
        <w:spacing w:line="240" w:lineRule="auto"/>
        <w:ind w:firstLine="0"/>
        <w:rPr>
          <w:rFonts w:cs="Arial"/>
          <w:color w:val="4472C4" w:themeColor="accent1"/>
          <w:sz w:val="24"/>
          <w:szCs w:val="24"/>
        </w:rPr>
      </w:pPr>
    </w:p>
    <w:p w:rsidR="009D1131" w:rsidRPr="00FD6433" w:rsidRDefault="009D1131" w:rsidP="009D1131">
      <w:pPr>
        <w:autoSpaceDE w:val="0"/>
        <w:autoSpaceDN w:val="0"/>
        <w:adjustRightInd w:val="0"/>
        <w:spacing w:after="0" w:line="240" w:lineRule="auto"/>
        <w:jc w:val="both"/>
        <w:rPr>
          <w:rFonts w:ascii="Arial" w:hAnsi="Arial" w:cs="Arial"/>
          <w:color w:val="4472C4" w:themeColor="accent1"/>
          <w:sz w:val="24"/>
          <w:szCs w:val="24"/>
          <w:lang w:eastAsia="es-MX"/>
        </w:rPr>
      </w:pPr>
      <w:r w:rsidRPr="00FD6433">
        <w:rPr>
          <w:rFonts w:ascii="Arial" w:hAnsi="Arial" w:cs="Arial"/>
          <w:color w:val="4472C4" w:themeColor="accent1"/>
          <w:sz w:val="24"/>
          <w:szCs w:val="24"/>
          <w:lang w:eastAsia="es-MX"/>
        </w:rPr>
        <w:tab/>
        <w:t xml:space="preserve">De igual Forma, se establece que los entes obligados deberán otorgar acceso a los documentos que se encuentran en sus archivos o que estén obligados a documentar de acuerdo con sus facultades, competencias o funciones en el formato en el que solicitante manifieste, de entre aquellos formatos existentes, conforme a las características físicas de la información o del lugar donde se encuentre así lo permita. </w:t>
      </w:r>
    </w:p>
    <w:p w:rsidR="009D1131" w:rsidRPr="00FD6433" w:rsidRDefault="009D1131" w:rsidP="009D1131">
      <w:pPr>
        <w:autoSpaceDE w:val="0"/>
        <w:autoSpaceDN w:val="0"/>
        <w:adjustRightInd w:val="0"/>
        <w:spacing w:after="0" w:line="240" w:lineRule="auto"/>
        <w:jc w:val="both"/>
        <w:rPr>
          <w:rFonts w:ascii="Arial" w:hAnsi="Arial" w:cs="Arial"/>
          <w:color w:val="4472C4" w:themeColor="accent1"/>
          <w:sz w:val="24"/>
          <w:szCs w:val="24"/>
          <w:lang w:eastAsia="es-MX"/>
        </w:rPr>
      </w:pPr>
    </w:p>
    <w:p w:rsidR="009D1131" w:rsidRPr="00FD6433" w:rsidRDefault="009D1131" w:rsidP="009D1131">
      <w:pPr>
        <w:pStyle w:val="corte4fondo"/>
        <w:spacing w:line="240" w:lineRule="auto"/>
        <w:ind w:firstLine="708"/>
        <w:rPr>
          <w:rFonts w:cs="Arial"/>
          <w:color w:val="4472C4" w:themeColor="accent1"/>
          <w:sz w:val="24"/>
          <w:szCs w:val="24"/>
        </w:rPr>
      </w:pPr>
      <w:r w:rsidRPr="00FD6433">
        <w:rPr>
          <w:rFonts w:cs="Arial"/>
          <w:color w:val="4472C4" w:themeColor="accent1"/>
          <w:sz w:val="24"/>
          <w:szCs w:val="24"/>
        </w:rPr>
        <w:t>Además, se prevé que las unidades de transparencia de los sujetos obligados deben garantizar las medidas y condiciones de accesibilidad para que toda persona pueda ejercer el derecho de acceso a la información, a través de los escritos de solicitudes de información y deberá apoyar al solicitante en la elaboración de las mismas, de igual manera la Unidad de Transparencia realizara las gestiones internas para el trámite de la solicitud.</w:t>
      </w:r>
    </w:p>
    <w:p w:rsidR="009D1131" w:rsidRPr="00FD6433" w:rsidRDefault="009D1131" w:rsidP="009D1131">
      <w:pPr>
        <w:pStyle w:val="corte4fondo"/>
        <w:spacing w:line="240" w:lineRule="auto"/>
        <w:ind w:firstLine="708"/>
        <w:rPr>
          <w:rFonts w:cs="Arial"/>
          <w:color w:val="4472C4" w:themeColor="accent1"/>
          <w:sz w:val="24"/>
          <w:szCs w:val="24"/>
        </w:rPr>
      </w:pPr>
    </w:p>
    <w:p w:rsidR="009D1131" w:rsidRPr="00FD6433" w:rsidRDefault="009D1131" w:rsidP="009D1131">
      <w:pPr>
        <w:pStyle w:val="corte4fondo"/>
        <w:spacing w:line="240" w:lineRule="auto"/>
        <w:rPr>
          <w:rFonts w:cs="Arial"/>
          <w:color w:val="4472C4" w:themeColor="accent1"/>
          <w:sz w:val="24"/>
          <w:szCs w:val="24"/>
        </w:rPr>
      </w:pPr>
      <w:r w:rsidRPr="00FD6433">
        <w:rPr>
          <w:rFonts w:cs="Arial"/>
          <w:color w:val="4472C4" w:themeColor="accent1"/>
          <w:sz w:val="24"/>
          <w:szCs w:val="24"/>
        </w:rPr>
        <w:t>Una vez invocada la normativa aplicable de la ley en materia, se precisa que el presente estudio de la resolución se desarrollara bajo el principio de exhaustividad previsto en el artículo 17</w:t>
      </w:r>
      <w:r w:rsidRPr="00FD6433">
        <w:rPr>
          <w:rStyle w:val="Refdenotaalpie"/>
          <w:rFonts w:cs="Arial"/>
          <w:color w:val="4472C4" w:themeColor="accent1"/>
          <w:sz w:val="24"/>
          <w:szCs w:val="24"/>
        </w:rPr>
        <w:footnoteReference w:id="1"/>
      </w:r>
      <w:r w:rsidRPr="00FD6433">
        <w:rPr>
          <w:rFonts w:cs="Arial"/>
          <w:color w:val="4472C4" w:themeColor="accent1"/>
          <w:sz w:val="24"/>
          <w:szCs w:val="24"/>
        </w:rPr>
        <w:t xml:space="preserve"> constitucional, al señalar que la administración de justicia será impartida por los tribunales competentes, en los plazos señalados por la ley, a través de resoluciones de manera pronta, completa e imparcial.</w:t>
      </w:r>
    </w:p>
    <w:p w:rsidR="009D1131" w:rsidRPr="00FD6433" w:rsidRDefault="009D1131" w:rsidP="009D1131">
      <w:pPr>
        <w:pStyle w:val="corte4fondo"/>
        <w:spacing w:line="240" w:lineRule="auto"/>
        <w:rPr>
          <w:rFonts w:cs="Arial"/>
          <w:color w:val="4472C4" w:themeColor="accent1"/>
          <w:sz w:val="24"/>
          <w:szCs w:val="24"/>
        </w:rPr>
      </w:pPr>
    </w:p>
    <w:p w:rsidR="009D1131" w:rsidRPr="00FD6433" w:rsidRDefault="009D1131" w:rsidP="009D1131">
      <w:pPr>
        <w:pStyle w:val="corte4fondo"/>
        <w:spacing w:line="240" w:lineRule="auto"/>
        <w:ind w:firstLine="708"/>
        <w:rPr>
          <w:rFonts w:eastAsia="Arial" w:cs="Arial"/>
          <w:color w:val="4472C4" w:themeColor="accent1"/>
          <w:sz w:val="24"/>
          <w:szCs w:val="24"/>
        </w:rPr>
      </w:pPr>
      <w:r w:rsidRPr="00FD6433">
        <w:rPr>
          <w:rFonts w:cs="Arial"/>
          <w:color w:val="4472C4" w:themeColor="accent1"/>
          <w:sz w:val="24"/>
          <w:szCs w:val="24"/>
          <w:lang w:val="es-ES"/>
        </w:rPr>
        <w:t>En otro orden de ideas</w:t>
      </w:r>
      <w:r w:rsidRPr="00FD6433">
        <w:rPr>
          <w:rFonts w:cs="Arial"/>
          <w:color w:val="4472C4" w:themeColor="accent1"/>
          <w:sz w:val="24"/>
          <w:szCs w:val="24"/>
        </w:rPr>
        <w:t xml:space="preserve">, </w:t>
      </w:r>
      <w:r>
        <w:rPr>
          <w:rFonts w:cs="Arial"/>
          <w:color w:val="4472C4" w:themeColor="accent1"/>
          <w:sz w:val="24"/>
          <w:szCs w:val="24"/>
          <w:lang w:val="es-MX"/>
        </w:rPr>
        <w:t>se</w:t>
      </w:r>
      <w:r w:rsidRPr="00FD6433">
        <w:rPr>
          <w:rFonts w:cs="Arial"/>
          <w:color w:val="4472C4" w:themeColor="accent1"/>
          <w:sz w:val="24"/>
          <w:szCs w:val="24"/>
        </w:rPr>
        <w:t xml:space="preserve"> analizará el agravio respecto a las </w:t>
      </w:r>
      <w:r w:rsidRPr="00FD6433">
        <w:rPr>
          <w:rFonts w:cs="Arial"/>
          <w:color w:val="4472C4" w:themeColor="accent1"/>
          <w:sz w:val="24"/>
          <w:szCs w:val="24"/>
          <w:lang w:val="es-ES"/>
        </w:rPr>
        <w:t xml:space="preserve">inconformidades expresas hechas valer por el inconforme, entendiéndose por esto, que en las partes que no allá expresado agravio alguno de los estipulados por la ley, se tendrá por conforme; </w:t>
      </w:r>
      <w:r w:rsidRPr="00FD6433">
        <w:rPr>
          <w:rFonts w:eastAsia="Arial" w:cs="Arial"/>
          <w:color w:val="4472C4" w:themeColor="accent1"/>
          <w:sz w:val="24"/>
          <w:szCs w:val="24"/>
        </w:rPr>
        <w:t>sirviendo de apoyo a lo anterior, el criterio 01/20 emitido por el Pleno del Instituto Nacional de Transparencia, Acceso a la Información y Protección de Datos Personales (INAI), que a la letra señala lo siguiente:</w:t>
      </w:r>
    </w:p>
    <w:p w:rsidR="009D1131" w:rsidRPr="00FD6433" w:rsidRDefault="009D1131" w:rsidP="009D1131">
      <w:pPr>
        <w:pStyle w:val="corte4fondo"/>
        <w:spacing w:line="240" w:lineRule="auto"/>
        <w:ind w:firstLine="708"/>
        <w:rPr>
          <w:rFonts w:eastAsia="Arial" w:cs="Arial"/>
          <w:i/>
          <w:color w:val="4472C4" w:themeColor="accent1"/>
          <w:sz w:val="24"/>
          <w:szCs w:val="24"/>
        </w:rPr>
      </w:pPr>
    </w:p>
    <w:p w:rsidR="009D1131" w:rsidRPr="00FD6433" w:rsidRDefault="009D1131" w:rsidP="009D1131">
      <w:pPr>
        <w:pStyle w:val="corte4fondo"/>
        <w:spacing w:line="240" w:lineRule="auto"/>
        <w:ind w:firstLine="708"/>
        <w:rPr>
          <w:rFonts w:eastAsia="Arial" w:cs="Arial"/>
          <w:i/>
          <w:color w:val="4472C4" w:themeColor="accent1"/>
          <w:sz w:val="24"/>
          <w:szCs w:val="24"/>
        </w:rPr>
      </w:pPr>
      <w:r w:rsidRPr="00FD6433">
        <w:rPr>
          <w:rFonts w:eastAsia="Arial" w:cs="Arial"/>
          <w:i/>
          <w:color w:val="4472C4" w:themeColor="accent1"/>
          <w:sz w:val="24"/>
          <w:szCs w:val="24"/>
        </w:rPr>
        <w:t>“</w:t>
      </w:r>
      <w:r w:rsidRPr="00FD6433">
        <w:rPr>
          <w:rFonts w:eastAsia="Arial" w:cs="Arial"/>
          <w:b/>
          <w:i/>
          <w:color w:val="4472C4" w:themeColor="accent1"/>
          <w:sz w:val="24"/>
          <w:szCs w:val="24"/>
        </w:rPr>
        <w:t>Actos consentidos tácitamente. Improcedencia de su análisis</w:t>
      </w:r>
      <w:r w:rsidRPr="00FD6433">
        <w:rPr>
          <w:rFonts w:eastAsia="Arial" w:cs="Arial"/>
          <w:i/>
          <w:color w:val="4472C4" w:themeColor="accent1"/>
          <w:sz w:val="24"/>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 </w:t>
      </w:r>
      <w:r w:rsidRPr="00FD6433">
        <w:rPr>
          <w:rFonts w:eastAsia="Arial" w:cs="Arial"/>
          <w:i/>
          <w:color w:val="4472C4" w:themeColor="accent1"/>
          <w:sz w:val="24"/>
          <w:szCs w:val="24"/>
          <w:lang w:val="es-MX"/>
        </w:rPr>
        <w:t>”</w:t>
      </w:r>
      <w:r w:rsidRPr="00FD6433">
        <w:rPr>
          <w:rFonts w:eastAsia="Arial" w:cs="Arial"/>
          <w:i/>
          <w:color w:val="4472C4" w:themeColor="accent1"/>
          <w:sz w:val="24"/>
          <w:szCs w:val="24"/>
        </w:rPr>
        <w:t xml:space="preserve"> (sic)</w:t>
      </w:r>
    </w:p>
    <w:p w:rsidR="009D1131" w:rsidRPr="00FD6433" w:rsidRDefault="009D1131" w:rsidP="009D1131">
      <w:pPr>
        <w:pStyle w:val="Prrafodelista"/>
        <w:spacing w:line="240" w:lineRule="auto"/>
        <w:jc w:val="both"/>
        <w:rPr>
          <w:rFonts w:ascii="Arial" w:hAnsi="Arial" w:cs="Arial"/>
          <w:color w:val="4472C4" w:themeColor="accent1"/>
          <w:sz w:val="24"/>
          <w:szCs w:val="24"/>
        </w:rPr>
      </w:pPr>
    </w:p>
    <w:p w:rsidR="009D1131" w:rsidRDefault="009D1131" w:rsidP="009D1131">
      <w:pPr>
        <w:rPr>
          <w:rFonts w:ascii="Arial" w:hAnsi="Arial" w:cs="Arial"/>
          <w:color w:val="4472C4" w:themeColor="accent1"/>
          <w:sz w:val="24"/>
        </w:rPr>
      </w:pPr>
      <w:r>
        <w:rPr>
          <w:color w:val="4472C4" w:themeColor="accent1"/>
        </w:rPr>
        <w:tab/>
      </w:r>
      <w:r>
        <w:rPr>
          <w:rFonts w:ascii="Arial" w:hAnsi="Arial" w:cs="Arial"/>
          <w:color w:val="4472C4" w:themeColor="accent1"/>
          <w:sz w:val="24"/>
        </w:rPr>
        <w:t>Por ello, sirve identificar los agravios hechos por el particular de la siguiente manera:</w:t>
      </w:r>
    </w:p>
    <w:p w:rsidR="00453417" w:rsidRPr="00FD6433" w:rsidRDefault="00453417" w:rsidP="00453417">
      <w:pPr>
        <w:pStyle w:val="corte4fondo"/>
        <w:spacing w:line="240" w:lineRule="auto"/>
        <w:rPr>
          <w:rFonts w:cs="Arial"/>
          <w:i/>
          <w:color w:val="4472C4" w:themeColor="accent1"/>
          <w:sz w:val="24"/>
          <w:szCs w:val="24"/>
          <w:lang w:val="es-MX"/>
        </w:rPr>
      </w:pPr>
      <w:r w:rsidRPr="00FD6433">
        <w:rPr>
          <w:rFonts w:cs="Arial"/>
          <w:i/>
          <w:color w:val="4472C4" w:themeColor="accent1"/>
          <w:sz w:val="24"/>
          <w:szCs w:val="24"/>
          <w:lang w:val="es-MX"/>
        </w:rPr>
        <w:t>“</w:t>
      </w:r>
      <w:r w:rsidRPr="00453417">
        <w:rPr>
          <w:rFonts w:cs="Arial"/>
          <w:b/>
          <w:i/>
          <w:color w:val="4472C4" w:themeColor="accent1"/>
          <w:sz w:val="24"/>
          <w:szCs w:val="24"/>
          <w:lang w:val="es-MX"/>
        </w:rPr>
        <w:t>Información recibida incompleta</w:t>
      </w:r>
      <w:r>
        <w:rPr>
          <w:rFonts w:cs="Arial"/>
          <w:i/>
          <w:color w:val="4472C4" w:themeColor="accent1"/>
          <w:sz w:val="24"/>
          <w:szCs w:val="24"/>
          <w:lang w:val="es-MX"/>
        </w:rPr>
        <w:t xml:space="preserve">, </w:t>
      </w:r>
      <w:r w:rsidRPr="00453417">
        <w:rPr>
          <w:rFonts w:cs="Arial"/>
          <w:b/>
          <w:i/>
          <w:color w:val="4472C4" w:themeColor="accent1"/>
          <w:sz w:val="24"/>
          <w:szCs w:val="24"/>
          <w:lang w:val="es-MX"/>
        </w:rPr>
        <w:t>faltan los conceptos relacionados al mes de Enero 2022</w:t>
      </w:r>
      <w:r>
        <w:rPr>
          <w:rFonts w:cs="Arial"/>
          <w:i/>
          <w:color w:val="4472C4" w:themeColor="accent1"/>
          <w:sz w:val="24"/>
          <w:szCs w:val="24"/>
          <w:lang w:val="es-MX"/>
        </w:rPr>
        <w:t xml:space="preserve">, ver enseguida: 3) Ingresos recibidos por cualquier concepto por el  sujeto obligado mes de Enero 2022 Formato (LTAIPSLP84IVA) Egresos Enero 2022 (LTAIPSLP84IVB). </w:t>
      </w:r>
      <w:r w:rsidRPr="00FD6433">
        <w:rPr>
          <w:rFonts w:cs="Arial"/>
          <w:i/>
          <w:color w:val="4472C4" w:themeColor="accent1"/>
          <w:sz w:val="24"/>
          <w:szCs w:val="24"/>
          <w:lang w:val="es-MX"/>
        </w:rPr>
        <w:t xml:space="preserve">” sic </w:t>
      </w:r>
    </w:p>
    <w:p w:rsidR="009D1131" w:rsidRDefault="00453417" w:rsidP="00453417">
      <w:pPr>
        <w:spacing w:line="240" w:lineRule="auto"/>
        <w:jc w:val="both"/>
        <w:rPr>
          <w:rFonts w:ascii="Arial" w:hAnsi="Arial" w:cs="Arial"/>
          <w:i/>
          <w:color w:val="4472C4" w:themeColor="accent1"/>
          <w:sz w:val="24"/>
        </w:rPr>
      </w:pPr>
      <w:r>
        <w:rPr>
          <w:rFonts w:ascii="Arial" w:hAnsi="Arial" w:cs="Arial"/>
          <w:i/>
          <w:color w:val="4472C4" w:themeColor="accent1"/>
          <w:sz w:val="24"/>
        </w:rPr>
        <w:t xml:space="preserve"> </w:t>
      </w:r>
      <w:r w:rsidR="009D1131">
        <w:rPr>
          <w:rFonts w:ascii="Arial" w:hAnsi="Arial" w:cs="Arial"/>
          <w:i/>
          <w:color w:val="4472C4" w:themeColor="accent1"/>
          <w:sz w:val="24"/>
        </w:rPr>
        <w:t>[énfasis añadido]</w:t>
      </w:r>
    </w:p>
    <w:p w:rsidR="001D46B8" w:rsidRDefault="009D1131" w:rsidP="001D46B8">
      <w:pPr>
        <w:tabs>
          <w:tab w:val="left" w:pos="1649"/>
        </w:tabs>
        <w:spacing w:after="0" w:line="240" w:lineRule="auto"/>
        <w:ind w:firstLine="709"/>
        <w:jc w:val="both"/>
        <w:rPr>
          <w:rFonts w:ascii="Arial" w:eastAsia="Arial" w:hAnsi="Arial" w:cs="Arial"/>
          <w:color w:val="4472C4" w:themeColor="accent1"/>
          <w:sz w:val="24"/>
          <w:szCs w:val="24"/>
        </w:rPr>
      </w:pPr>
      <w:r w:rsidRPr="00FD6433">
        <w:rPr>
          <w:rFonts w:ascii="Arial" w:hAnsi="Arial" w:cs="Arial"/>
          <w:color w:val="4472C4" w:themeColor="accent1"/>
          <w:sz w:val="24"/>
        </w:rPr>
        <w:t>En ese orden</w:t>
      </w:r>
      <w:r w:rsidR="00453417">
        <w:rPr>
          <w:rFonts w:ascii="Arial" w:hAnsi="Arial" w:cs="Arial"/>
          <w:color w:val="4472C4" w:themeColor="accent1"/>
          <w:sz w:val="24"/>
        </w:rPr>
        <w:t xml:space="preserve">, </w:t>
      </w:r>
      <w:r>
        <w:rPr>
          <w:rFonts w:ascii="Arial" w:hAnsi="Arial" w:cs="Arial"/>
          <w:color w:val="4472C4" w:themeColor="accent1"/>
          <w:sz w:val="24"/>
        </w:rPr>
        <w:t xml:space="preserve">se observa que de manera tajante se limita a informar únicamente </w:t>
      </w:r>
      <w:r w:rsidR="00453417">
        <w:rPr>
          <w:rFonts w:ascii="Arial" w:hAnsi="Arial" w:cs="Arial"/>
          <w:color w:val="4472C4" w:themeColor="accent1"/>
          <w:sz w:val="24"/>
        </w:rPr>
        <w:t xml:space="preserve">los ingresos y egresos correspondientes a los meses de noviembre y diciembre 2021, </w:t>
      </w:r>
      <w:r w:rsidR="00453417">
        <w:rPr>
          <w:rFonts w:ascii="Arial" w:hAnsi="Arial" w:cs="Arial"/>
          <w:color w:val="4472C4" w:themeColor="accent1"/>
          <w:sz w:val="24"/>
        </w:rPr>
        <w:lastRenderedPageBreak/>
        <w:t>omitiendo información referente al mes de enero 2020</w:t>
      </w:r>
      <w:r w:rsidR="001D46B8">
        <w:rPr>
          <w:rFonts w:ascii="Arial" w:hAnsi="Arial" w:cs="Arial"/>
          <w:color w:val="4472C4" w:themeColor="accent1"/>
          <w:sz w:val="24"/>
        </w:rPr>
        <w:t xml:space="preserve">. </w:t>
      </w:r>
      <w:r w:rsidR="001D46B8" w:rsidRPr="1CA3504F">
        <w:rPr>
          <w:rFonts w:ascii="Arial" w:eastAsia="Arial" w:hAnsi="Arial" w:cs="Arial"/>
          <w:color w:val="4471C4"/>
          <w:sz w:val="24"/>
          <w:szCs w:val="24"/>
        </w:rPr>
        <w:t>En este orden de ideas que se tiene establecido, se estima que la respuesta del Sujeto Obligado emitió una respuesta alejada a los principios de congruencia y exhaustividad previstos en el artículo 165, fracción III del Código de Procesal Administrativo para el Estado de San Luis Potosí, de aplicación supletoria a la ley de la materia, que a la letra señala:</w:t>
      </w:r>
    </w:p>
    <w:p w:rsidR="001D46B8" w:rsidRDefault="001D46B8" w:rsidP="001D46B8">
      <w:pPr>
        <w:tabs>
          <w:tab w:val="left" w:pos="1649"/>
        </w:tabs>
        <w:spacing w:after="0" w:line="240" w:lineRule="auto"/>
        <w:ind w:firstLine="709"/>
        <w:jc w:val="both"/>
        <w:rPr>
          <w:rFonts w:ascii="Arial" w:eastAsia="Arial" w:hAnsi="Arial" w:cs="Arial"/>
          <w:color w:val="4472C4" w:themeColor="accent1"/>
          <w:sz w:val="24"/>
          <w:szCs w:val="24"/>
        </w:rPr>
      </w:pPr>
    </w:p>
    <w:p w:rsidR="001D46B8" w:rsidRPr="00F964F6" w:rsidRDefault="001D46B8" w:rsidP="001D46B8">
      <w:pPr>
        <w:tabs>
          <w:tab w:val="left" w:pos="1649"/>
        </w:tabs>
        <w:spacing w:after="0" w:line="240" w:lineRule="auto"/>
        <w:ind w:firstLine="709"/>
        <w:jc w:val="both"/>
        <w:rPr>
          <w:rFonts w:ascii="Arial" w:eastAsia="Arial" w:hAnsi="Arial" w:cs="Arial"/>
          <w:i/>
          <w:color w:val="4472C4" w:themeColor="accent1"/>
          <w:sz w:val="24"/>
          <w:szCs w:val="24"/>
        </w:rPr>
      </w:pPr>
      <w:r w:rsidRPr="00F964F6">
        <w:rPr>
          <w:rFonts w:ascii="Arial" w:eastAsia="Arial" w:hAnsi="Arial" w:cs="Arial"/>
          <w:i/>
          <w:color w:val="4472C4" w:themeColor="accent1"/>
          <w:sz w:val="24"/>
          <w:szCs w:val="24"/>
        </w:rPr>
        <w:t>“ARTÍCULO 165. Son requisitos del acto administrativo:</w:t>
      </w:r>
    </w:p>
    <w:p w:rsidR="001D46B8" w:rsidRPr="00F964F6" w:rsidRDefault="001D46B8" w:rsidP="001D46B8">
      <w:pPr>
        <w:tabs>
          <w:tab w:val="left" w:pos="1649"/>
        </w:tabs>
        <w:spacing w:after="0" w:line="240" w:lineRule="auto"/>
        <w:ind w:firstLine="709"/>
        <w:jc w:val="both"/>
        <w:rPr>
          <w:rFonts w:ascii="Arial" w:eastAsia="Arial" w:hAnsi="Arial" w:cs="Arial"/>
          <w:i/>
          <w:color w:val="4472C4" w:themeColor="accent1"/>
          <w:sz w:val="24"/>
          <w:szCs w:val="24"/>
        </w:rPr>
      </w:pPr>
      <w:r w:rsidRPr="00F964F6">
        <w:rPr>
          <w:rFonts w:ascii="Arial" w:eastAsia="Arial" w:hAnsi="Arial" w:cs="Arial"/>
          <w:i/>
          <w:color w:val="4472C4" w:themeColor="accent1"/>
          <w:sz w:val="24"/>
          <w:szCs w:val="24"/>
        </w:rPr>
        <w:t>(…)</w:t>
      </w:r>
    </w:p>
    <w:p w:rsidR="001D46B8" w:rsidRPr="00F964F6" w:rsidRDefault="001D46B8" w:rsidP="001D46B8">
      <w:pPr>
        <w:tabs>
          <w:tab w:val="left" w:pos="1649"/>
        </w:tabs>
        <w:spacing w:after="0" w:line="240" w:lineRule="auto"/>
        <w:ind w:firstLine="709"/>
        <w:jc w:val="both"/>
        <w:rPr>
          <w:rFonts w:ascii="Arial" w:eastAsia="Arial" w:hAnsi="Arial" w:cs="Arial"/>
          <w:i/>
          <w:color w:val="4472C4" w:themeColor="accent1"/>
          <w:sz w:val="24"/>
          <w:szCs w:val="24"/>
        </w:rPr>
      </w:pPr>
      <w:r w:rsidRPr="00F964F6">
        <w:rPr>
          <w:rFonts w:ascii="Arial" w:eastAsia="Arial" w:hAnsi="Arial" w:cs="Arial"/>
          <w:i/>
          <w:color w:val="4472C4" w:themeColor="accent1"/>
          <w:sz w:val="24"/>
          <w:szCs w:val="24"/>
        </w:rPr>
        <w:t>III. Que se expida de manera congruente con lo solicitado y resolver expresamente todos los puntos propuestos por el interesado o previstos por las normas.”</w:t>
      </w:r>
    </w:p>
    <w:p w:rsidR="001D46B8" w:rsidRPr="00F964F6" w:rsidRDefault="001D46B8" w:rsidP="001D46B8">
      <w:pPr>
        <w:tabs>
          <w:tab w:val="left" w:pos="1649"/>
        </w:tabs>
        <w:spacing w:after="0" w:line="240" w:lineRule="auto"/>
        <w:ind w:firstLine="709"/>
        <w:jc w:val="both"/>
        <w:rPr>
          <w:rFonts w:ascii="Arial" w:eastAsia="Arial" w:hAnsi="Arial" w:cs="Arial"/>
          <w:i/>
          <w:color w:val="4472C4" w:themeColor="accent1"/>
          <w:sz w:val="24"/>
          <w:szCs w:val="24"/>
        </w:rPr>
      </w:pPr>
      <w:r w:rsidRPr="00F964F6">
        <w:rPr>
          <w:rFonts w:ascii="Arial" w:eastAsia="Arial" w:hAnsi="Arial" w:cs="Arial"/>
          <w:i/>
          <w:color w:val="4472C4" w:themeColor="accent1"/>
          <w:sz w:val="24"/>
          <w:szCs w:val="24"/>
        </w:rPr>
        <w:t>(…)”.sic</w:t>
      </w:r>
    </w:p>
    <w:p w:rsidR="001D46B8" w:rsidRDefault="001D46B8" w:rsidP="001D46B8">
      <w:pPr>
        <w:tabs>
          <w:tab w:val="left" w:pos="1649"/>
        </w:tabs>
        <w:spacing w:after="0" w:line="240" w:lineRule="auto"/>
        <w:ind w:firstLine="709"/>
        <w:jc w:val="both"/>
        <w:rPr>
          <w:rFonts w:ascii="Arial" w:eastAsia="Arial" w:hAnsi="Arial" w:cs="Arial"/>
          <w:color w:val="4472C4" w:themeColor="accent1"/>
          <w:sz w:val="24"/>
          <w:szCs w:val="24"/>
        </w:rPr>
      </w:pPr>
    </w:p>
    <w:p w:rsidR="001D46B8" w:rsidRDefault="001D46B8" w:rsidP="001D46B8">
      <w:pPr>
        <w:tabs>
          <w:tab w:val="left" w:pos="1649"/>
        </w:tabs>
        <w:spacing w:after="0" w:line="240" w:lineRule="auto"/>
        <w:ind w:firstLine="709"/>
        <w:jc w:val="both"/>
        <w:rPr>
          <w:rFonts w:ascii="Arial" w:eastAsia="Arial" w:hAnsi="Arial" w:cs="Arial"/>
          <w:color w:val="4472C4" w:themeColor="accent1"/>
          <w:sz w:val="24"/>
          <w:szCs w:val="24"/>
        </w:rPr>
      </w:pPr>
      <w:r w:rsidRPr="02269AD2">
        <w:rPr>
          <w:rFonts w:ascii="Arial" w:eastAsia="Arial" w:hAnsi="Arial" w:cs="Arial"/>
          <w:color w:val="4472C4" w:themeColor="accent1"/>
          <w:sz w:val="24"/>
          <w:szCs w:val="24"/>
        </w:rPr>
        <w:t>De acuerdo con el artículo transcrito, son considerados válidos los actos que reúnan, entre otros elementos, los principios de congruencia y exhaustividad, entendiendo por lo primero que las consideraciones vertidas en la respuesta sean armónicas entre sí, no se contradigan, y guarden concordancia entre lo solicitado y la respuesta; y por lo segundo, que se pronuncie expresamente sobre cada punto.</w:t>
      </w:r>
    </w:p>
    <w:p w:rsidR="001D46B8" w:rsidRDefault="001D46B8" w:rsidP="001D46B8">
      <w:pPr>
        <w:tabs>
          <w:tab w:val="left" w:pos="1649"/>
        </w:tabs>
        <w:spacing w:after="0" w:line="240" w:lineRule="auto"/>
        <w:ind w:firstLine="709"/>
        <w:jc w:val="both"/>
        <w:rPr>
          <w:rFonts w:ascii="Arial" w:eastAsia="Arial" w:hAnsi="Arial" w:cs="Arial"/>
          <w:color w:val="4472C4" w:themeColor="accent1"/>
          <w:sz w:val="24"/>
          <w:szCs w:val="24"/>
        </w:rPr>
      </w:pPr>
    </w:p>
    <w:p w:rsidR="001D46B8" w:rsidRDefault="001D46B8" w:rsidP="001D46B8">
      <w:pPr>
        <w:tabs>
          <w:tab w:val="left" w:pos="1649"/>
        </w:tabs>
        <w:spacing w:after="0" w:line="240" w:lineRule="auto"/>
        <w:ind w:firstLine="709"/>
        <w:jc w:val="both"/>
        <w:rPr>
          <w:rFonts w:ascii="Arial" w:eastAsia="Arial" w:hAnsi="Arial" w:cs="Arial"/>
          <w:color w:val="4472C4" w:themeColor="accent1"/>
          <w:sz w:val="24"/>
          <w:szCs w:val="24"/>
        </w:rPr>
      </w:pPr>
      <w:r w:rsidRPr="02269AD2">
        <w:rPr>
          <w:rFonts w:ascii="Arial" w:eastAsia="Arial" w:hAnsi="Arial" w:cs="Arial"/>
          <w:color w:val="4472C4" w:themeColor="accent1"/>
          <w:sz w:val="24"/>
          <w:szCs w:val="24"/>
        </w:rPr>
        <w:t>Además, cabe señalar que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Sirve de apoyo a lo anterior, el criterio 02/17 emitido por el Pleno del Instituto Nacional de Transparencia, Acceso a la Información y Protección de Datos Personales (INAI), que a la letra señala lo siguiente:</w:t>
      </w:r>
    </w:p>
    <w:p w:rsidR="001D46B8" w:rsidRDefault="001D46B8" w:rsidP="001D46B8">
      <w:pPr>
        <w:tabs>
          <w:tab w:val="left" w:pos="1649"/>
        </w:tabs>
        <w:spacing w:after="0" w:line="240" w:lineRule="auto"/>
        <w:ind w:firstLine="709"/>
        <w:jc w:val="both"/>
        <w:rPr>
          <w:rFonts w:ascii="Arial" w:eastAsia="Arial" w:hAnsi="Arial" w:cs="Arial"/>
          <w:i/>
          <w:iCs/>
          <w:color w:val="4472C4" w:themeColor="accent1"/>
          <w:sz w:val="24"/>
          <w:szCs w:val="24"/>
        </w:rPr>
      </w:pPr>
    </w:p>
    <w:p w:rsidR="001D46B8" w:rsidRDefault="001D46B8" w:rsidP="001D46B8">
      <w:pPr>
        <w:tabs>
          <w:tab w:val="left" w:pos="1649"/>
        </w:tabs>
        <w:spacing w:after="0" w:line="240" w:lineRule="auto"/>
        <w:ind w:firstLine="709"/>
        <w:jc w:val="both"/>
        <w:rPr>
          <w:rFonts w:ascii="Arial" w:eastAsia="Arial" w:hAnsi="Arial" w:cs="Arial"/>
          <w:i/>
          <w:iCs/>
          <w:color w:val="4472C4" w:themeColor="accent1"/>
          <w:sz w:val="24"/>
          <w:szCs w:val="24"/>
        </w:rPr>
      </w:pPr>
      <w:r w:rsidRPr="02269AD2">
        <w:rPr>
          <w:rFonts w:ascii="Arial" w:eastAsia="Arial" w:hAnsi="Arial" w:cs="Arial"/>
          <w:b/>
          <w:bCs/>
          <w:i/>
          <w:iCs/>
          <w:color w:val="4472C4" w:themeColor="accent1"/>
          <w:sz w:val="24"/>
          <w:szCs w:val="24"/>
        </w:rPr>
        <w:t>“Congruencia y exhaustividad. Sus alcances para garantizar el derecho de acceso a la información</w:t>
      </w:r>
      <w:r w:rsidRPr="02269AD2">
        <w:rPr>
          <w:rFonts w:ascii="Arial" w:eastAsia="Arial" w:hAnsi="Arial" w:cs="Arial"/>
          <w:i/>
          <w:iCs/>
          <w:color w:val="4472C4" w:themeColor="accent1"/>
          <w:sz w:val="24"/>
          <w:szCs w:val="24"/>
        </w:rPr>
        <w:t>.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w:t>
      </w:r>
    </w:p>
    <w:p w:rsidR="001D46B8" w:rsidRDefault="001D46B8" w:rsidP="001D46B8">
      <w:pPr>
        <w:tabs>
          <w:tab w:val="left" w:pos="1649"/>
        </w:tabs>
        <w:spacing w:after="0" w:line="240" w:lineRule="auto"/>
        <w:ind w:firstLine="709"/>
        <w:jc w:val="both"/>
        <w:rPr>
          <w:rFonts w:ascii="Arial" w:eastAsia="Arial" w:hAnsi="Arial" w:cs="Arial"/>
          <w:i/>
          <w:iCs/>
          <w:color w:val="4472C4" w:themeColor="accent1"/>
          <w:sz w:val="24"/>
          <w:szCs w:val="24"/>
        </w:rPr>
      </w:pPr>
    </w:p>
    <w:p w:rsidR="00453417" w:rsidRDefault="001D46B8" w:rsidP="00453417">
      <w:pPr>
        <w:spacing w:line="240" w:lineRule="auto"/>
        <w:jc w:val="both"/>
        <w:rPr>
          <w:rFonts w:ascii="Arial" w:hAnsi="Arial" w:cs="Arial"/>
          <w:color w:val="4472C4" w:themeColor="accent1"/>
          <w:sz w:val="24"/>
        </w:rPr>
      </w:pPr>
      <w:r>
        <w:rPr>
          <w:rFonts w:ascii="Arial" w:hAnsi="Arial" w:cs="Arial"/>
          <w:color w:val="4472C4" w:themeColor="accent1"/>
          <w:sz w:val="24"/>
        </w:rPr>
        <w:tab/>
        <w:t>Resulta importante señalar,</w:t>
      </w:r>
      <w:r w:rsidR="00453417">
        <w:rPr>
          <w:rFonts w:ascii="Arial" w:hAnsi="Arial" w:cs="Arial"/>
          <w:color w:val="4472C4" w:themeColor="accent1"/>
          <w:sz w:val="24"/>
        </w:rPr>
        <w:t xml:space="preserve"> que </w:t>
      </w:r>
      <w:r>
        <w:rPr>
          <w:rFonts w:ascii="Arial" w:hAnsi="Arial" w:cs="Arial"/>
          <w:color w:val="4472C4" w:themeColor="accent1"/>
          <w:sz w:val="24"/>
        </w:rPr>
        <w:t>la información solicitada tiene naturaleza pública y oficiosa</w:t>
      </w:r>
      <w:r w:rsidR="00453417">
        <w:rPr>
          <w:rFonts w:ascii="Arial" w:hAnsi="Arial" w:cs="Arial"/>
          <w:color w:val="4472C4" w:themeColor="accent1"/>
          <w:sz w:val="24"/>
        </w:rPr>
        <w:t xml:space="preserve">, de conformidad con el </w:t>
      </w:r>
      <w:r w:rsidR="00E957A2">
        <w:rPr>
          <w:rFonts w:ascii="Arial" w:hAnsi="Arial" w:cs="Arial"/>
          <w:color w:val="4472C4" w:themeColor="accent1"/>
          <w:sz w:val="24"/>
        </w:rPr>
        <w:t>artículo</w:t>
      </w:r>
      <w:r w:rsidR="00453417">
        <w:rPr>
          <w:rFonts w:ascii="Arial" w:hAnsi="Arial" w:cs="Arial"/>
          <w:color w:val="4472C4" w:themeColor="accent1"/>
          <w:sz w:val="24"/>
        </w:rPr>
        <w:t xml:space="preserve"> 84 fracción</w:t>
      </w:r>
      <w:r w:rsidR="00E957A2">
        <w:rPr>
          <w:rFonts w:ascii="Arial" w:hAnsi="Arial" w:cs="Arial"/>
          <w:color w:val="4472C4" w:themeColor="accent1"/>
          <w:sz w:val="24"/>
        </w:rPr>
        <w:t xml:space="preserve"> IV</w:t>
      </w:r>
      <w:r>
        <w:rPr>
          <w:rFonts w:ascii="Arial" w:hAnsi="Arial" w:cs="Arial"/>
          <w:color w:val="4472C4" w:themeColor="accent1"/>
          <w:sz w:val="24"/>
        </w:rPr>
        <w:t xml:space="preserve"> de la Ley de Transparencia</w:t>
      </w:r>
      <w:r w:rsidR="00E957A2">
        <w:rPr>
          <w:rFonts w:ascii="Arial" w:hAnsi="Arial" w:cs="Arial"/>
          <w:color w:val="4472C4" w:themeColor="accent1"/>
          <w:sz w:val="24"/>
        </w:rPr>
        <w:t>, que refiere ser información publica lo referente a los ingresos y egresos del sujeto obligado.</w:t>
      </w:r>
    </w:p>
    <w:p w:rsidR="009D1131" w:rsidRPr="00E957A2" w:rsidRDefault="00E957A2" w:rsidP="00453417">
      <w:pPr>
        <w:spacing w:line="240" w:lineRule="auto"/>
        <w:jc w:val="both"/>
        <w:rPr>
          <w:rFonts w:ascii="Arial" w:hAnsi="Arial" w:cs="Arial"/>
          <w:color w:val="4472C4" w:themeColor="accent1"/>
          <w:sz w:val="24"/>
          <w:szCs w:val="24"/>
        </w:rPr>
      </w:pPr>
      <w:r>
        <w:rPr>
          <w:rFonts w:cs="Arial"/>
          <w:color w:val="4472C4" w:themeColor="accent1"/>
          <w:sz w:val="24"/>
          <w:szCs w:val="24"/>
        </w:rPr>
        <w:tab/>
      </w:r>
      <w:r w:rsidR="009D1131" w:rsidRPr="00E957A2">
        <w:rPr>
          <w:rFonts w:ascii="Arial" w:hAnsi="Arial" w:cs="Arial"/>
          <w:color w:val="4472C4" w:themeColor="accent1"/>
          <w:sz w:val="24"/>
          <w:szCs w:val="24"/>
        </w:rPr>
        <w:t xml:space="preserve">Asimismo, el Lineamiento </w:t>
      </w:r>
      <w:r>
        <w:rPr>
          <w:rFonts w:ascii="Arial" w:hAnsi="Arial" w:cs="Arial"/>
          <w:color w:val="4472C4" w:themeColor="accent1"/>
          <w:sz w:val="24"/>
          <w:szCs w:val="24"/>
        </w:rPr>
        <w:t>Décimo Noveno</w:t>
      </w:r>
      <w:r w:rsidR="009D1131" w:rsidRPr="00E957A2">
        <w:rPr>
          <w:rFonts w:ascii="Arial" w:hAnsi="Arial" w:cs="Arial"/>
          <w:color w:val="4472C4" w:themeColor="accent1"/>
          <w:sz w:val="24"/>
          <w:szCs w:val="24"/>
        </w:rPr>
        <w:t xml:space="preserve"> </w:t>
      </w:r>
      <w:r w:rsidR="009D1131" w:rsidRPr="00E957A2">
        <w:rPr>
          <w:rFonts w:ascii="Arial" w:hAnsi="Arial" w:cs="Arial"/>
          <w:color w:val="4472C4" w:themeColor="accent1"/>
          <w:sz w:val="24"/>
          <w:szCs w:val="24"/>
          <w:lang w:val="es-ES"/>
        </w:rPr>
        <w:t xml:space="preserve">de los </w:t>
      </w:r>
      <w:r w:rsidR="009D1131" w:rsidRPr="00E957A2">
        <w:rPr>
          <w:rFonts w:ascii="Arial" w:hAnsi="Arial" w:cs="Arial"/>
          <w:b/>
          <w:color w:val="4472C4" w:themeColor="accent1"/>
          <w:sz w:val="24"/>
          <w:szCs w:val="24"/>
          <w:lang w:val="es-ES"/>
        </w:rPr>
        <w:t xml:space="preserve">Lineamientos para la difusión, disposición y evaluación de las obligaciones de transparencia comunes y específicas de los sujetos obligados del Estado y Municipios de San Luis Potosí, </w:t>
      </w:r>
      <w:r w:rsidR="009D1131" w:rsidRPr="00E957A2">
        <w:rPr>
          <w:rFonts w:ascii="Arial" w:hAnsi="Arial" w:cs="Arial"/>
          <w:color w:val="4472C4" w:themeColor="accent1"/>
          <w:sz w:val="24"/>
          <w:szCs w:val="24"/>
        </w:rPr>
        <w:t xml:space="preserve">se deberá incluir la información sobre </w:t>
      </w:r>
      <w:r>
        <w:rPr>
          <w:rFonts w:ascii="Arial" w:hAnsi="Arial" w:cs="Arial"/>
          <w:b/>
          <w:bCs/>
          <w:color w:val="4472C4" w:themeColor="accent1"/>
          <w:sz w:val="24"/>
          <w:szCs w:val="24"/>
        </w:rPr>
        <w:t>los movimientos de ingresos y egresos</w:t>
      </w:r>
      <w:r w:rsidR="009D1131" w:rsidRPr="00E957A2">
        <w:rPr>
          <w:rFonts w:ascii="Arial" w:hAnsi="Arial" w:cs="Arial"/>
          <w:b/>
          <w:bCs/>
          <w:color w:val="4472C4" w:themeColor="accent1"/>
          <w:sz w:val="24"/>
          <w:szCs w:val="24"/>
        </w:rPr>
        <w:t xml:space="preserve"> </w:t>
      </w:r>
      <w:r w:rsidR="009D1131" w:rsidRPr="00E957A2">
        <w:rPr>
          <w:rFonts w:ascii="Arial" w:hAnsi="Arial" w:cs="Arial"/>
          <w:color w:val="4472C4" w:themeColor="accent1"/>
          <w:sz w:val="24"/>
          <w:szCs w:val="24"/>
        </w:rPr>
        <w:t>de cualquier naturaleza, incluyendo la versión pública del expediente respectivo y de los contratos celebrados, que deberá contener, por lo menos, lo siguiente:</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Pr>
          <w:rFonts w:cs="Arial"/>
          <w:i/>
          <w:color w:val="4472C4" w:themeColor="accent1"/>
          <w:sz w:val="24"/>
          <w:szCs w:val="24"/>
        </w:rPr>
        <w:tab/>
      </w:r>
      <w:r w:rsidR="009D1131" w:rsidRPr="00E957A2">
        <w:rPr>
          <w:rFonts w:ascii="Arial" w:hAnsi="Arial" w:cs="Arial"/>
          <w:i/>
          <w:color w:val="4472C4" w:themeColor="accent1"/>
          <w:sz w:val="24"/>
          <w:szCs w:val="24"/>
        </w:rPr>
        <w:t>“</w:t>
      </w:r>
      <w:r w:rsidRPr="00E957A2">
        <w:rPr>
          <w:rFonts w:ascii="Arial" w:eastAsiaTheme="minorHAnsi" w:hAnsi="Arial" w:cs="Arial"/>
          <w:b/>
          <w:bCs/>
          <w:i/>
          <w:color w:val="4472C4" w:themeColor="accent1"/>
          <w:sz w:val="24"/>
          <w:szCs w:val="24"/>
        </w:rPr>
        <w:t xml:space="preserve">DÉCIMO NOVENO. </w:t>
      </w:r>
      <w:r w:rsidRPr="00E957A2">
        <w:rPr>
          <w:rFonts w:ascii="Arial" w:eastAsiaTheme="minorHAnsi" w:hAnsi="Arial" w:cs="Arial"/>
          <w:i/>
          <w:color w:val="4472C4" w:themeColor="accent1"/>
          <w:sz w:val="24"/>
          <w:szCs w:val="24"/>
        </w:rPr>
        <w:t>Para efectos de lo dispuesto en la fracción IV del artículo 84 de la Ley de Transparencia y Acceso a la</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i/>
          <w:color w:val="4472C4" w:themeColor="accent1"/>
          <w:sz w:val="24"/>
          <w:szCs w:val="24"/>
        </w:rPr>
        <w:lastRenderedPageBreak/>
        <w:t>Información Pública del Estado y en relación con el artículo 70 fracción XLIII de la Ley General, cada sujeto obligado deberá</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i/>
          <w:color w:val="4472C4" w:themeColor="accent1"/>
          <w:sz w:val="24"/>
          <w:szCs w:val="24"/>
        </w:rPr>
        <w:t xml:space="preserve">publicar </w:t>
      </w:r>
      <w:r w:rsidRPr="00E957A2">
        <w:rPr>
          <w:rFonts w:ascii="Arial" w:eastAsiaTheme="minorHAnsi" w:hAnsi="Arial" w:cs="Arial"/>
          <w:b/>
          <w:bCs/>
          <w:i/>
          <w:color w:val="4472C4" w:themeColor="accent1"/>
          <w:sz w:val="24"/>
          <w:szCs w:val="24"/>
        </w:rPr>
        <w:t>la información de los movimientos de ingresos y egresos</w:t>
      </w:r>
      <w:r w:rsidRPr="00E957A2">
        <w:rPr>
          <w:rFonts w:ascii="Arial" w:eastAsiaTheme="minorHAnsi" w:hAnsi="Arial" w:cs="Arial"/>
          <w:i/>
          <w:color w:val="4472C4" w:themeColor="accent1"/>
          <w:sz w:val="24"/>
          <w:szCs w:val="24"/>
        </w:rPr>
        <w:t>, que deberá contener en el caso de egresos:</w:t>
      </w:r>
    </w:p>
    <w:p w:rsidR="00E957A2" w:rsidRPr="00E957A2" w:rsidRDefault="00E957A2" w:rsidP="00E957A2">
      <w:pPr>
        <w:autoSpaceDE w:val="0"/>
        <w:autoSpaceDN w:val="0"/>
        <w:adjustRightInd w:val="0"/>
        <w:spacing w:after="0" w:line="240" w:lineRule="auto"/>
        <w:rPr>
          <w:rFonts w:ascii="Arial" w:eastAsiaTheme="minorHAnsi" w:hAnsi="Arial" w:cs="Arial"/>
          <w:b/>
          <w:bCs/>
          <w:i/>
          <w:color w:val="4472C4" w:themeColor="accent1"/>
          <w:sz w:val="24"/>
          <w:szCs w:val="24"/>
        </w:rPr>
      </w:pPr>
      <w:r w:rsidRPr="00E957A2">
        <w:rPr>
          <w:rFonts w:ascii="Arial" w:eastAsiaTheme="minorHAnsi" w:hAnsi="Arial" w:cs="Arial"/>
          <w:b/>
          <w:bCs/>
          <w:i/>
          <w:color w:val="4472C4" w:themeColor="accent1"/>
          <w:sz w:val="24"/>
          <w:szCs w:val="24"/>
        </w:rPr>
        <w:t>a. Ingresos recibidos:</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a.1) </w:t>
      </w:r>
      <w:r w:rsidRPr="00E957A2">
        <w:rPr>
          <w:rFonts w:ascii="Arial" w:eastAsiaTheme="minorHAnsi" w:hAnsi="Arial" w:cs="Arial"/>
          <w:i/>
          <w:color w:val="4472C4" w:themeColor="accent1"/>
          <w:sz w:val="24"/>
          <w:szCs w:val="24"/>
        </w:rPr>
        <w:t>Ejercicio.</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a.2) </w:t>
      </w:r>
      <w:r w:rsidRPr="00E957A2">
        <w:rPr>
          <w:rFonts w:ascii="Arial" w:eastAsiaTheme="minorHAnsi" w:hAnsi="Arial" w:cs="Arial"/>
          <w:i/>
          <w:color w:val="4472C4" w:themeColor="accent1"/>
          <w:sz w:val="24"/>
          <w:szCs w:val="24"/>
        </w:rPr>
        <w:t>Fecha de inicio del periodo que se informa (día/mes/año).</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a.3) </w:t>
      </w:r>
      <w:r w:rsidRPr="00E957A2">
        <w:rPr>
          <w:rFonts w:ascii="Arial" w:eastAsiaTheme="minorHAnsi" w:hAnsi="Arial" w:cs="Arial"/>
          <w:i/>
          <w:color w:val="4472C4" w:themeColor="accent1"/>
          <w:sz w:val="24"/>
          <w:szCs w:val="24"/>
        </w:rPr>
        <w:t>Fecha de término del periodo que se informa (día/mes/año).</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a.4) </w:t>
      </w:r>
      <w:r w:rsidRPr="00E957A2">
        <w:rPr>
          <w:rFonts w:ascii="Arial" w:eastAsiaTheme="minorHAnsi" w:hAnsi="Arial" w:cs="Arial"/>
          <w:i/>
          <w:color w:val="4472C4" w:themeColor="accent1"/>
          <w:sz w:val="24"/>
          <w:szCs w:val="24"/>
        </w:rPr>
        <w:t>Rubro de los ingresos.</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a.5) </w:t>
      </w:r>
      <w:r w:rsidRPr="00E957A2">
        <w:rPr>
          <w:rFonts w:ascii="Arial" w:eastAsiaTheme="minorHAnsi" w:hAnsi="Arial" w:cs="Arial"/>
          <w:i/>
          <w:color w:val="4472C4" w:themeColor="accent1"/>
          <w:sz w:val="24"/>
          <w:szCs w:val="24"/>
        </w:rPr>
        <w:t>Tipo de los ingresos.</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a.6) </w:t>
      </w:r>
      <w:r w:rsidRPr="00E957A2">
        <w:rPr>
          <w:rFonts w:ascii="Arial" w:eastAsiaTheme="minorHAnsi" w:hAnsi="Arial" w:cs="Arial"/>
          <w:i/>
          <w:color w:val="4472C4" w:themeColor="accent1"/>
          <w:sz w:val="24"/>
          <w:szCs w:val="24"/>
        </w:rPr>
        <w:t>Monto de los ingresos.</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a.7) </w:t>
      </w:r>
      <w:r w:rsidRPr="00E957A2">
        <w:rPr>
          <w:rFonts w:ascii="Arial" w:eastAsiaTheme="minorHAnsi" w:hAnsi="Arial" w:cs="Arial"/>
          <w:i/>
          <w:color w:val="4472C4" w:themeColor="accent1"/>
          <w:sz w:val="24"/>
          <w:szCs w:val="24"/>
        </w:rPr>
        <w:t>Fuente de los ingresos.</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a.8) </w:t>
      </w:r>
      <w:r w:rsidRPr="00E957A2">
        <w:rPr>
          <w:rFonts w:ascii="Arial" w:eastAsiaTheme="minorHAnsi" w:hAnsi="Arial" w:cs="Arial"/>
          <w:i/>
          <w:color w:val="4472C4" w:themeColor="accent1"/>
          <w:sz w:val="24"/>
          <w:szCs w:val="24"/>
        </w:rPr>
        <w:t>Denominación de la entidad o dependencia que entregó los ingresos.</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a.9) </w:t>
      </w:r>
      <w:r w:rsidRPr="00E957A2">
        <w:rPr>
          <w:rFonts w:ascii="Arial" w:eastAsiaTheme="minorHAnsi" w:hAnsi="Arial" w:cs="Arial"/>
          <w:i/>
          <w:color w:val="4472C4" w:themeColor="accent1"/>
          <w:sz w:val="24"/>
          <w:szCs w:val="24"/>
        </w:rPr>
        <w:t>Fecha de los ingresos recibidos.</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a.10) </w:t>
      </w:r>
      <w:r w:rsidRPr="00E957A2">
        <w:rPr>
          <w:rFonts w:ascii="Arial" w:eastAsiaTheme="minorHAnsi" w:hAnsi="Arial" w:cs="Arial"/>
          <w:i/>
          <w:color w:val="4472C4" w:themeColor="accent1"/>
          <w:sz w:val="24"/>
          <w:szCs w:val="24"/>
        </w:rPr>
        <w:t>Hipervínculo a los informes de destino de los ingresos recibidos (informes de avance trimestral).</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a.11) </w:t>
      </w:r>
      <w:r w:rsidRPr="00E957A2">
        <w:rPr>
          <w:rFonts w:ascii="Arial" w:eastAsiaTheme="minorHAnsi" w:hAnsi="Arial" w:cs="Arial"/>
          <w:i/>
          <w:color w:val="4472C4" w:themeColor="accent1"/>
          <w:sz w:val="24"/>
          <w:szCs w:val="24"/>
        </w:rPr>
        <w:t>Número de entero.</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a.12) </w:t>
      </w:r>
      <w:r w:rsidRPr="00E957A2">
        <w:rPr>
          <w:rFonts w:ascii="Arial" w:eastAsiaTheme="minorHAnsi" w:hAnsi="Arial" w:cs="Arial"/>
          <w:i/>
          <w:color w:val="4472C4" w:themeColor="accent1"/>
          <w:sz w:val="24"/>
          <w:szCs w:val="24"/>
        </w:rPr>
        <w:t>Concepto.</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a.13) </w:t>
      </w:r>
      <w:r w:rsidRPr="00E957A2">
        <w:rPr>
          <w:rFonts w:ascii="Arial" w:eastAsiaTheme="minorHAnsi" w:hAnsi="Arial" w:cs="Arial"/>
          <w:i/>
          <w:color w:val="4472C4" w:themeColor="accent1"/>
          <w:sz w:val="24"/>
          <w:szCs w:val="24"/>
        </w:rPr>
        <w:t>Contribuyente (persona física/ persona moral).</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a.14) </w:t>
      </w:r>
      <w:r w:rsidRPr="00E957A2">
        <w:rPr>
          <w:rFonts w:ascii="Arial" w:eastAsiaTheme="minorHAnsi" w:hAnsi="Arial" w:cs="Arial"/>
          <w:i/>
          <w:color w:val="4472C4" w:themeColor="accent1"/>
          <w:sz w:val="24"/>
          <w:szCs w:val="24"/>
        </w:rPr>
        <w:t>Área(s) Responsable(s) que genera(n), posee(n), publica(n) y actualiza(n) la información.</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a.15) </w:t>
      </w:r>
      <w:r w:rsidRPr="00E957A2">
        <w:rPr>
          <w:rFonts w:ascii="Arial" w:eastAsiaTheme="minorHAnsi" w:hAnsi="Arial" w:cs="Arial"/>
          <w:i/>
          <w:color w:val="4472C4" w:themeColor="accent1"/>
          <w:sz w:val="24"/>
          <w:szCs w:val="24"/>
        </w:rPr>
        <w:t>Fecha de Validación (día/mes/año).</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a.16) </w:t>
      </w:r>
      <w:r w:rsidRPr="00E957A2">
        <w:rPr>
          <w:rFonts w:ascii="Arial" w:eastAsiaTheme="minorHAnsi" w:hAnsi="Arial" w:cs="Arial"/>
          <w:i/>
          <w:color w:val="4472C4" w:themeColor="accent1"/>
          <w:sz w:val="24"/>
          <w:szCs w:val="24"/>
        </w:rPr>
        <w:t>Fecha de Actualización (día/mes/año).</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a.17) </w:t>
      </w:r>
      <w:r w:rsidRPr="00E957A2">
        <w:rPr>
          <w:rFonts w:ascii="Arial" w:eastAsiaTheme="minorHAnsi" w:hAnsi="Arial" w:cs="Arial"/>
          <w:i/>
          <w:color w:val="4472C4" w:themeColor="accent1"/>
          <w:sz w:val="24"/>
          <w:szCs w:val="24"/>
        </w:rPr>
        <w:t>Nota.</w:t>
      </w:r>
      <w:r w:rsidRPr="00E957A2">
        <w:rPr>
          <w:rFonts w:ascii="Arial" w:hAnsi="Arial" w:cs="Arial"/>
          <w:i/>
          <w:color w:val="4472C4" w:themeColor="accent1"/>
          <w:sz w:val="24"/>
          <w:szCs w:val="24"/>
        </w:rPr>
        <w:t xml:space="preserve"> </w:t>
      </w:r>
    </w:p>
    <w:p w:rsidR="00E957A2" w:rsidRPr="00E957A2" w:rsidRDefault="00E957A2" w:rsidP="00E957A2">
      <w:pPr>
        <w:autoSpaceDE w:val="0"/>
        <w:autoSpaceDN w:val="0"/>
        <w:adjustRightInd w:val="0"/>
        <w:spacing w:after="0" w:line="240" w:lineRule="auto"/>
        <w:rPr>
          <w:rFonts w:ascii="Arial" w:eastAsiaTheme="minorHAnsi" w:hAnsi="Arial" w:cs="Arial"/>
          <w:b/>
          <w:bCs/>
          <w:i/>
          <w:color w:val="4472C4" w:themeColor="accent1"/>
          <w:sz w:val="24"/>
          <w:szCs w:val="24"/>
        </w:rPr>
      </w:pPr>
      <w:r w:rsidRPr="00E957A2">
        <w:rPr>
          <w:rFonts w:ascii="Arial" w:eastAsiaTheme="minorHAnsi" w:hAnsi="Arial" w:cs="Arial"/>
          <w:b/>
          <w:bCs/>
          <w:i/>
          <w:color w:val="4472C4" w:themeColor="accent1"/>
          <w:sz w:val="24"/>
          <w:szCs w:val="24"/>
        </w:rPr>
        <w:t>b. Egresos:</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b.1) </w:t>
      </w:r>
      <w:r w:rsidRPr="00E957A2">
        <w:rPr>
          <w:rFonts w:ascii="Arial" w:eastAsiaTheme="minorHAnsi" w:hAnsi="Arial" w:cs="Arial"/>
          <w:i/>
          <w:color w:val="4472C4" w:themeColor="accent1"/>
          <w:sz w:val="24"/>
          <w:szCs w:val="24"/>
        </w:rPr>
        <w:t>Ejercicio.</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b.2) </w:t>
      </w:r>
      <w:r w:rsidRPr="00E957A2">
        <w:rPr>
          <w:rFonts w:ascii="Arial" w:eastAsiaTheme="minorHAnsi" w:hAnsi="Arial" w:cs="Arial"/>
          <w:i/>
          <w:color w:val="4472C4" w:themeColor="accent1"/>
          <w:sz w:val="24"/>
          <w:szCs w:val="24"/>
        </w:rPr>
        <w:t>Fecha de inicio del periodo que se informa (día/mes/año).</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b.3) </w:t>
      </w:r>
      <w:r w:rsidRPr="00E957A2">
        <w:rPr>
          <w:rFonts w:ascii="Arial" w:eastAsiaTheme="minorHAnsi" w:hAnsi="Arial" w:cs="Arial"/>
          <w:i/>
          <w:color w:val="4472C4" w:themeColor="accent1"/>
          <w:sz w:val="24"/>
          <w:szCs w:val="24"/>
        </w:rPr>
        <w:t>Fecha de término del periodo que se informa (día/mes/año).</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b.4) </w:t>
      </w:r>
      <w:r w:rsidRPr="00E957A2">
        <w:rPr>
          <w:rFonts w:ascii="Arial" w:eastAsiaTheme="minorHAnsi" w:hAnsi="Arial" w:cs="Arial"/>
          <w:i/>
          <w:color w:val="4472C4" w:themeColor="accent1"/>
          <w:sz w:val="24"/>
          <w:szCs w:val="24"/>
        </w:rPr>
        <w:t>Monto.</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b.5) </w:t>
      </w:r>
      <w:r w:rsidRPr="00E957A2">
        <w:rPr>
          <w:rFonts w:ascii="Arial" w:eastAsiaTheme="minorHAnsi" w:hAnsi="Arial" w:cs="Arial"/>
          <w:i/>
          <w:color w:val="4472C4" w:themeColor="accent1"/>
          <w:sz w:val="24"/>
          <w:szCs w:val="24"/>
        </w:rPr>
        <w:t>Beneficiario.</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b.6) </w:t>
      </w:r>
      <w:r w:rsidRPr="00E957A2">
        <w:rPr>
          <w:rFonts w:ascii="Arial" w:eastAsiaTheme="minorHAnsi" w:hAnsi="Arial" w:cs="Arial"/>
          <w:i/>
          <w:color w:val="4472C4" w:themeColor="accent1"/>
          <w:sz w:val="24"/>
          <w:szCs w:val="24"/>
        </w:rPr>
        <w:t>Concepto.</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i/>
          <w:color w:val="4472C4" w:themeColor="accent1"/>
          <w:sz w:val="24"/>
          <w:szCs w:val="24"/>
        </w:rPr>
        <w:t>b.7) Fecha.</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b.8) </w:t>
      </w:r>
      <w:r w:rsidRPr="00E957A2">
        <w:rPr>
          <w:rFonts w:ascii="Arial" w:eastAsiaTheme="minorHAnsi" w:hAnsi="Arial" w:cs="Arial"/>
          <w:i/>
          <w:color w:val="4472C4" w:themeColor="accent1"/>
          <w:sz w:val="24"/>
          <w:szCs w:val="24"/>
        </w:rPr>
        <w:t>Folio.</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b.9) </w:t>
      </w:r>
      <w:r w:rsidRPr="00E957A2">
        <w:rPr>
          <w:rFonts w:ascii="Arial" w:eastAsiaTheme="minorHAnsi" w:hAnsi="Arial" w:cs="Arial"/>
          <w:i/>
          <w:color w:val="4472C4" w:themeColor="accent1"/>
          <w:sz w:val="24"/>
          <w:szCs w:val="24"/>
        </w:rPr>
        <w:t>Institución bancaria.</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b.10) </w:t>
      </w:r>
      <w:r w:rsidRPr="00E957A2">
        <w:rPr>
          <w:rFonts w:ascii="Arial" w:eastAsiaTheme="minorHAnsi" w:hAnsi="Arial" w:cs="Arial"/>
          <w:i/>
          <w:color w:val="4472C4" w:themeColor="accent1"/>
          <w:sz w:val="24"/>
          <w:szCs w:val="24"/>
        </w:rPr>
        <w:t>Funcionario que lo autoriza.</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b.11) </w:t>
      </w:r>
      <w:r w:rsidRPr="00E957A2">
        <w:rPr>
          <w:rFonts w:ascii="Arial" w:eastAsiaTheme="minorHAnsi" w:hAnsi="Arial" w:cs="Arial"/>
          <w:i/>
          <w:color w:val="4472C4" w:themeColor="accent1"/>
          <w:sz w:val="24"/>
          <w:szCs w:val="24"/>
        </w:rPr>
        <w:t>Hipervínculo a la relación de las cuentas bancarias productivas específicas en las cuales se depositen recursos federales</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i/>
          <w:color w:val="4472C4" w:themeColor="accent1"/>
          <w:sz w:val="24"/>
          <w:szCs w:val="24"/>
        </w:rPr>
        <w:t>transferidos por cualquier concepto durante el ejercicio.</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b.13) </w:t>
      </w:r>
      <w:r w:rsidRPr="00E957A2">
        <w:rPr>
          <w:rFonts w:ascii="Arial" w:eastAsiaTheme="minorHAnsi" w:hAnsi="Arial" w:cs="Arial"/>
          <w:i/>
          <w:color w:val="4472C4" w:themeColor="accent1"/>
          <w:sz w:val="24"/>
          <w:szCs w:val="24"/>
        </w:rPr>
        <w:t>Área(s) Responsable(s) que genera(n), posee(n), publica(n) y actualiza(n) la información.</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b.14) </w:t>
      </w:r>
      <w:r w:rsidRPr="00E957A2">
        <w:rPr>
          <w:rFonts w:ascii="Arial" w:eastAsiaTheme="minorHAnsi" w:hAnsi="Arial" w:cs="Arial"/>
          <w:i/>
          <w:color w:val="4472C4" w:themeColor="accent1"/>
          <w:sz w:val="24"/>
          <w:szCs w:val="24"/>
        </w:rPr>
        <w:t>Fecha de Validación (día/mes/año).</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b.15) </w:t>
      </w:r>
      <w:r w:rsidRPr="00E957A2">
        <w:rPr>
          <w:rFonts w:ascii="Arial" w:eastAsiaTheme="minorHAnsi" w:hAnsi="Arial" w:cs="Arial"/>
          <w:i/>
          <w:color w:val="4472C4" w:themeColor="accent1"/>
          <w:sz w:val="24"/>
          <w:szCs w:val="24"/>
        </w:rPr>
        <w:t>Fecha de Actualización (día/mes/año).</w:t>
      </w:r>
    </w:p>
    <w:p w:rsidR="00E957A2" w:rsidRPr="00E957A2" w:rsidRDefault="00E957A2" w:rsidP="00E957A2">
      <w:pPr>
        <w:autoSpaceDE w:val="0"/>
        <w:autoSpaceDN w:val="0"/>
        <w:adjustRightInd w:val="0"/>
        <w:spacing w:after="0" w:line="240" w:lineRule="auto"/>
        <w:rPr>
          <w:rFonts w:ascii="Arial" w:eastAsiaTheme="minorHAnsi" w:hAnsi="Arial" w:cs="Arial"/>
          <w:i/>
          <w:color w:val="4472C4" w:themeColor="accent1"/>
          <w:sz w:val="24"/>
          <w:szCs w:val="24"/>
        </w:rPr>
      </w:pPr>
      <w:r w:rsidRPr="00E957A2">
        <w:rPr>
          <w:rFonts w:ascii="Arial" w:eastAsiaTheme="minorHAnsi" w:hAnsi="Arial" w:cs="Arial"/>
          <w:b/>
          <w:bCs/>
          <w:i/>
          <w:color w:val="4472C4" w:themeColor="accent1"/>
          <w:sz w:val="24"/>
          <w:szCs w:val="24"/>
        </w:rPr>
        <w:t xml:space="preserve">b.16) </w:t>
      </w:r>
      <w:r w:rsidRPr="00E957A2">
        <w:rPr>
          <w:rFonts w:ascii="Arial" w:eastAsiaTheme="minorHAnsi" w:hAnsi="Arial" w:cs="Arial"/>
          <w:i/>
          <w:color w:val="4472C4" w:themeColor="accent1"/>
          <w:sz w:val="24"/>
          <w:szCs w:val="24"/>
        </w:rPr>
        <w:t>Nota.</w:t>
      </w:r>
      <w:r>
        <w:rPr>
          <w:rFonts w:ascii="Arial" w:eastAsiaTheme="minorHAnsi" w:hAnsi="Arial" w:cs="Arial"/>
          <w:i/>
          <w:color w:val="4472C4" w:themeColor="accent1"/>
          <w:sz w:val="24"/>
          <w:szCs w:val="24"/>
        </w:rPr>
        <w:t>” sic</w:t>
      </w:r>
    </w:p>
    <w:p w:rsidR="00E957A2" w:rsidRDefault="00E957A2" w:rsidP="00E957A2">
      <w:pPr>
        <w:pStyle w:val="corte4fondo"/>
        <w:spacing w:line="240" w:lineRule="auto"/>
        <w:rPr>
          <w:rFonts w:eastAsiaTheme="minorHAnsi" w:cs="Arial"/>
          <w:sz w:val="18"/>
          <w:szCs w:val="18"/>
        </w:rPr>
      </w:pPr>
    </w:p>
    <w:p w:rsidR="00E957A2" w:rsidRDefault="00E957A2" w:rsidP="00E957A2">
      <w:pPr>
        <w:pStyle w:val="corte4fondo"/>
        <w:spacing w:line="240" w:lineRule="auto"/>
        <w:rPr>
          <w:rFonts w:cs="Arial"/>
          <w:i/>
          <w:color w:val="4472C4" w:themeColor="accent1"/>
          <w:sz w:val="24"/>
        </w:rPr>
      </w:pPr>
    </w:p>
    <w:p w:rsidR="009D1131" w:rsidRDefault="009D1131" w:rsidP="00E957A2">
      <w:pPr>
        <w:pStyle w:val="corte4fondo"/>
        <w:spacing w:line="240" w:lineRule="auto"/>
        <w:rPr>
          <w:rFonts w:cs="Arial"/>
          <w:i/>
          <w:color w:val="4472C4" w:themeColor="accent1"/>
          <w:sz w:val="24"/>
        </w:rPr>
      </w:pPr>
      <w:r>
        <w:rPr>
          <w:rFonts w:cs="Arial"/>
          <w:i/>
          <w:color w:val="4472C4" w:themeColor="accent1"/>
          <w:sz w:val="24"/>
        </w:rPr>
        <w:t>[énfasis añadido]</w:t>
      </w:r>
    </w:p>
    <w:p w:rsidR="00E957A2" w:rsidRDefault="00E957A2" w:rsidP="00E957A2">
      <w:pPr>
        <w:pStyle w:val="corte4fondo"/>
        <w:spacing w:line="240" w:lineRule="auto"/>
        <w:rPr>
          <w:rFonts w:cs="Arial"/>
          <w:i/>
          <w:color w:val="4472C4" w:themeColor="accent1"/>
          <w:sz w:val="24"/>
        </w:rPr>
      </w:pPr>
    </w:p>
    <w:p w:rsidR="00E957A2" w:rsidRDefault="00E957A2" w:rsidP="00E957A2">
      <w:pPr>
        <w:pStyle w:val="corte4fondo"/>
        <w:spacing w:line="240" w:lineRule="auto"/>
        <w:rPr>
          <w:rFonts w:cs="Arial"/>
          <w:color w:val="4472C4" w:themeColor="accent1"/>
          <w:sz w:val="24"/>
          <w:szCs w:val="24"/>
        </w:rPr>
      </w:pPr>
      <w:r w:rsidRPr="00346026">
        <w:rPr>
          <w:rFonts w:cs="Arial"/>
          <w:color w:val="4472C4" w:themeColor="accent1"/>
          <w:sz w:val="24"/>
          <w:szCs w:val="24"/>
        </w:rPr>
        <w:t xml:space="preserve">Conforme lo anterior, </w:t>
      </w:r>
      <w:r w:rsidR="001D46B8">
        <w:rPr>
          <w:rFonts w:cs="Arial"/>
          <w:color w:val="4472C4" w:themeColor="accent1"/>
          <w:sz w:val="24"/>
          <w:szCs w:val="24"/>
          <w:lang w:val="es-ES"/>
        </w:rPr>
        <w:t>se tiene establecido que es</w:t>
      </w:r>
      <w:r w:rsidRPr="00346026">
        <w:rPr>
          <w:rFonts w:cs="Arial"/>
          <w:color w:val="4472C4" w:themeColor="accent1"/>
          <w:sz w:val="24"/>
          <w:szCs w:val="24"/>
        </w:rPr>
        <w:t xml:space="preserve">, </w:t>
      </w:r>
      <w:r w:rsidRPr="00346026">
        <w:rPr>
          <w:rFonts w:cs="Arial"/>
          <w:color w:val="4472C4" w:themeColor="accent1"/>
          <w:sz w:val="24"/>
          <w:szCs w:val="24"/>
          <w:u w:val="single"/>
        </w:rPr>
        <w:t xml:space="preserve"> información púbica de oficio.</w:t>
      </w:r>
    </w:p>
    <w:p w:rsidR="00E957A2" w:rsidRPr="00346026" w:rsidRDefault="00E957A2" w:rsidP="00E957A2">
      <w:pPr>
        <w:pStyle w:val="corte4fondo"/>
        <w:spacing w:line="240" w:lineRule="auto"/>
        <w:rPr>
          <w:rFonts w:cs="Arial"/>
          <w:color w:val="4472C4" w:themeColor="accent1"/>
          <w:sz w:val="24"/>
          <w:szCs w:val="24"/>
        </w:rPr>
      </w:pPr>
    </w:p>
    <w:p w:rsidR="00E957A2" w:rsidRPr="00346026" w:rsidRDefault="00E957A2" w:rsidP="00E957A2">
      <w:pPr>
        <w:pStyle w:val="corte4fondo"/>
        <w:spacing w:line="240" w:lineRule="auto"/>
        <w:rPr>
          <w:rFonts w:cs="Arial"/>
          <w:color w:val="4472C4" w:themeColor="accent1"/>
          <w:sz w:val="24"/>
          <w:szCs w:val="24"/>
        </w:rPr>
      </w:pPr>
      <w:r w:rsidRPr="00346026">
        <w:rPr>
          <w:rFonts w:cs="Arial"/>
          <w:color w:val="4472C4" w:themeColor="accent1"/>
          <w:sz w:val="24"/>
          <w:szCs w:val="24"/>
        </w:rPr>
        <w:t xml:space="preserve">Asimismo, es de recordar que con el fin de asegurar que la información que se ponga a disposición de los particulares tanto en la Plataforma Nacional de Transparencia como en los sitios de internet de los sujetos obligados, se trae a contexto el contenido del  Acuerdo CEGAIP-270/2017 S.E., aprobado por el Pleno de esta Comisión, en sesión </w:t>
      </w:r>
      <w:r w:rsidRPr="00346026">
        <w:rPr>
          <w:rFonts w:cs="Arial"/>
          <w:color w:val="4472C4" w:themeColor="accent1"/>
          <w:sz w:val="24"/>
          <w:szCs w:val="24"/>
        </w:rPr>
        <w:lastRenderedPageBreak/>
        <w:t xml:space="preserve">extraordinaria de fecha veintidós de marzo de dos mil diecisiete, mediante el cual se aprobaron los lineamientos para la difusión, disposición y evaluación de las obligaciones de transparencia comunes y específicas de los sujetos obligados del Estado y municipios de San Luis Potosí, que en la porción normativa que interesa, señalan lo siguiente: </w:t>
      </w:r>
    </w:p>
    <w:p w:rsidR="00E957A2" w:rsidRPr="00346026" w:rsidRDefault="00E957A2" w:rsidP="00E957A2">
      <w:pPr>
        <w:pStyle w:val="corte4fondo"/>
        <w:spacing w:line="240" w:lineRule="auto"/>
        <w:rPr>
          <w:rFonts w:cs="Arial"/>
          <w:i/>
          <w:color w:val="4472C4" w:themeColor="accent1"/>
          <w:sz w:val="24"/>
          <w:szCs w:val="24"/>
        </w:rPr>
      </w:pPr>
    </w:p>
    <w:p w:rsidR="00E957A2" w:rsidRPr="00346026" w:rsidRDefault="00E957A2" w:rsidP="00E957A2">
      <w:pPr>
        <w:pStyle w:val="corte4fondo"/>
        <w:spacing w:line="240" w:lineRule="auto"/>
        <w:rPr>
          <w:rFonts w:cs="Arial"/>
          <w:i/>
          <w:color w:val="4472C4" w:themeColor="accent1"/>
          <w:sz w:val="24"/>
          <w:szCs w:val="24"/>
        </w:rPr>
      </w:pPr>
      <w:r w:rsidRPr="00346026">
        <w:rPr>
          <w:rFonts w:cs="Arial"/>
          <w:i/>
          <w:color w:val="4472C4" w:themeColor="accent1"/>
          <w:sz w:val="24"/>
          <w:szCs w:val="24"/>
        </w:rPr>
        <w:t xml:space="preserve">“SEXTO. Los sujetos obligados deberán cumplir, inexcusablemente, con la obligación de poner a disposición del público la información a que se refieren los artículos 84, 85, 86, 87, 88, 89, 90, 91, 92 y 93 de la Ley, a través de la Plataforma Estatal de Transparencia San Luis, localizada en la página de internet de la CEGAIP, insertando en su propio sitio de internet un enlace electrónico que permita acceder a esa misma información. </w:t>
      </w:r>
    </w:p>
    <w:p w:rsidR="00E957A2" w:rsidRPr="00346026" w:rsidRDefault="00E957A2" w:rsidP="00E957A2">
      <w:pPr>
        <w:pStyle w:val="corte4fondo"/>
        <w:spacing w:line="240" w:lineRule="auto"/>
        <w:rPr>
          <w:rFonts w:cs="Arial"/>
          <w:i/>
          <w:color w:val="4472C4" w:themeColor="accent1"/>
          <w:sz w:val="24"/>
          <w:szCs w:val="24"/>
        </w:rPr>
      </w:pPr>
      <w:r w:rsidRPr="00346026">
        <w:rPr>
          <w:rFonts w:cs="Arial"/>
          <w:i/>
          <w:color w:val="4472C4" w:themeColor="accent1"/>
          <w:sz w:val="24"/>
          <w:szCs w:val="24"/>
        </w:rPr>
        <w:t>(…)” sic</w:t>
      </w:r>
    </w:p>
    <w:p w:rsidR="00E957A2" w:rsidRPr="00346026" w:rsidRDefault="00E957A2" w:rsidP="00E957A2">
      <w:pPr>
        <w:pStyle w:val="corte4fondo"/>
        <w:spacing w:line="240" w:lineRule="auto"/>
        <w:rPr>
          <w:rFonts w:cs="Arial"/>
          <w:i/>
          <w:color w:val="4472C4" w:themeColor="accent1"/>
          <w:sz w:val="24"/>
          <w:szCs w:val="24"/>
        </w:rPr>
      </w:pPr>
    </w:p>
    <w:p w:rsidR="00E957A2" w:rsidRPr="00346026" w:rsidRDefault="00E957A2" w:rsidP="00E957A2">
      <w:pPr>
        <w:pStyle w:val="corte4fondo"/>
        <w:spacing w:line="240" w:lineRule="auto"/>
        <w:rPr>
          <w:rFonts w:cs="Arial"/>
          <w:i/>
          <w:color w:val="4472C4" w:themeColor="accent1"/>
          <w:sz w:val="24"/>
          <w:szCs w:val="24"/>
        </w:rPr>
      </w:pPr>
      <w:r w:rsidRPr="00346026">
        <w:rPr>
          <w:rFonts w:cs="Arial"/>
          <w:i/>
          <w:color w:val="4472C4" w:themeColor="accent1"/>
          <w:sz w:val="24"/>
          <w:szCs w:val="24"/>
        </w:rPr>
        <w:t>“SÉPTIMO. Las unidades administrativas responsables de poner a disposición a través del sitio de Internet de los sujetos obligados, las obligaciones de transparencia a las que refieren los capítulos II, III y IV, del Título Cuarto de la Ley, en coordinación con las unidades de transparencia, publicarán y difundirán dicha información de conformidad con lo siguiente:</w:t>
      </w:r>
    </w:p>
    <w:p w:rsidR="00E957A2" w:rsidRPr="00346026" w:rsidRDefault="00E957A2" w:rsidP="00E957A2">
      <w:pPr>
        <w:pStyle w:val="corte4fondo"/>
        <w:spacing w:line="240" w:lineRule="auto"/>
        <w:rPr>
          <w:rFonts w:cs="Arial"/>
          <w:i/>
          <w:color w:val="4472C4" w:themeColor="accent1"/>
          <w:sz w:val="24"/>
          <w:szCs w:val="24"/>
        </w:rPr>
      </w:pPr>
      <w:r w:rsidRPr="00346026">
        <w:rPr>
          <w:rFonts w:cs="Arial"/>
          <w:i/>
          <w:color w:val="4472C4" w:themeColor="accent1"/>
          <w:sz w:val="24"/>
          <w:szCs w:val="24"/>
        </w:rPr>
        <w:t>(…)”sic</w:t>
      </w:r>
    </w:p>
    <w:p w:rsidR="00E957A2" w:rsidRPr="00346026" w:rsidRDefault="00E957A2" w:rsidP="00E957A2">
      <w:pPr>
        <w:pStyle w:val="corte4fondo"/>
        <w:spacing w:line="240" w:lineRule="auto"/>
        <w:rPr>
          <w:rFonts w:cs="Arial"/>
          <w:i/>
          <w:color w:val="4472C4" w:themeColor="accent1"/>
          <w:sz w:val="24"/>
          <w:szCs w:val="24"/>
        </w:rPr>
      </w:pPr>
    </w:p>
    <w:p w:rsidR="00E957A2" w:rsidRPr="00346026" w:rsidRDefault="00E957A2" w:rsidP="00E957A2">
      <w:pPr>
        <w:pStyle w:val="corte4fondo"/>
        <w:spacing w:line="240" w:lineRule="auto"/>
        <w:rPr>
          <w:rFonts w:cs="Arial"/>
          <w:i/>
          <w:color w:val="4472C4" w:themeColor="accent1"/>
          <w:sz w:val="24"/>
          <w:szCs w:val="24"/>
        </w:rPr>
      </w:pPr>
      <w:r w:rsidRPr="00346026">
        <w:rPr>
          <w:rFonts w:cs="Arial"/>
          <w:i/>
          <w:color w:val="4472C4" w:themeColor="accent1"/>
          <w:sz w:val="24"/>
          <w:szCs w:val="24"/>
        </w:rPr>
        <w:t xml:space="preserve">“IV. Las Obligaciones de Transparencia deberán actualizarse los diez primeros días de cada mes con información del mes inmediato anterior; mientras que los plazos de permanencia en Plataforma Estatal de Transparencia del Estado, serán los siguientes: </w:t>
      </w:r>
    </w:p>
    <w:p w:rsidR="00E957A2" w:rsidRPr="00346026" w:rsidRDefault="00E957A2" w:rsidP="00E957A2">
      <w:pPr>
        <w:pStyle w:val="corte4fondo"/>
        <w:spacing w:line="240" w:lineRule="auto"/>
        <w:rPr>
          <w:rFonts w:cs="Arial"/>
          <w:i/>
          <w:color w:val="4472C4" w:themeColor="accent1"/>
          <w:sz w:val="24"/>
          <w:szCs w:val="24"/>
        </w:rPr>
      </w:pPr>
    </w:p>
    <w:p w:rsidR="00E957A2" w:rsidRPr="00346026" w:rsidRDefault="00E957A2" w:rsidP="00E957A2">
      <w:pPr>
        <w:pStyle w:val="corte4fondo"/>
        <w:spacing w:line="240" w:lineRule="auto"/>
        <w:rPr>
          <w:rFonts w:cs="Arial"/>
          <w:i/>
          <w:color w:val="4472C4" w:themeColor="accent1"/>
          <w:sz w:val="24"/>
          <w:szCs w:val="24"/>
        </w:rPr>
      </w:pPr>
      <w:r w:rsidRPr="00346026">
        <w:rPr>
          <w:rFonts w:cs="Arial"/>
          <w:i/>
          <w:color w:val="4472C4" w:themeColor="accent1"/>
          <w:sz w:val="24"/>
          <w:szCs w:val="24"/>
        </w:rPr>
        <w:t>a)</w:t>
      </w:r>
      <w:r w:rsidRPr="00346026">
        <w:rPr>
          <w:rFonts w:cs="Arial"/>
          <w:i/>
          <w:color w:val="4472C4" w:themeColor="accent1"/>
          <w:sz w:val="24"/>
          <w:szCs w:val="24"/>
        </w:rPr>
        <w:tab/>
        <w:t xml:space="preserve">En el ámbito municipal deberá mantener publicada la información relativa a la administración en curso, es decir, tres años. </w:t>
      </w:r>
    </w:p>
    <w:p w:rsidR="00E957A2" w:rsidRPr="00346026" w:rsidRDefault="00E957A2" w:rsidP="00E957A2">
      <w:pPr>
        <w:pStyle w:val="corte4fondo"/>
        <w:spacing w:line="240" w:lineRule="auto"/>
        <w:rPr>
          <w:rFonts w:cs="Arial"/>
          <w:i/>
          <w:color w:val="4472C4" w:themeColor="accent1"/>
          <w:sz w:val="24"/>
          <w:szCs w:val="24"/>
        </w:rPr>
      </w:pPr>
      <w:r w:rsidRPr="00346026">
        <w:rPr>
          <w:rFonts w:cs="Arial"/>
          <w:i/>
          <w:color w:val="4472C4" w:themeColor="accent1"/>
          <w:sz w:val="24"/>
          <w:szCs w:val="24"/>
        </w:rPr>
        <w:t>b)</w:t>
      </w:r>
      <w:r w:rsidRPr="00346026">
        <w:rPr>
          <w:rFonts w:cs="Arial"/>
          <w:i/>
          <w:color w:val="4472C4" w:themeColor="accent1"/>
          <w:sz w:val="24"/>
          <w:szCs w:val="24"/>
        </w:rPr>
        <w:tab/>
        <w:t xml:space="preserve">Lo referente al Poder Ejecutivo, deberá mantener publicado en su portal de internet lo relativo al sexenio que corresponda. </w:t>
      </w:r>
    </w:p>
    <w:p w:rsidR="00E957A2" w:rsidRPr="00346026" w:rsidRDefault="00E957A2" w:rsidP="00E957A2">
      <w:pPr>
        <w:pStyle w:val="corte4fondo"/>
        <w:spacing w:line="240" w:lineRule="auto"/>
        <w:rPr>
          <w:rFonts w:cs="Arial"/>
          <w:i/>
          <w:color w:val="4472C4" w:themeColor="accent1"/>
          <w:sz w:val="24"/>
          <w:szCs w:val="24"/>
        </w:rPr>
      </w:pPr>
      <w:r w:rsidRPr="00346026">
        <w:rPr>
          <w:rFonts w:cs="Arial"/>
          <w:i/>
          <w:color w:val="4472C4" w:themeColor="accent1"/>
          <w:sz w:val="24"/>
          <w:szCs w:val="24"/>
        </w:rPr>
        <w:t>c)</w:t>
      </w:r>
      <w:r w:rsidRPr="00346026">
        <w:rPr>
          <w:rFonts w:cs="Arial"/>
          <w:i/>
          <w:color w:val="4472C4" w:themeColor="accent1"/>
          <w:sz w:val="24"/>
          <w:szCs w:val="24"/>
        </w:rPr>
        <w:tab/>
        <w:t>En lo que respecta a los demás sujetos obligados distintos de los anteriores la información se deberá mantener durante un periodo de tres años.” sic</w:t>
      </w:r>
    </w:p>
    <w:p w:rsidR="00E957A2" w:rsidRPr="00346026" w:rsidRDefault="00E957A2" w:rsidP="00E957A2">
      <w:pPr>
        <w:pStyle w:val="corte4fondo"/>
        <w:spacing w:line="240" w:lineRule="auto"/>
        <w:rPr>
          <w:rFonts w:cs="Arial"/>
          <w:color w:val="4472C4" w:themeColor="accent1"/>
          <w:sz w:val="24"/>
          <w:szCs w:val="24"/>
        </w:rPr>
      </w:pPr>
    </w:p>
    <w:p w:rsidR="00E957A2" w:rsidRPr="00346026" w:rsidRDefault="00E957A2" w:rsidP="00E957A2">
      <w:pPr>
        <w:pStyle w:val="corte4fondo"/>
        <w:spacing w:line="240" w:lineRule="auto"/>
        <w:rPr>
          <w:rFonts w:cs="Arial"/>
          <w:color w:val="4472C4" w:themeColor="accent1"/>
          <w:sz w:val="24"/>
          <w:szCs w:val="24"/>
        </w:rPr>
      </w:pPr>
      <w:r w:rsidRPr="00346026">
        <w:rPr>
          <w:rFonts w:cs="Arial"/>
          <w:color w:val="4472C4" w:themeColor="accent1"/>
          <w:sz w:val="24"/>
          <w:szCs w:val="24"/>
        </w:rPr>
        <w:t xml:space="preserve">Tal y como se evidencia de la citada normatividad, se colige que los Sujetos Obligados tienen la obligación de difundir la información que refieren los artículos 84, 85, 86, 87, 88, 89, 90, 91, 92 y 93 de la Ley, a través de la Plataforma Estatal de Transparencia San Luis, localizada en la página de internet de este Órgano Garante; asimismo, se precisa que existe la obligación de actualizar dicha información los primeros diez días de cada mes. Lo anterior, a efecto de favorecer los principios de máxima publicidad y disponibilidad de la información para que los particulares tengan acceso y consulta de la actuación de las autoridades a través de páginas de internet. </w:t>
      </w:r>
    </w:p>
    <w:p w:rsidR="00E957A2" w:rsidRDefault="00E957A2" w:rsidP="00E957A2"/>
    <w:p w:rsidR="009D1131" w:rsidRPr="005B1C0B" w:rsidRDefault="009D1131" w:rsidP="009D1131">
      <w:pPr>
        <w:spacing w:line="240" w:lineRule="auto"/>
        <w:ind w:firstLine="708"/>
        <w:jc w:val="both"/>
        <w:rPr>
          <w:rFonts w:ascii="Arial" w:eastAsia="Arial" w:hAnsi="Arial" w:cs="Arial"/>
          <w:color w:val="4472C4" w:themeColor="accent1"/>
          <w:sz w:val="24"/>
          <w:szCs w:val="24"/>
        </w:rPr>
      </w:pPr>
      <w:r w:rsidRPr="00FD6433">
        <w:rPr>
          <w:rFonts w:ascii="Arial" w:eastAsia="Arial" w:hAnsi="Arial" w:cs="Arial"/>
          <w:color w:val="4472C4" w:themeColor="accent1"/>
          <w:sz w:val="24"/>
          <w:szCs w:val="24"/>
        </w:rPr>
        <w:t xml:space="preserve">Por todo lo anterior, esta comisión concluye que resulta </w:t>
      </w:r>
      <w:r w:rsidRPr="00FD6433">
        <w:rPr>
          <w:rFonts w:ascii="Arial" w:eastAsia="Arial" w:hAnsi="Arial" w:cs="Arial"/>
          <w:b/>
          <w:bCs/>
          <w:color w:val="4472C4" w:themeColor="accent1"/>
          <w:sz w:val="24"/>
          <w:szCs w:val="24"/>
        </w:rPr>
        <w:t>fundado el agravio</w:t>
      </w:r>
      <w:r w:rsidRPr="00FD6433">
        <w:rPr>
          <w:rFonts w:ascii="Arial" w:eastAsia="Arial" w:hAnsi="Arial" w:cs="Arial"/>
          <w:color w:val="4472C4" w:themeColor="accent1"/>
          <w:sz w:val="24"/>
          <w:szCs w:val="24"/>
        </w:rPr>
        <w:t xml:space="preserve"> hecho valer por el recurrente en el recurso de revisión que hoy nos ocupa, por lo que a fin de cumplir con el principio de máxima publicidad consagrado en la</w:t>
      </w:r>
      <w:r w:rsidRPr="00FD6433">
        <w:rPr>
          <w:rFonts w:ascii="Arial" w:eastAsia="Arial" w:hAnsi="Arial" w:cs="Arial"/>
          <w:b/>
          <w:color w:val="4472C4" w:themeColor="accent1"/>
          <w:sz w:val="24"/>
          <w:szCs w:val="24"/>
        </w:rPr>
        <w:t xml:space="preserve"> ley de la materia el obligado deberá de </w:t>
      </w:r>
      <w:r>
        <w:rPr>
          <w:rFonts w:ascii="Arial" w:eastAsia="Arial" w:hAnsi="Arial" w:cs="Arial"/>
          <w:b/>
          <w:color w:val="4472C4" w:themeColor="accent1"/>
          <w:sz w:val="24"/>
          <w:szCs w:val="24"/>
        </w:rPr>
        <w:t xml:space="preserve">otorgar acceso a los </w:t>
      </w:r>
      <w:r w:rsidR="001D46B8">
        <w:rPr>
          <w:rFonts w:ascii="Arial" w:eastAsia="Arial" w:hAnsi="Arial" w:cs="Arial"/>
          <w:b/>
          <w:color w:val="4472C4" w:themeColor="accent1"/>
          <w:sz w:val="24"/>
          <w:szCs w:val="24"/>
        </w:rPr>
        <w:t xml:space="preserve">formatos cargados en la Plataforma Estatal de Transparencia correspondientes al artículo 84 fracción IV inciso A y B </w:t>
      </w:r>
      <w:r w:rsidR="00A97E80">
        <w:rPr>
          <w:rFonts w:ascii="Arial" w:eastAsia="Arial" w:hAnsi="Arial" w:cs="Arial"/>
          <w:b/>
          <w:color w:val="4472C4" w:themeColor="accent1"/>
          <w:sz w:val="24"/>
          <w:szCs w:val="24"/>
        </w:rPr>
        <w:t>del mes de enero 2022.</w:t>
      </w:r>
    </w:p>
    <w:p w:rsidR="009D1131" w:rsidRPr="00FD6433" w:rsidRDefault="009D1131" w:rsidP="009D1131">
      <w:pPr>
        <w:pStyle w:val="corte4fondo"/>
        <w:spacing w:line="240" w:lineRule="auto"/>
        <w:ind w:firstLine="708"/>
        <w:rPr>
          <w:rFonts w:eastAsia="Arial" w:cs="Arial"/>
          <w:b/>
          <w:bCs/>
          <w:color w:val="4472C4" w:themeColor="accent1"/>
          <w:sz w:val="24"/>
          <w:szCs w:val="24"/>
        </w:rPr>
      </w:pPr>
    </w:p>
    <w:p w:rsidR="009D1131" w:rsidRPr="00FD6433" w:rsidRDefault="009D1131" w:rsidP="009D1131">
      <w:pPr>
        <w:pStyle w:val="corte4fondo"/>
        <w:spacing w:line="240" w:lineRule="auto"/>
        <w:ind w:firstLine="708"/>
        <w:rPr>
          <w:rFonts w:eastAsia="Arial" w:cs="Arial"/>
          <w:color w:val="4472C4" w:themeColor="accent1"/>
          <w:sz w:val="24"/>
          <w:szCs w:val="24"/>
        </w:rPr>
      </w:pPr>
      <w:r w:rsidRPr="00FD6433">
        <w:rPr>
          <w:rFonts w:eastAsia="Arial" w:cs="Arial"/>
          <w:b/>
          <w:bCs/>
          <w:color w:val="4472C4" w:themeColor="accent1"/>
          <w:sz w:val="24"/>
          <w:szCs w:val="24"/>
        </w:rPr>
        <w:t>5.1. Sentido de esta resolución.</w:t>
      </w:r>
    </w:p>
    <w:p w:rsidR="009D1131" w:rsidRPr="00FD6433" w:rsidRDefault="009D1131" w:rsidP="009D1131">
      <w:pPr>
        <w:spacing w:after="0" w:line="240" w:lineRule="auto"/>
        <w:ind w:firstLine="709"/>
        <w:jc w:val="both"/>
        <w:rPr>
          <w:rFonts w:ascii="Arial" w:eastAsia="Arial" w:hAnsi="Arial" w:cs="Arial"/>
          <w:color w:val="4472C4" w:themeColor="accent1"/>
          <w:sz w:val="24"/>
          <w:szCs w:val="24"/>
        </w:rPr>
      </w:pPr>
    </w:p>
    <w:p w:rsidR="009D1131" w:rsidRPr="00FD6433" w:rsidRDefault="009D1131" w:rsidP="009D1131">
      <w:pPr>
        <w:pStyle w:val="corte4fondo"/>
        <w:spacing w:line="240" w:lineRule="auto"/>
        <w:ind w:firstLine="708"/>
        <w:rPr>
          <w:rFonts w:eastAsia="Arial" w:cs="Arial"/>
          <w:color w:val="4472C4" w:themeColor="accent1"/>
          <w:sz w:val="24"/>
          <w:szCs w:val="24"/>
        </w:rPr>
      </w:pPr>
      <w:r w:rsidRPr="00FD6433">
        <w:rPr>
          <w:rFonts w:eastAsia="Arial" w:cs="Arial"/>
          <w:color w:val="4472C4" w:themeColor="accent1"/>
          <w:sz w:val="24"/>
          <w:szCs w:val="24"/>
        </w:rPr>
        <w:t xml:space="preserve">En las condiciones anotadas y al haber resultado fundado el agravio que hizo valer el recurrente, con fundamento en el artículo 175, fracción III de la Ley de Transparencia </w:t>
      </w:r>
      <w:r w:rsidRPr="00FD6433">
        <w:rPr>
          <w:rFonts w:eastAsia="Arial" w:cs="Arial"/>
          <w:color w:val="4472C4" w:themeColor="accent1"/>
          <w:sz w:val="24"/>
          <w:szCs w:val="24"/>
        </w:rPr>
        <w:lastRenderedPageBreak/>
        <w:t xml:space="preserve">y Acceso a la Información Pública del Estado de San Luis Potosí, resulta procedente </w:t>
      </w:r>
      <w:r w:rsidRPr="00FD6433">
        <w:rPr>
          <w:rFonts w:eastAsia="Arial" w:cs="Arial"/>
          <w:b/>
          <w:bCs/>
          <w:color w:val="4472C4" w:themeColor="accent1"/>
          <w:sz w:val="24"/>
          <w:szCs w:val="24"/>
        </w:rPr>
        <w:t>MODIFICAR</w:t>
      </w:r>
      <w:r w:rsidRPr="00FD6433">
        <w:rPr>
          <w:rFonts w:eastAsia="Arial" w:cs="Arial"/>
          <w:color w:val="4472C4" w:themeColor="accent1"/>
          <w:sz w:val="24"/>
          <w:szCs w:val="24"/>
        </w:rPr>
        <w:t xml:space="preserve"> la respuesta del sujeto obligado y, por lo tanto, lo conmina para que:</w:t>
      </w:r>
    </w:p>
    <w:p w:rsidR="009D1131" w:rsidRPr="00FD6433" w:rsidRDefault="009D1131" w:rsidP="009D1131">
      <w:pPr>
        <w:spacing w:after="0" w:line="240" w:lineRule="auto"/>
        <w:ind w:firstLine="709"/>
        <w:jc w:val="both"/>
        <w:rPr>
          <w:rFonts w:ascii="Arial" w:eastAsia="Arial" w:hAnsi="Arial" w:cs="Arial"/>
          <w:color w:val="4472C4" w:themeColor="accent1"/>
          <w:sz w:val="24"/>
          <w:szCs w:val="24"/>
        </w:rPr>
      </w:pPr>
    </w:p>
    <w:p w:rsidR="009D1131" w:rsidRPr="005B1C0B" w:rsidRDefault="009D1131" w:rsidP="009D1131">
      <w:pPr>
        <w:pStyle w:val="Default"/>
        <w:numPr>
          <w:ilvl w:val="0"/>
          <w:numId w:val="7"/>
        </w:numPr>
        <w:jc w:val="both"/>
      </w:pPr>
      <w:r w:rsidRPr="005B1C0B">
        <w:rPr>
          <w:rFonts w:eastAsiaTheme="minorEastAsia"/>
          <w:b/>
          <w:bCs/>
          <w:color w:val="4472C4" w:themeColor="accent1"/>
        </w:rPr>
        <w:t xml:space="preserve">El sujeto obligado </w:t>
      </w:r>
      <w:r w:rsidRPr="00FD6433">
        <w:rPr>
          <w:rFonts w:eastAsia="Arial"/>
          <w:b/>
          <w:color w:val="4472C4" w:themeColor="accent1"/>
        </w:rPr>
        <w:t xml:space="preserve">deberá de </w:t>
      </w:r>
      <w:r>
        <w:rPr>
          <w:rFonts w:eastAsia="Arial"/>
          <w:b/>
          <w:color w:val="4472C4" w:themeColor="accent1"/>
        </w:rPr>
        <w:t xml:space="preserve">otorgar acceso a los </w:t>
      </w:r>
      <w:r w:rsidR="00A97E80">
        <w:rPr>
          <w:rFonts w:eastAsia="Arial"/>
          <w:b/>
          <w:color w:val="4472C4" w:themeColor="accent1"/>
        </w:rPr>
        <w:t>movimientos de ingresos y egresos del mes de enero 2022</w:t>
      </w:r>
      <w:r>
        <w:rPr>
          <w:rFonts w:eastAsia="Arial"/>
          <w:b/>
          <w:color w:val="4472C4" w:themeColor="accent1"/>
        </w:rPr>
        <w:t xml:space="preserve"> de conformidad con el </w:t>
      </w:r>
      <w:r w:rsidR="00A97E80">
        <w:rPr>
          <w:rFonts w:eastAsia="Arial"/>
          <w:b/>
          <w:color w:val="4472C4" w:themeColor="accent1"/>
        </w:rPr>
        <w:t>artículo 84 fracción IV inciso A y B</w:t>
      </w:r>
      <w:r>
        <w:rPr>
          <w:rFonts w:eastAsia="Arial"/>
          <w:b/>
          <w:color w:val="4472C4" w:themeColor="accent1"/>
        </w:rPr>
        <w:t xml:space="preserve"> de la</w:t>
      </w:r>
      <w:r w:rsidRPr="005B1C0B">
        <w:t xml:space="preserve"> </w:t>
      </w:r>
      <w:r w:rsidRPr="005B1C0B">
        <w:rPr>
          <w:b/>
          <w:color w:val="4472C4" w:themeColor="accent1"/>
        </w:rPr>
        <w:t>Ley</w:t>
      </w:r>
      <w:r>
        <w:rPr>
          <w:b/>
          <w:color w:val="4472C4" w:themeColor="accent1"/>
        </w:rPr>
        <w:t xml:space="preserve"> </w:t>
      </w:r>
      <w:r w:rsidRPr="005B1C0B">
        <w:rPr>
          <w:b/>
          <w:bCs/>
          <w:color w:val="4472C4" w:themeColor="accent1"/>
        </w:rPr>
        <w:t xml:space="preserve">de </w:t>
      </w:r>
      <w:r>
        <w:rPr>
          <w:b/>
          <w:bCs/>
          <w:color w:val="4472C4" w:themeColor="accent1"/>
        </w:rPr>
        <w:t xml:space="preserve">Transparencia y Acceso a la </w:t>
      </w:r>
      <w:r w:rsidR="00A97E80">
        <w:rPr>
          <w:b/>
          <w:bCs/>
          <w:color w:val="4472C4" w:themeColor="accent1"/>
        </w:rPr>
        <w:t>Información</w:t>
      </w:r>
      <w:r>
        <w:rPr>
          <w:b/>
          <w:bCs/>
          <w:color w:val="4472C4" w:themeColor="accent1"/>
        </w:rPr>
        <w:t xml:space="preserve"> Pública del Estado d</w:t>
      </w:r>
      <w:r w:rsidRPr="005B1C0B">
        <w:rPr>
          <w:b/>
          <w:bCs/>
          <w:color w:val="4472C4" w:themeColor="accent1"/>
        </w:rPr>
        <w:t>e San Luis Potosí</w:t>
      </w:r>
      <w:r>
        <w:rPr>
          <w:b/>
          <w:bCs/>
          <w:color w:val="4472C4" w:themeColor="accent1"/>
        </w:rPr>
        <w:t>.</w:t>
      </w:r>
    </w:p>
    <w:p w:rsidR="009D1131" w:rsidRPr="00FD6433" w:rsidRDefault="009D1131" w:rsidP="009D1131">
      <w:pPr>
        <w:pStyle w:val="corte4fondo"/>
        <w:spacing w:line="240" w:lineRule="auto"/>
        <w:ind w:firstLine="708"/>
        <w:rPr>
          <w:rFonts w:eastAsia="Arial" w:cs="Arial"/>
          <w:color w:val="4472C4" w:themeColor="accent1"/>
          <w:sz w:val="24"/>
          <w:szCs w:val="24"/>
        </w:rPr>
      </w:pPr>
      <w:r w:rsidRPr="00FD6433">
        <w:rPr>
          <w:rFonts w:eastAsia="Arial" w:cs="Arial"/>
          <w:b/>
          <w:bCs/>
          <w:color w:val="4472C4" w:themeColor="accent1"/>
          <w:sz w:val="24"/>
          <w:szCs w:val="24"/>
        </w:rPr>
        <w:t>5.2. Precisiones de esta resolución.</w:t>
      </w:r>
    </w:p>
    <w:p w:rsidR="009D1131" w:rsidRPr="00FD6433" w:rsidRDefault="009D1131" w:rsidP="009D1131">
      <w:pPr>
        <w:spacing w:after="0" w:line="240" w:lineRule="auto"/>
        <w:ind w:firstLine="709"/>
        <w:jc w:val="both"/>
        <w:rPr>
          <w:rFonts w:ascii="Arial" w:eastAsia="Arial" w:hAnsi="Arial" w:cs="Arial"/>
          <w:color w:val="4472C4" w:themeColor="accent1"/>
          <w:sz w:val="24"/>
          <w:szCs w:val="24"/>
        </w:rPr>
      </w:pPr>
    </w:p>
    <w:p w:rsidR="009D1131" w:rsidRPr="00FD6433" w:rsidRDefault="009D1131" w:rsidP="009D1131">
      <w:pPr>
        <w:pStyle w:val="corte4fondo"/>
        <w:spacing w:line="240" w:lineRule="auto"/>
        <w:ind w:firstLine="708"/>
        <w:rPr>
          <w:rFonts w:eastAsia="Arial" w:cs="Arial"/>
          <w:color w:val="4472C4" w:themeColor="accent1"/>
          <w:sz w:val="24"/>
          <w:szCs w:val="24"/>
        </w:rPr>
      </w:pPr>
      <w:r w:rsidRPr="00FD6433">
        <w:rPr>
          <w:rFonts w:eastAsia="Arial" w:cs="Arial"/>
          <w:color w:val="4472C4" w:themeColor="accent1"/>
          <w:sz w:val="24"/>
          <w:szCs w:val="24"/>
        </w:rPr>
        <w:t>De conformidad con el último párrafo del artículo 175 de la Ley de Transparencia está Comisión de Transparencia establece los siguientes términos para el cumplimiento de la resolución.</w:t>
      </w:r>
    </w:p>
    <w:p w:rsidR="009D1131" w:rsidRPr="00FD6433" w:rsidRDefault="009D1131" w:rsidP="009D1131">
      <w:pPr>
        <w:spacing w:after="0" w:line="240" w:lineRule="auto"/>
        <w:ind w:firstLine="709"/>
        <w:jc w:val="both"/>
        <w:rPr>
          <w:rFonts w:ascii="Arial" w:eastAsia="Arial" w:hAnsi="Arial" w:cs="Arial"/>
          <w:color w:val="4472C4" w:themeColor="accent1"/>
          <w:sz w:val="24"/>
          <w:szCs w:val="24"/>
        </w:rPr>
      </w:pPr>
    </w:p>
    <w:p w:rsidR="009D1131" w:rsidRPr="00FD6433" w:rsidRDefault="009D1131" w:rsidP="009D1131">
      <w:pPr>
        <w:pStyle w:val="corte4fondo"/>
        <w:numPr>
          <w:ilvl w:val="0"/>
          <w:numId w:val="2"/>
        </w:numPr>
        <w:spacing w:line="240" w:lineRule="auto"/>
        <w:rPr>
          <w:rFonts w:cs="Arial"/>
          <w:b/>
          <w:color w:val="4472C4" w:themeColor="accent1"/>
          <w:sz w:val="24"/>
          <w:szCs w:val="24"/>
        </w:rPr>
      </w:pPr>
      <w:r w:rsidRPr="00FD6433">
        <w:rPr>
          <w:rFonts w:cs="Arial"/>
          <w:b/>
          <w:color w:val="4472C4" w:themeColor="accent1"/>
          <w:sz w:val="24"/>
          <w:szCs w:val="24"/>
        </w:rPr>
        <w:t>El sujeto obligado deberá entregar los documentos que contengan la información solicitada en la modalidad peticionada por el particular.</w:t>
      </w:r>
    </w:p>
    <w:p w:rsidR="009D1131" w:rsidRPr="00FD6433" w:rsidRDefault="009D1131" w:rsidP="009D1131">
      <w:pPr>
        <w:pStyle w:val="corte4fondo"/>
        <w:numPr>
          <w:ilvl w:val="0"/>
          <w:numId w:val="2"/>
        </w:numPr>
        <w:spacing w:line="240" w:lineRule="auto"/>
        <w:rPr>
          <w:rFonts w:cs="Arial"/>
          <w:b/>
          <w:color w:val="4472C4" w:themeColor="accent1"/>
          <w:sz w:val="24"/>
          <w:szCs w:val="24"/>
        </w:rPr>
      </w:pPr>
      <w:r w:rsidRPr="00FD6433">
        <w:rPr>
          <w:rFonts w:cs="Arial"/>
          <w:b/>
          <w:color w:val="4472C4" w:themeColor="accent1"/>
          <w:sz w:val="24"/>
          <w:szCs w:val="24"/>
        </w:rPr>
        <w:t>El sujeto obligado deberá de cuidar en todo momento que la información que entregará no contenga datos personales o confidenciales, pues en caso de contener información con esos datos, deberá de elaborar la versión pública.</w:t>
      </w:r>
    </w:p>
    <w:p w:rsidR="009D1131" w:rsidRPr="00FD6433" w:rsidRDefault="009D1131" w:rsidP="009D1131">
      <w:pPr>
        <w:pStyle w:val="corte4fondo"/>
        <w:numPr>
          <w:ilvl w:val="0"/>
          <w:numId w:val="2"/>
        </w:numPr>
        <w:spacing w:line="240" w:lineRule="auto"/>
        <w:rPr>
          <w:rFonts w:cs="Arial"/>
          <w:b/>
          <w:iCs/>
          <w:color w:val="4472C4" w:themeColor="accent1"/>
          <w:sz w:val="24"/>
          <w:szCs w:val="24"/>
        </w:rPr>
      </w:pPr>
      <w:r w:rsidRPr="00FD6433">
        <w:rPr>
          <w:rFonts w:cs="Arial"/>
          <w:b/>
          <w:color w:val="4472C4" w:themeColor="accent1"/>
          <w:sz w:val="24"/>
          <w:szCs w:val="24"/>
        </w:rPr>
        <w:t xml:space="preserve">El sujeto obligado, en caso de determinar que la información </w:t>
      </w:r>
      <w:r w:rsidRPr="00FD6433">
        <w:rPr>
          <w:rFonts w:cs="Arial"/>
          <w:b/>
          <w:color w:val="4472C4" w:themeColor="accent1"/>
          <w:sz w:val="24"/>
          <w:szCs w:val="24"/>
          <w:lang w:val="es-ES"/>
        </w:rPr>
        <w:t>encuadra en alguna de las hipótesis de clasificación</w:t>
      </w:r>
      <w:r w:rsidRPr="00FD6433">
        <w:rPr>
          <w:rFonts w:cs="Arial"/>
          <w:b/>
          <w:color w:val="4472C4" w:themeColor="accent1"/>
          <w:sz w:val="24"/>
          <w:szCs w:val="24"/>
        </w:rPr>
        <w:t xml:space="preserve">, deberá de cumplir con las formalidades establecidas en la Ley de la materia y los </w:t>
      </w:r>
      <w:r w:rsidRPr="00FD6433">
        <w:rPr>
          <w:rFonts w:cs="Arial"/>
          <w:b/>
          <w:iCs/>
          <w:color w:val="4472C4" w:themeColor="accent1"/>
          <w:sz w:val="24"/>
          <w:szCs w:val="24"/>
        </w:rPr>
        <w:t>Lineamientos Generales en Materia de Clasificación y Desclasificación de la Información, así como para la Elaboración de Versiones Públicas.</w:t>
      </w:r>
    </w:p>
    <w:p w:rsidR="009D1131" w:rsidRPr="00FD6433" w:rsidRDefault="009D1131" w:rsidP="009D1131">
      <w:pPr>
        <w:spacing w:after="0" w:line="240" w:lineRule="auto"/>
        <w:ind w:firstLine="709"/>
        <w:jc w:val="both"/>
        <w:rPr>
          <w:rFonts w:ascii="Arial" w:eastAsia="Arial" w:hAnsi="Arial" w:cs="Arial"/>
          <w:color w:val="4472C4" w:themeColor="accent1"/>
          <w:sz w:val="24"/>
          <w:szCs w:val="24"/>
        </w:rPr>
      </w:pPr>
    </w:p>
    <w:p w:rsidR="009D1131" w:rsidRPr="00FD6433" w:rsidRDefault="009D1131" w:rsidP="009D1131">
      <w:pPr>
        <w:spacing w:after="0" w:line="240" w:lineRule="auto"/>
        <w:ind w:firstLine="709"/>
        <w:jc w:val="both"/>
        <w:rPr>
          <w:rFonts w:ascii="Arial" w:eastAsia="Arial" w:hAnsi="Arial" w:cs="Arial"/>
          <w:color w:val="4472C4" w:themeColor="accent1"/>
          <w:sz w:val="24"/>
          <w:szCs w:val="24"/>
        </w:rPr>
      </w:pPr>
    </w:p>
    <w:p w:rsidR="009D1131" w:rsidRPr="00FD6433" w:rsidRDefault="009D1131" w:rsidP="009D1131">
      <w:pPr>
        <w:pStyle w:val="corte4fondo"/>
        <w:spacing w:line="240" w:lineRule="auto"/>
        <w:ind w:firstLine="708"/>
        <w:rPr>
          <w:rFonts w:eastAsia="Arial" w:cs="Arial"/>
          <w:color w:val="4472C4" w:themeColor="accent1"/>
          <w:sz w:val="24"/>
          <w:szCs w:val="24"/>
        </w:rPr>
      </w:pPr>
      <w:r w:rsidRPr="00FD6433">
        <w:rPr>
          <w:rFonts w:eastAsia="Arial" w:cs="Arial"/>
          <w:b/>
          <w:bCs/>
          <w:color w:val="4472C4" w:themeColor="accent1"/>
          <w:sz w:val="24"/>
          <w:szCs w:val="24"/>
          <w:lang w:val="es-ES"/>
        </w:rPr>
        <w:t>5.3. Plazo para el cumplimento de esta resolución.</w:t>
      </w:r>
    </w:p>
    <w:p w:rsidR="009D1131" w:rsidRPr="00FD6433" w:rsidRDefault="009D1131" w:rsidP="009D1131">
      <w:pPr>
        <w:pStyle w:val="corte4fondo"/>
        <w:spacing w:line="240" w:lineRule="auto"/>
        <w:ind w:firstLine="708"/>
        <w:rPr>
          <w:rFonts w:eastAsia="Arial" w:cs="Arial"/>
          <w:color w:val="4472C4" w:themeColor="accent1"/>
          <w:sz w:val="24"/>
          <w:szCs w:val="24"/>
        </w:rPr>
      </w:pPr>
      <w:r w:rsidRPr="00FD6433">
        <w:rPr>
          <w:rFonts w:eastAsia="Arial" w:cs="Arial"/>
          <w:color w:val="4472C4" w:themeColor="accent1"/>
          <w:sz w:val="24"/>
          <w:szCs w:val="24"/>
        </w:rPr>
        <w:t xml:space="preserve">Con fundamento en el artículo 175 de la Ley de Transparencia y Acceso a la Información Pública del Estado, este órgano colegiado le concede al sujeto obligado el plazo de </w:t>
      </w:r>
      <w:r w:rsidRPr="00FD6433">
        <w:rPr>
          <w:rFonts w:eastAsia="Arial" w:cs="Arial"/>
          <w:b/>
          <w:bCs/>
          <w:color w:val="4472C4" w:themeColor="accent1"/>
          <w:sz w:val="24"/>
          <w:szCs w:val="24"/>
        </w:rPr>
        <w:t xml:space="preserve">diez días </w:t>
      </w:r>
      <w:r w:rsidRPr="00FD6433">
        <w:rPr>
          <w:rFonts w:eastAsia="Arial" w:cs="Arial"/>
          <w:color w:val="4472C4" w:themeColor="accent1"/>
          <w:sz w:val="24"/>
          <w:szCs w:val="24"/>
        </w:rPr>
        <w:t>para la entrega de la información, plazo que es el que está Comisión de Transparencia considera que es suficiente, ya que es el máximo autorizado por el citado precepto.</w:t>
      </w:r>
    </w:p>
    <w:p w:rsidR="009D1131" w:rsidRPr="00FD6433" w:rsidRDefault="009D1131" w:rsidP="009D1131">
      <w:pPr>
        <w:spacing w:after="0" w:line="240" w:lineRule="auto"/>
        <w:ind w:firstLine="709"/>
        <w:jc w:val="both"/>
        <w:rPr>
          <w:rFonts w:ascii="Arial" w:eastAsia="Arial" w:hAnsi="Arial" w:cs="Arial"/>
          <w:color w:val="4472C4" w:themeColor="accent1"/>
          <w:sz w:val="24"/>
          <w:szCs w:val="24"/>
        </w:rPr>
      </w:pPr>
    </w:p>
    <w:p w:rsidR="009D1131" w:rsidRPr="00FD6433" w:rsidRDefault="009D1131" w:rsidP="009D1131">
      <w:pPr>
        <w:pStyle w:val="corte4fondo"/>
        <w:spacing w:line="240" w:lineRule="auto"/>
        <w:ind w:firstLine="708"/>
        <w:rPr>
          <w:rFonts w:eastAsia="Arial" w:cs="Arial"/>
          <w:color w:val="4472C4" w:themeColor="accent1"/>
          <w:sz w:val="24"/>
          <w:szCs w:val="24"/>
        </w:rPr>
      </w:pPr>
      <w:r w:rsidRPr="00FD6433">
        <w:rPr>
          <w:rFonts w:eastAsia="Arial" w:cs="Arial"/>
          <w:b/>
          <w:bCs/>
          <w:color w:val="4472C4" w:themeColor="accent1"/>
          <w:sz w:val="24"/>
          <w:szCs w:val="24"/>
          <w:lang w:val="es-ES"/>
        </w:rPr>
        <w:t>5.4 Informe sobre el cumplimento a la resolución.</w:t>
      </w:r>
    </w:p>
    <w:p w:rsidR="009D1131" w:rsidRPr="00FD6433" w:rsidRDefault="009D1131" w:rsidP="009D1131">
      <w:pPr>
        <w:pStyle w:val="corte4fondo"/>
        <w:spacing w:line="240" w:lineRule="auto"/>
        <w:ind w:firstLine="708"/>
        <w:rPr>
          <w:rFonts w:eastAsia="Arial" w:cs="Arial"/>
          <w:color w:val="4472C4" w:themeColor="accent1"/>
          <w:sz w:val="24"/>
          <w:szCs w:val="24"/>
        </w:rPr>
      </w:pPr>
      <w:r w:rsidRPr="00FD6433">
        <w:rPr>
          <w:rFonts w:eastAsia="Arial" w:cs="Arial"/>
          <w:color w:val="4472C4" w:themeColor="accent1"/>
          <w:sz w:val="24"/>
          <w:szCs w:val="24"/>
        </w:rPr>
        <w:t xml:space="preserve">De conformidad con el artículo 177, segundo párrafo, el sujeto obligado deberá de informar a esta Comisión de Transparencia el </w:t>
      </w:r>
      <w:r w:rsidRPr="00FD6433">
        <w:rPr>
          <w:rFonts w:eastAsia="Arial" w:cs="Arial"/>
          <w:b/>
          <w:bCs/>
          <w:color w:val="4472C4" w:themeColor="accent1"/>
          <w:sz w:val="24"/>
          <w:szCs w:val="24"/>
        </w:rPr>
        <w:t xml:space="preserve">cumplimento a la presente resolución en un plazo que no deberá de exceder de tres días siguientes a los diez días que tiene para la entrega de la información </w:t>
      </w:r>
      <w:r w:rsidRPr="00FD6433">
        <w:rPr>
          <w:rFonts w:eastAsia="Arial" w:cs="Arial"/>
          <w:color w:val="4472C4" w:themeColor="accent1"/>
          <w:sz w:val="24"/>
          <w:szCs w:val="24"/>
        </w:rPr>
        <w:t>en donde justificará con los documentos necesarios el cumplimento a lo aquí ordenado.</w:t>
      </w:r>
    </w:p>
    <w:p w:rsidR="009D1131" w:rsidRPr="00FD6433" w:rsidRDefault="009D1131" w:rsidP="009D1131">
      <w:pPr>
        <w:spacing w:after="0" w:line="240" w:lineRule="auto"/>
        <w:ind w:firstLine="709"/>
        <w:jc w:val="both"/>
        <w:rPr>
          <w:rFonts w:ascii="Arial" w:eastAsia="Arial" w:hAnsi="Arial" w:cs="Arial"/>
          <w:color w:val="4472C4" w:themeColor="accent1"/>
          <w:sz w:val="24"/>
          <w:szCs w:val="24"/>
        </w:rPr>
      </w:pPr>
    </w:p>
    <w:p w:rsidR="009D1131" w:rsidRPr="00FD6433" w:rsidRDefault="009D1131" w:rsidP="009D1131">
      <w:pPr>
        <w:pStyle w:val="corte4fondo"/>
        <w:spacing w:line="240" w:lineRule="auto"/>
        <w:ind w:firstLine="708"/>
        <w:rPr>
          <w:rFonts w:eastAsia="Arial" w:cs="Arial"/>
          <w:color w:val="4472C4" w:themeColor="accent1"/>
          <w:sz w:val="24"/>
          <w:szCs w:val="24"/>
        </w:rPr>
      </w:pPr>
      <w:r w:rsidRPr="00FD6433">
        <w:rPr>
          <w:rFonts w:eastAsia="Arial" w:cs="Arial"/>
          <w:b/>
          <w:bCs/>
          <w:color w:val="4472C4" w:themeColor="accent1"/>
          <w:sz w:val="24"/>
          <w:szCs w:val="24"/>
          <w:lang w:val="es-ES"/>
        </w:rPr>
        <w:t>5.5. Medida de apremio en caso de incumplimiento a la resolución.</w:t>
      </w:r>
    </w:p>
    <w:p w:rsidR="009D1131" w:rsidRPr="00FD6433" w:rsidRDefault="009D1131" w:rsidP="009D1131">
      <w:pPr>
        <w:spacing w:after="0" w:line="240" w:lineRule="auto"/>
        <w:ind w:firstLine="709"/>
        <w:jc w:val="both"/>
        <w:rPr>
          <w:rFonts w:ascii="Arial" w:eastAsia="Arial" w:hAnsi="Arial" w:cs="Arial"/>
          <w:color w:val="4472C4" w:themeColor="accent1"/>
          <w:sz w:val="24"/>
          <w:szCs w:val="24"/>
        </w:rPr>
      </w:pPr>
    </w:p>
    <w:p w:rsidR="009D1131" w:rsidRPr="00FD6433" w:rsidRDefault="009D1131" w:rsidP="009D1131">
      <w:pPr>
        <w:pStyle w:val="corte4fondo"/>
        <w:spacing w:line="240" w:lineRule="auto"/>
        <w:ind w:firstLine="708"/>
        <w:rPr>
          <w:rFonts w:eastAsia="Arial" w:cs="Arial"/>
          <w:color w:val="4472C4" w:themeColor="accent1"/>
          <w:sz w:val="24"/>
          <w:szCs w:val="24"/>
        </w:rPr>
      </w:pPr>
      <w:r w:rsidRPr="00FD6433">
        <w:rPr>
          <w:rFonts w:eastAsia="Arial" w:cs="Arial"/>
          <w:color w:val="4472C4" w:themeColor="accent1"/>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9D1131" w:rsidRPr="00FD6433" w:rsidRDefault="009D1131" w:rsidP="009D1131">
      <w:pPr>
        <w:spacing w:after="0" w:line="240" w:lineRule="auto"/>
        <w:ind w:firstLine="709"/>
        <w:jc w:val="both"/>
        <w:rPr>
          <w:rFonts w:ascii="Arial" w:eastAsia="Arial" w:hAnsi="Arial" w:cs="Arial"/>
          <w:color w:val="4472C4" w:themeColor="accent1"/>
          <w:sz w:val="24"/>
          <w:szCs w:val="24"/>
        </w:rPr>
      </w:pPr>
    </w:p>
    <w:p w:rsidR="009D1131" w:rsidRPr="00FD6433" w:rsidRDefault="009D1131" w:rsidP="009D1131">
      <w:pPr>
        <w:pStyle w:val="corte4fondo"/>
        <w:spacing w:line="240" w:lineRule="auto"/>
        <w:jc w:val="center"/>
        <w:rPr>
          <w:rFonts w:eastAsia="Arial" w:cs="Arial"/>
          <w:color w:val="4472C4" w:themeColor="accent1"/>
          <w:sz w:val="24"/>
          <w:szCs w:val="24"/>
        </w:rPr>
      </w:pPr>
      <w:r w:rsidRPr="00FD6433">
        <w:rPr>
          <w:rFonts w:eastAsia="Arial" w:cs="Arial"/>
          <w:b/>
          <w:bCs/>
          <w:color w:val="4472C4" w:themeColor="accent1"/>
          <w:sz w:val="24"/>
          <w:szCs w:val="24"/>
        </w:rPr>
        <w:t>RESOLUTIVO</w:t>
      </w:r>
    </w:p>
    <w:p w:rsidR="009D1131" w:rsidRPr="00FD6433" w:rsidRDefault="009D1131" w:rsidP="009D1131">
      <w:pPr>
        <w:spacing w:after="0" w:line="240" w:lineRule="auto"/>
        <w:ind w:firstLine="709"/>
        <w:jc w:val="center"/>
        <w:rPr>
          <w:rFonts w:ascii="Arial" w:eastAsia="Arial" w:hAnsi="Arial" w:cs="Arial"/>
          <w:color w:val="4472C4" w:themeColor="accent1"/>
          <w:sz w:val="24"/>
          <w:szCs w:val="24"/>
        </w:rPr>
      </w:pPr>
    </w:p>
    <w:p w:rsidR="009D1131" w:rsidRPr="00FD6433" w:rsidRDefault="009D1131" w:rsidP="009D1131">
      <w:pPr>
        <w:pStyle w:val="corte4fondo"/>
        <w:spacing w:line="240" w:lineRule="auto"/>
        <w:ind w:firstLine="708"/>
        <w:rPr>
          <w:rFonts w:eastAsia="Arial" w:cs="Arial"/>
          <w:color w:val="4472C4" w:themeColor="accent1"/>
          <w:sz w:val="24"/>
          <w:szCs w:val="24"/>
        </w:rPr>
      </w:pPr>
      <w:r w:rsidRPr="00FD6433">
        <w:rPr>
          <w:rFonts w:eastAsia="Arial" w:cs="Arial"/>
          <w:b/>
          <w:bCs/>
          <w:color w:val="4472C4" w:themeColor="accent1"/>
          <w:sz w:val="24"/>
          <w:szCs w:val="24"/>
        </w:rPr>
        <w:t>Por lo expuesto y fundado, SE RESUELVE:</w:t>
      </w:r>
    </w:p>
    <w:p w:rsidR="009D1131" w:rsidRPr="00FD6433" w:rsidRDefault="009D1131" w:rsidP="009D1131">
      <w:pPr>
        <w:spacing w:after="0" w:line="240" w:lineRule="auto"/>
        <w:ind w:firstLine="709"/>
        <w:jc w:val="both"/>
        <w:rPr>
          <w:rFonts w:ascii="Arial" w:eastAsia="Arial" w:hAnsi="Arial" w:cs="Arial"/>
          <w:color w:val="4472C4" w:themeColor="accent1"/>
          <w:sz w:val="24"/>
          <w:szCs w:val="24"/>
        </w:rPr>
      </w:pPr>
    </w:p>
    <w:p w:rsidR="009D1131" w:rsidRPr="00FD6433" w:rsidRDefault="009D1131" w:rsidP="009D1131">
      <w:pPr>
        <w:pStyle w:val="corte4fondo"/>
        <w:spacing w:line="240" w:lineRule="auto"/>
        <w:ind w:firstLine="708"/>
        <w:rPr>
          <w:rFonts w:eastAsia="Arial" w:cs="Arial"/>
          <w:color w:val="4472C4" w:themeColor="accent1"/>
          <w:sz w:val="24"/>
          <w:szCs w:val="24"/>
        </w:rPr>
      </w:pPr>
      <w:r w:rsidRPr="00FD6433">
        <w:rPr>
          <w:rFonts w:eastAsia="Calibri" w:cs="Arial"/>
          <w:b/>
          <w:bCs/>
          <w:color w:val="4472C4" w:themeColor="accent1"/>
          <w:sz w:val="24"/>
          <w:szCs w:val="24"/>
        </w:rPr>
        <w:lastRenderedPageBreak/>
        <w:t xml:space="preserve">ÚNICO. </w:t>
      </w:r>
      <w:r w:rsidRPr="00FD6433">
        <w:rPr>
          <w:rFonts w:eastAsia="Arial" w:cs="Arial"/>
          <w:color w:val="4472C4" w:themeColor="accent1"/>
          <w:sz w:val="24"/>
          <w:szCs w:val="24"/>
        </w:rPr>
        <w:t xml:space="preserve">Esta Comisión Estatal de Garantía y Acceso a la Información Pública </w:t>
      </w:r>
      <w:r w:rsidRPr="00FD6433">
        <w:rPr>
          <w:rFonts w:eastAsia="Arial" w:cs="Arial"/>
          <w:b/>
          <w:bCs/>
          <w:color w:val="4472C4" w:themeColor="accent1"/>
          <w:sz w:val="24"/>
          <w:szCs w:val="24"/>
        </w:rPr>
        <w:t>Modifica el acto impugnado</w:t>
      </w:r>
      <w:r w:rsidRPr="00FD6433">
        <w:rPr>
          <w:rFonts w:eastAsia="Arial" w:cs="Arial"/>
          <w:color w:val="4472C4" w:themeColor="accent1"/>
          <w:sz w:val="24"/>
          <w:szCs w:val="24"/>
        </w:rPr>
        <w:t xml:space="preserve"> por los fundamentos y las razones desarrolladas en el considerando quinto de la presente resolución.</w:t>
      </w:r>
    </w:p>
    <w:p w:rsidR="009D1131" w:rsidRPr="00FD6433" w:rsidRDefault="009D1131" w:rsidP="009D1131">
      <w:pPr>
        <w:spacing w:after="0" w:line="240" w:lineRule="auto"/>
        <w:ind w:firstLine="709"/>
        <w:jc w:val="both"/>
        <w:rPr>
          <w:rFonts w:ascii="Arial" w:eastAsia="Arial" w:hAnsi="Arial" w:cs="Arial"/>
          <w:color w:val="4472C4" w:themeColor="accent1"/>
          <w:sz w:val="24"/>
          <w:szCs w:val="24"/>
        </w:rPr>
      </w:pPr>
    </w:p>
    <w:p w:rsidR="009D1131" w:rsidRPr="00FD6433" w:rsidRDefault="009D1131" w:rsidP="009D1131">
      <w:pPr>
        <w:pStyle w:val="corte4fondo"/>
        <w:spacing w:line="240" w:lineRule="auto"/>
        <w:ind w:firstLine="708"/>
        <w:rPr>
          <w:rFonts w:eastAsia="Arial" w:cs="Arial"/>
          <w:color w:val="4472C4" w:themeColor="accent1"/>
          <w:sz w:val="24"/>
          <w:szCs w:val="24"/>
        </w:rPr>
      </w:pPr>
      <w:r w:rsidRPr="00FD6433">
        <w:rPr>
          <w:rFonts w:eastAsia="Arial" w:cs="Arial"/>
          <w:color w:val="4472C4" w:themeColor="accent1"/>
          <w:sz w:val="24"/>
          <w:szCs w:val="24"/>
        </w:rPr>
        <w:t>Notifíquese; por oficio a las autoridades y a la recurrente por el medio que designó</w:t>
      </w:r>
      <w:r w:rsidRPr="00FD6433">
        <w:rPr>
          <w:rFonts w:eastAsia="Arial" w:cs="Arial"/>
          <w:b/>
          <w:bCs/>
          <w:color w:val="4472C4" w:themeColor="accent1"/>
          <w:sz w:val="24"/>
          <w:szCs w:val="24"/>
        </w:rPr>
        <w:t>.</w:t>
      </w:r>
    </w:p>
    <w:p w:rsidR="009D1131" w:rsidRPr="00FD6433" w:rsidRDefault="009D1131" w:rsidP="009D1131">
      <w:pPr>
        <w:spacing w:line="240" w:lineRule="auto"/>
        <w:ind w:firstLine="708"/>
        <w:jc w:val="both"/>
        <w:rPr>
          <w:rFonts w:ascii="Arial" w:eastAsia="Arial" w:hAnsi="Arial" w:cs="Arial"/>
          <w:color w:val="4472C4" w:themeColor="accent1"/>
          <w:sz w:val="24"/>
          <w:szCs w:val="24"/>
        </w:rPr>
      </w:pPr>
    </w:p>
    <w:p w:rsidR="009D1131" w:rsidRPr="00FD6433" w:rsidRDefault="009D1131" w:rsidP="009D1131">
      <w:pPr>
        <w:pStyle w:val="corte4fondo"/>
        <w:tabs>
          <w:tab w:val="left" w:pos="567"/>
        </w:tabs>
        <w:spacing w:line="240" w:lineRule="auto"/>
        <w:rPr>
          <w:rFonts w:cs="Arial"/>
          <w:color w:val="4472C4" w:themeColor="accent1"/>
          <w:sz w:val="24"/>
          <w:szCs w:val="24"/>
        </w:rPr>
      </w:pPr>
      <w:r w:rsidRPr="00FD6433">
        <w:rPr>
          <w:rFonts w:cs="Arial"/>
          <w:color w:val="4472C4" w:themeColor="accent1"/>
          <w:sz w:val="24"/>
          <w:szCs w:val="24"/>
        </w:rPr>
        <w:t xml:space="preserve">Así lo resuelve, por unanimidad de votos, el pleno de la Comisión Estatal de Garantía de Acceso a la Información Pública, conformado por los Comisionados, Mariajosé González Zarzosa, José Alfredo Solis Ramírez, David Enrique Menchaca Zúñiga Presidente, </w:t>
      </w:r>
      <w:r w:rsidRPr="00FD6433">
        <w:rPr>
          <w:rFonts w:cs="Arial"/>
          <w:b/>
          <w:color w:val="4472C4" w:themeColor="accent1"/>
          <w:sz w:val="24"/>
          <w:szCs w:val="24"/>
        </w:rPr>
        <w:t xml:space="preserve">siendo ponente el segundo de los nombrados, </w:t>
      </w:r>
      <w:r w:rsidRPr="00FD6433">
        <w:rPr>
          <w:rFonts w:cs="Arial"/>
          <w:color w:val="4472C4" w:themeColor="accent1"/>
          <w:sz w:val="24"/>
          <w:szCs w:val="24"/>
        </w:rPr>
        <w:t xml:space="preserve">quienes en unión de la licenciada Rosa María Motilla García, Secretaria Pleno que da fe, firman esta resolución. </w:t>
      </w:r>
      <w:r w:rsidRPr="00FD6433">
        <w:rPr>
          <w:rFonts w:eastAsia="Arial Unicode MS" w:cs="Arial"/>
          <w:color w:val="4472C4" w:themeColor="accent1"/>
          <w:sz w:val="24"/>
          <w:szCs w:val="24"/>
        </w:rPr>
        <w:t xml:space="preserve"> </w:t>
      </w:r>
    </w:p>
    <w:p w:rsidR="009D1131" w:rsidRPr="00FD6433" w:rsidRDefault="009D1131" w:rsidP="009D1131">
      <w:pPr>
        <w:spacing w:before="240" w:after="240" w:line="240" w:lineRule="auto"/>
        <w:rPr>
          <w:rFonts w:ascii="Arial" w:hAnsi="Arial" w:cs="Arial"/>
          <w:color w:val="4472C4" w:themeColor="accent1"/>
          <w:sz w:val="24"/>
          <w:szCs w:val="24"/>
        </w:rPr>
      </w:pPr>
    </w:p>
    <w:tbl>
      <w:tblPr>
        <w:tblW w:w="8897" w:type="dxa"/>
        <w:tblLook w:val="04A0" w:firstRow="1" w:lastRow="0" w:firstColumn="1" w:lastColumn="0" w:noHBand="0" w:noVBand="1"/>
      </w:tblPr>
      <w:tblGrid>
        <w:gridCol w:w="4219"/>
        <w:gridCol w:w="4678"/>
      </w:tblGrid>
      <w:tr w:rsidR="009D1131" w:rsidRPr="00FD6433" w:rsidTr="0009581A">
        <w:tc>
          <w:tcPr>
            <w:tcW w:w="4219" w:type="dxa"/>
          </w:tcPr>
          <w:p w:rsidR="009D1131" w:rsidRPr="00FD6433" w:rsidRDefault="009D1131" w:rsidP="0009581A">
            <w:pPr>
              <w:spacing w:after="240" w:line="240" w:lineRule="auto"/>
              <w:jc w:val="center"/>
              <w:rPr>
                <w:rFonts w:ascii="Arial" w:eastAsia="Times New Roman" w:hAnsi="Arial" w:cs="Arial"/>
                <w:b/>
                <w:caps/>
                <w:color w:val="4472C4" w:themeColor="accent1"/>
                <w:sz w:val="24"/>
                <w:szCs w:val="24"/>
              </w:rPr>
            </w:pPr>
            <w:r w:rsidRPr="00FD6433">
              <w:rPr>
                <w:rFonts w:ascii="Arial" w:eastAsia="Times New Roman" w:hAnsi="Arial" w:cs="Arial"/>
                <w:b/>
                <w:caps/>
                <w:color w:val="4472C4" w:themeColor="accent1"/>
                <w:sz w:val="24"/>
                <w:szCs w:val="24"/>
              </w:rPr>
              <w:t>COMISIONADO PRESIDENTE</w:t>
            </w:r>
          </w:p>
          <w:p w:rsidR="009D1131" w:rsidRPr="00FD6433" w:rsidRDefault="009D1131" w:rsidP="0009581A">
            <w:pPr>
              <w:spacing w:before="240" w:after="240" w:line="240" w:lineRule="auto"/>
              <w:jc w:val="center"/>
              <w:rPr>
                <w:rFonts w:ascii="Arial" w:eastAsia="Times New Roman" w:hAnsi="Arial" w:cs="Arial"/>
                <w:b/>
                <w:caps/>
                <w:color w:val="4472C4" w:themeColor="accent1"/>
                <w:sz w:val="24"/>
                <w:szCs w:val="24"/>
              </w:rPr>
            </w:pPr>
          </w:p>
          <w:p w:rsidR="009D1131" w:rsidRPr="00FD6433" w:rsidRDefault="009D1131" w:rsidP="0009581A">
            <w:pPr>
              <w:spacing w:before="240" w:after="240" w:line="240" w:lineRule="auto"/>
              <w:jc w:val="center"/>
              <w:rPr>
                <w:rFonts w:ascii="Arial" w:eastAsia="Times New Roman" w:hAnsi="Arial" w:cs="Arial"/>
                <w:b/>
                <w:caps/>
                <w:color w:val="4472C4" w:themeColor="accent1"/>
                <w:sz w:val="24"/>
                <w:szCs w:val="24"/>
              </w:rPr>
            </w:pPr>
          </w:p>
          <w:p w:rsidR="009D1131" w:rsidRPr="00FD6433" w:rsidRDefault="009D1131" w:rsidP="0009581A">
            <w:pPr>
              <w:spacing w:before="240" w:after="240" w:line="240" w:lineRule="auto"/>
              <w:jc w:val="center"/>
              <w:rPr>
                <w:rFonts w:ascii="Arial" w:eastAsia="Times New Roman" w:hAnsi="Arial" w:cs="Arial"/>
                <w:b/>
                <w:caps/>
                <w:color w:val="4472C4" w:themeColor="accent1"/>
                <w:sz w:val="24"/>
                <w:szCs w:val="24"/>
              </w:rPr>
            </w:pPr>
            <w:r w:rsidRPr="00FD6433">
              <w:rPr>
                <w:rFonts w:ascii="Arial" w:eastAsia="Times New Roman" w:hAnsi="Arial" w:cs="Arial"/>
                <w:b/>
                <w:caps/>
                <w:color w:val="4472C4" w:themeColor="accent1"/>
                <w:sz w:val="24"/>
                <w:szCs w:val="24"/>
              </w:rPr>
              <w:t>DAVID ENRIQUE MENCHACA ZUÑIGA</w:t>
            </w:r>
          </w:p>
          <w:p w:rsidR="009D1131" w:rsidRPr="00FD6433" w:rsidRDefault="009D1131" w:rsidP="0009581A">
            <w:pPr>
              <w:spacing w:before="240" w:after="240" w:line="240" w:lineRule="auto"/>
              <w:jc w:val="center"/>
              <w:rPr>
                <w:rFonts w:ascii="Arial" w:eastAsia="Times New Roman" w:hAnsi="Arial" w:cs="Arial"/>
                <w:b/>
                <w:caps/>
                <w:color w:val="4472C4" w:themeColor="accent1"/>
                <w:sz w:val="24"/>
                <w:szCs w:val="24"/>
              </w:rPr>
            </w:pPr>
          </w:p>
        </w:tc>
        <w:tc>
          <w:tcPr>
            <w:tcW w:w="4678" w:type="dxa"/>
          </w:tcPr>
          <w:p w:rsidR="009D1131" w:rsidRPr="00FD6433" w:rsidRDefault="009D1131" w:rsidP="0009581A">
            <w:pPr>
              <w:spacing w:after="240" w:line="240" w:lineRule="auto"/>
              <w:ind w:left="48"/>
              <w:jc w:val="center"/>
              <w:rPr>
                <w:rFonts w:ascii="Arial" w:eastAsia="Times New Roman" w:hAnsi="Arial" w:cs="Arial"/>
                <w:b/>
                <w:caps/>
                <w:color w:val="4472C4" w:themeColor="accent1"/>
                <w:sz w:val="24"/>
                <w:szCs w:val="24"/>
              </w:rPr>
            </w:pPr>
            <w:r w:rsidRPr="00FD6433">
              <w:rPr>
                <w:rFonts w:ascii="Arial" w:eastAsia="Times New Roman" w:hAnsi="Arial" w:cs="Arial"/>
                <w:b/>
                <w:caps/>
                <w:color w:val="4472C4" w:themeColor="accent1"/>
                <w:sz w:val="24"/>
                <w:szCs w:val="24"/>
              </w:rPr>
              <w:t xml:space="preserve">COMISIONADO </w:t>
            </w:r>
          </w:p>
          <w:p w:rsidR="009D1131" w:rsidRPr="00FD6433" w:rsidRDefault="009D1131" w:rsidP="0009581A">
            <w:pPr>
              <w:spacing w:before="240" w:after="240" w:line="240" w:lineRule="auto"/>
              <w:jc w:val="center"/>
              <w:rPr>
                <w:rFonts w:ascii="Arial" w:eastAsia="Times New Roman" w:hAnsi="Arial" w:cs="Arial"/>
                <w:b/>
                <w:caps/>
                <w:color w:val="4472C4" w:themeColor="accent1"/>
                <w:sz w:val="24"/>
                <w:szCs w:val="24"/>
              </w:rPr>
            </w:pPr>
          </w:p>
          <w:p w:rsidR="009D1131" w:rsidRPr="00FD6433" w:rsidRDefault="009D1131" w:rsidP="0009581A">
            <w:pPr>
              <w:spacing w:before="240" w:after="240" w:line="240" w:lineRule="auto"/>
              <w:jc w:val="center"/>
              <w:rPr>
                <w:rFonts w:ascii="Arial" w:eastAsia="Times New Roman" w:hAnsi="Arial" w:cs="Arial"/>
                <w:b/>
                <w:caps/>
                <w:color w:val="4472C4" w:themeColor="accent1"/>
                <w:sz w:val="24"/>
                <w:szCs w:val="24"/>
              </w:rPr>
            </w:pPr>
          </w:p>
          <w:p w:rsidR="009D1131" w:rsidRPr="00FD6433" w:rsidRDefault="009D1131" w:rsidP="0009581A">
            <w:pPr>
              <w:spacing w:before="240" w:after="240" w:line="240" w:lineRule="auto"/>
              <w:jc w:val="center"/>
              <w:rPr>
                <w:rFonts w:ascii="Arial" w:eastAsia="Times New Roman" w:hAnsi="Arial" w:cs="Arial"/>
                <w:b/>
                <w:caps/>
                <w:color w:val="4472C4" w:themeColor="accent1"/>
                <w:sz w:val="24"/>
                <w:szCs w:val="24"/>
              </w:rPr>
            </w:pPr>
            <w:r w:rsidRPr="00FD6433">
              <w:rPr>
                <w:rFonts w:ascii="Arial" w:eastAsia="Times New Roman" w:hAnsi="Arial" w:cs="Arial"/>
                <w:b/>
                <w:caps/>
                <w:color w:val="4472C4" w:themeColor="accent1"/>
                <w:sz w:val="24"/>
                <w:szCs w:val="24"/>
              </w:rPr>
              <w:t xml:space="preserve">José Alfredo Solis Ramírez </w:t>
            </w:r>
          </w:p>
          <w:p w:rsidR="009D1131" w:rsidRPr="00FD6433" w:rsidRDefault="009D1131" w:rsidP="0009581A">
            <w:pPr>
              <w:spacing w:before="240" w:after="240" w:line="240" w:lineRule="auto"/>
              <w:jc w:val="center"/>
              <w:rPr>
                <w:rFonts w:ascii="Arial" w:eastAsia="Times New Roman" w:hAnsi="Arial" w:cs="Arial"/>
                <w:b/>
                <w:caps/>
                <w:color w:val="4472C4" w:themeColor="accent1"/>
                <w:sz w:val="24"/>
                <w:szCs w:val="24"/>
              </w:rPr>
            </w:pPr>
          </w:p>
        </w:tc>
      </w:tr>
      <w:tr w:rsidR="009D1131" w:rsidRPr="00FD6433" w:rsidTr="0009581A">
        <w:trPr>
          <w:trHeight w:val="2075"/>
        </w:trPr>
        <w:tc>
          <w:tcPr>
            <w:tcW w:w="4219" w:type="dxa"/>
          </w:tcPr>
          <w:p w:rsidR="009D1131" w:rsidRPr="00FD6433" w:rsidRDefault="009D1131" w:rsidP="0009581A">
            <w:pPr>
              <w:spacing w:after="240" w:line="240" w:lineRule="auto"/>
              <w:jc w:val="center"/>
              <w:rPr>
                <w:rFonts w:ascii="Arial" w:eastAsia="Times New Roman" w:hAnsi="Arial" w:cs="Arial"/>
                <w:b/>
                <w:caps/>
                <w:color w:val="4472C4" w:themeColor="accent1"/>
                <w:sz w:val="24"/>
                <w:szCs w:val="24"/>
              </w:rPr>
            </w:pPr>
            <w:r w:rsidRPr="00FD6433">
              <w:rPr>
                <w:rFonts w:ascii="Arial" w:eastAsia="Times New Roman" w:hAnsi="Arial" w:cs="Arial"/>
                <w:b/>
                <w:caps/>
                <w:color w:val="4472C4" w:themeColor="accent1"/>
                <w:sz w:val="24"/>
                <w:szCs w:val="24"/>
              </w:rPr>
              <w:t>COMISIONADA</w:t>
            </w:r>
          </w:p>
          <w:p w:rsidR="009D1131" w:rsidRPr="00FD6433" w:rsidRDefault="009D1131" w:rsidP="0009581A">
            <w:pPr>
              <w:spacing w:line="240" w:lineRule="auto"/>
              <w:rPr>
                <w:rFonts w:ascii="Arial" w:eastAsia="Times New Roman" w:hAnsi="Arial" w:cs="Arial"/>
                <w:b/>
                <w:caps/>
                <w:color w:val="4472C4" w:themeColor="accent1"/>
                <w:sz w:val="24"/>
                <w:szCs w:val="24"/>
              </w:rPr>
            </w:pPr>
          </w:p>
          <w:p w:rsidR="009D1131" w:rsidRPr="00FD6433" w:rsidRDefault="009D1131" w:rsidP="0009581A">
            <w:pPr>
              <w:spacing w:line="240" w:lineRule="auto"/>
              <w:rPr>
                <w:rFonts w:ascii="Arial" w:eastAsia="Times New Roman" w:hAnsi="Arial" w:cs="Arial"/>
                <w:b/>
                <w:caps/>
                <w:color w:val="4472C4" w:themeColor="accent1"/>
                <w:sz w:val="24"/>
                <w:szCs w:val="24"/>
              </w:rPr>
            </w:pPr>
          </w:p>
          <w:p w:rsidR="009D1131" w:rsidRPr="00FD6433" w:rsidRDefault="009D1131" w:rsidP="0009581A">
            <w:pPr>
              <w:spacing w:line="240" w:lineRule="auto"/>
              <w:rPr>
                <w:rFonts w:ascii="Arial" w:eastAsia="Times New Roman" w:hAnsi="Arial" w:cs="Arial"/>
                <w:b/>
                <w:caps/>
                <w:color w:val="4472C4" w:themeColor="accent1"/>
                <w:sz w:val="24"/>
                <w:szCs w:val="24"/>
              </w:rPr>
            </w:pPr>
          </w:p>
          <w:p w:rsidR="009D1131" w:rsidRPr="00FD6433" w:rsidRDefault="009D1131" w:rsidP="0009581A">
            <w:pPr>
              <w:spacing w:before="240" w:after="240" w:line="240" w:lineRule="auto"/>
              <w:jc w:val="center"/>
              <w:rPr>
                <w:rFonts w:ascii="Arial" w:eastAsia="Times New Roman" w:hAnsi="Arial" w:cs="Arial"/>
                <w:b/>
                <w:caps/>
                <w:color w:val="4472C4" w:themeColor="accent1"/>
                <w:sz w:val="24"/>
                <w:szCs w:val="24"/>
              </w:rPr>
            </w:pPr>
            <w:r w:rsidRPr="00FD6433">
              <w:rPr>
                <w:rFonts w:ascii="Arial" w:eastAsia="Times New Roman" w:hAnsi="Arial" w:cs="Arial"/>
                <w:b/>
                <w:caps/>
                <w:color w:val="4472C4" w:themeColor="accent1"/>
                <w:sz w:val="24"/>
                <w:szCs w:val="24"/>
              </w:rPr>
              <w:t>MARIAJOSÉ GONZÁLEZ ZARZOsA</w:t>
            </w:r>
          </w:p>
        </w:tc>
        <w:tc>
          <w:tcPr>
            <w:tcW w:w="4678" w:type="dxa"/>
          </w:tcPr>
          <w:p w:rsidR="009D1131" w:rsidRPr="00FD6433" w:rsidRDefault="009D1131" w:rsidP="0009581A">
            <w:pPr>
              <w:spacing w:line="240" w:lineRule="auto"/>
              <w:ind w:left="48" w:firstLine="2"/>
              <w:jc w:val="center"/>
              <w:rPr>
                <w:rFonts w:ascii="Arial" w:eastAsia="Times New Roman" w:hAnsi="Arial" w:cs="Arial"/>
                <w:b/>
                <w:caps/>
                <w:color w:val="4472C4" w:themeColor="accent1"/>
                <w:sz w:val="24"/>
                <w:szCs w:val="24"/>
              </w:rPr>
            </w:pPr>
            <w:r w:rsidRPr="00FD6433">
              <w:rPr>
                <w:rFonts w:ascii="Arial" w:eastAsia="Times New Roman" w:hAnsi="Arial" w:cs="Arial"/>
                <w:b/>
                <w:caps/>
                <w:color w:val="4472C4" w:themeColor="accent1"/>
                <w:sz w:val="24"/>
                <w:szCs w:val="24"/>
              </w:rPr>
              <w:t>SECRETARIA DE PLENO</w:t>
            </w:r>
          </w:p>
          <w:p w:rsidR="009D1131" w:rsidRPr="00FD6433" w:rsidRDefault="009D1131" w:rsidP="0009581A">
            <w:pPr>
              <w:spacing w:line="240" w:lineRule="auto"/>
              <w:ind w:left="48"/>
              <w:jc w:val="center"/>
              <w:rPr>
                <w:rFonts w:ascii="Arial" w:eastAsia="Times New Roman" w:hAnsi="Arial" w:cs="Arial"/>
                <w:b/>
                <w:caps/>
                <w:color w:val="4472C4" w:themeColor="accent1"/>
                <w:sz w:val="24"/>
                <w:szCs w:val="24"/>
              </w:rPr>
            </w:pPr>
          </w:p>
          <w:p w:rsidR="009D1131" w:rsidRPr="00FD6433" w:rsidRDefault="009D1131" w:rsidP="0009581A">
            <w:pPr>
              <w:spacing w:before="240" w:line="240" w:lineRule="auto"/>
              <w:rPr>
                <w:rFonts w:ascii="Arial" w:eastAsia="Times New Roman" w:hAnsi="Arial" w:cs="Arial"/>
                <w:b/>
                <w:caps/>
                <w:color w:val="4472C4" w:themeColor="accent1"/>
                <w:sz w:val="24"/>
                <w:szCs w:val="24"/>
              </w:rPr>
            </w:pPr>
          </w:p>
          <w:p w:rsidR="009D1131" w:rsidRPr="00FD6433" w:rsidRDefault="009D1131" w:rsidP="0009581A">
            <w:pPr>
              <w:spacing w:before="240" w:line="240" w:lineRule="auto"/>
              <w:rPr>
                <w:rFonts w:ascii="Arial" w:eastAsia="Times New Roman" w:hAnsi="Arial" w:cs="Arial"/>
                <w:b/>
                <w:caps/>
                <w:color w:val="4472C4" w:themeColor="accent1"/>
                <w:sz w:val="24"/>
                <w:szCs w:val="24"/>
              </w:rPr>
            </w:pPr>
          </w:p>
          <w:p w:rsidR="009D1131" w:rsidRPr="00FD6433" w:rsidRDefault="009D1131" w:rsidP="0009581A">
            <w:pPr>
              <w:spacing w:line="240" w:lineRule="auto"/>
              <w:ind w:left="48"/>
              <w:jc w:val="center"/>
              <w:rPr>
                <w:rFonts w:ascii="Arial" w:eastAsia="Times New Roman" w:hAnsi="Arial" w:cs="Arial"/>
                <w:b/>
                <w:caps/>
                <w:color w:val="4472C4" w:themeColor="accent1"/>
                <w:sz w:val="24"/>
                <w:szCs w:val="24"/>
              </w:rPr>
            </w:pPr>
            <w:r w:rsidRPr="00FD6433">
              <w:rPr>
                <w:rFonts w:ascii="Arial" w:eastAsia="Times New Roman" w:hAnsi="Arial" w:cs="Arial"/>
                <w:b/>
                <w:caps/>
                <w:color w:val="4472C4" w:themeColor="accent1"/>
                <w:sz w:val="24"/>
                <w:szCs w:val="24"/>
              </w:rPr>
              <w:t>ROSA MARÍA MOTILLA GARCÍA</w:t>
            </w:r>
          </w:p>
        </w:tc>
      </w:tr>
    </w:tbl>
    <w:p w:rsidR="009D1131" w:rsidRPr="00FD6433" w:rsidRDefault="009D1131" w:rsidP="009D1131">
      <w:pPr>
        <w:spacing w:before="240" w:line="240" w:lineRule="auto"/>
        <w:jc w:val="both"/>
        <w:rPr>
          <w:rFonts w:ascii="Arial" w:hAnsi="Arial" w:cs="Arial"/>
          <w:color w:val="4472C4" w:themeColor="accent1"/>
          <w:sz w:val="14"/>
          <w:szCs w:val="24"/>
        </w:rPr>
      </w:pPr>
      <w:r w:rsidRPr="00FD6433">
        <w:rPr>
          <w:rFonts w:ascii="Arial" w:hAnsi="Arial" w:cs="Arial"/>
          <w:color w:val="4472C4" w:themeColor="accent1"/>
          <w:sz w:val="14"/>
          <w:szCs w:val="24"/>
        </w:rPr>
        <w:t>Elaboro YAE</w:t>
      </w:r>
    </w:p>
    <w:p w:rsidR="009D1131" w:rsidRPr="00FD6433" w:rsidRDefault="009D1131" w:rsidP="009D1131">
      <w:pPr>
        <w:spacing w:line="240" w:lineRule="auto"/>
        <w:rPr>
          <w:rFonts w:ascii="Arial" w:hAnsi="Arial" w:cs="Arial"/>
          <w:color w:val="4472C4" w:themeColor="accent1"/>
          <w:sz w:val="24"/>
          <w:szCs w:val="24"/>
        </w:rPr>
      </w:pPr>
    </w:p>
    <w:p w:rsidR="009D1131" w:rsidRPr="00FD6433" w:rsidRDefault="009D1131" w:rsidP="009D1131">
      <w:pPr>
        <w:tabs>
          <w:tab w:val="left" w:pos="1649"/>
        </w:tabs>
        <w:spacing w:after="0" w:line="240" w:lineRule="auto"/>
        <w:ind w:firstLine="709"/>
        <w:jc w:val="both"/>
        <w:rPr>
          <w:rFonts w:ascii="Arial" w:eastAsia="Arial" w:hAnsi="Arial" w:cs="Arial"/>
          <w:color w:val="4472C4" w:themeColor="accent1"/>
          <w:sz w:val="24"/>
          <w:szCs w:val="24"/>
        </w:rPr>
      </w:pPr>
    </w:p>
    <w:p w:rsidR="009D1131" w:rsidRPr="00FD6433" w:rsidRDefault="009D1131" w:rsidP="009D1131">
      <w:pPr>
        <w:spacing w:line="240" w:lineRule="auto"/>
        <w:rPr>
          <w:rFonts w:ascii="Arial" w:hAnsi="Arial" w:cs="Arial"/>
          <w:color w:val="4472C4" w:themeColor="accent1"/>
          <w:sz w:val="24"/>
          <w:szCs w:val="24"/>
        </w:rPr>
      </w:pPr>
    </w:p>
    <w:p w:rsidR="009D1131" w:rsidRPr="00FD6433" w:rsidRDefault="009D1131" w:rsidP="009D1131">
      <w:pPr>
        <w:spacing w:line="240" w:lineRule="auto"/>
        <w:rPr>
          <w:rFonts w:ascii="Arial" w:hAnsi="Arial" w:cs="Arial"/>
          <w:color w:val="4472C4" w:themeColor="accent1"/>
          <w:sz w:val="24"/>
          <w:szCs w:val="24"/>
        </w:rPr>
      </w:pPr>
    </w:p>
    <w:p w:rsidR="009D1131" w:rsidRPr="00FD6433" w:rsidRDefault="009D1131" w:rsidP="009D1131">
      <w:pPr>
        <w:spacing w:line="240" w:lineRule="auto"/>
        <w:rPr>
          <w:rFonts w:ascii="Arial" w:hAnsi="Arial" w:cs="Arial"/>
          <w:color w:val="4472C4" w:themeColor="accent1"/>
          <w:sz w:val="24"/>
          <w:szCs w:val="24"/>
        </w:rPr>
      </w:pPr>
    </w:p>
    <w:sectPr w:rsidR="009D1131" w:rsidRPr="00FD6433" w:rsidSect="00A128F0">
      <w:headerReference w:type="default" r:id="rId8"/>
      <w:pgSz w:w="12240" w:h="20160" w:code="5"/>
      <w:pgMar w:top="2438" w:right="851" w:bottom="3005" w:left="198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6767" w:rsidRDefault="00616767" w:rsidP="009D1131">
      <w:pPr>
        <w:spacing w:after="0" w:line="240" w:lineRule="auto"/>
      </w:pPr>
      <w:r>
        <w:separator/>
      </w:r>
    </w:p>
  </w:endnote>
  <w:endnote w:type="continuationSeparator" w:id="0">
    <w:p w:rsidR="00616767" w:rsidRDefault="00616767" w:rsidP="009D11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6767" w:rsidRDefault="00616767" w:rsidP="009D1131">
      <w:pPr>
        <w:spacing w:after="0" w:line="240" w:lineRule="auto"/>
      </w:pPr>
      <w:r>
        <w:separator/>
      </w:r>
    </w:p>
  </w:footnote>
  <w:footnote w:type="continuationSeparator" w:id="0">
    <w:p w:rsidR="00616767" w:rsidRDefault="00616767" w:rsidP="009D1131">
      <w:pPr>
        <w:spacing w:after="0" w:line="240" w:lineRule="auto"/>
      </w:pPr>
      <w:r>
        <w:continuationSeparator/>
      </w:r>
    </w:p>
  </w:footnote>
  <w:footnote w:id="1">
    <w:p w:rsidR="009D1131" w:rsidRDefault="009D1131" w:rsidP="009D1131">
      <w:pPr>
        <w:pStyle w:val="Textonotapie"/>
        <w:jc w:val="both"/>
        <w:rPr>
          <w:rFonts w:ascii="Arial" w:hAnsi="Arial" w:cs="Arial"/>
          <w:b/>
          <w:sz w:val="14"/>
        </w:rPr>
      </w:pPr>
      <w:r w:rsidRPr="00023DF8">
        <w:rPr>
          <w:rStyle w:val="Refdenotaalpie"/>
          <w:rFonts w:ascii="Arial" w:hAnsi="Arial" w:cs="Arial"/>
          <w:b/>
          <w:sz w:val="14"/>
        </w:rPr>
        <w:footnoteRef/>
      </w:r>
      <w:r w:rsidRPr="00023DF8">
        <w:rPr>
          <w:rFonts w:ascii="Arial" w:hAnsi="Arial" w:cs="Arial"/>
          <w:b/>
          <w:sz w:val="14"/>
        </w:rPr>
        <w:t xml:space="preserve">Artículo 17.- </w:t>
      </w:r>
      <w:r w:rsidRPr="00023DF8">
        <w:rPr>
          <w:rFonts w:ascii="Arial" w:hAnsi="Arial" w:cs="Arial"/>
          <w:sz w:val="14"/>
        </w:rPr>
        <w:t>Ninguna persona podrá hacerse justicia por sí misma, ni ejercer</w:t>
      </w:r>
      <w:r w:rsidRPr="00023DF8">
        <w:rPr>
          <w:rFonts w:ascii="Arial" w:hAnsi="Arial" w:cs="Arial"/>
          <w:b/>
          <w:sz w:val="14"/>
        </w:rPr>
        <w:t xml:space="preserve"> </w:t>
      </w:r>
      <w:r w:rsidRPr="00023DF8">
        <w:rPr>
          <w:rFonts w:ascii="Arial" w:hAnsi="Arial" w:cs="Arial"/>
          <w:sz w:val="14"/>
        </w:rPr>
        <w:t>violencia para reclamar su derecho.</w:t>
      </w:r>
      <w:r w:rsidRPr="00023DF8">
        <w:rPr>
          <w:rFonts w:ascii="Arial" w:hAnsi="Arial" w:cs="Arial"/>
          <w:b/>
          <w:sz w:val="14"/>
        </w:rPr>
        <w:t xml:space="preserve"> </w:t>
      </w:r>
    </w:p>
    <w:p w:rsidR="009D1131" w:rsidRPr="00023DF8" w:rsidRDefault="009D1131" w:rsidP="009D1131">
      <w:pPr>
        <w:pStyle w:val="Textonotapie"/>
        <w:jc w:val="both"/>
        <w:rPr>
          <w:rFonts w:ascii="Arial" w:hAnsi="Arial" w:cs="Arial"/>
          <w:b/>
          <w:sz w:val="14"/>
        </w:rPr>
      </w:pPr>
      <w:r w:rsidRPr="00023DF8">
        <w:rPr>
          <w:rFonts w:ascii="Arial" w:hAnsi="Arial" w:cs="Arial"/>
          <w:sz w:val="14"/>
        </w:rPr>
        <w:t>Toda persona tiene derecho a que se le administre justicia por</w:t>
      </w:r>
      <w:r w:rsidRPr="00023DF8">
        <w:rPr>
          <w:rFonts w:ascii="Arial" w:hAnsi="Arial" w:cs="Arial"/>
          <w:b/>
          <w:sz w:val="14"/>
        </w:rPr>
        <w:t xml:space="preserve"> </w:t>
      </w:r>
      <w:r w:rsidRPr="00023DF8">
        <w:rPr>
          <w:rFonts w:ascii="Arial" w:hAnsi="Arial" w:cs="Arial"/>
          <w:sz w:val="14"/>
        </w:rPr>
        <w:t>tribunales que estarán expeditos para impartirla en los plazos y</w:t>
      </w:r>
      <w:r w:rsidRPr="00023DF8">
        <w:rPr>
          <w:rFonts w:ascii="Arial" w:hAnsi="Arial" w:cs="Arial"/>
          <w:b/>
          <w:sz w:val="14"/>
        </w:rPr>
        <w:t xml:space="preserve"> </w:t>
      </w:r>
      <w:r w:rsidRPr="00023DF8">
        <w:rPr>
          <w:rFonts w:ascii="Arial" w:hAnsi="Arial" w:cs="Arial"/>
          <w:sz w:val="14"/>
        </w:rPr>
        <w:t>términos que fijen las leyes, emitiendo sus resoluciones de manera</w:t>
      </w:r>
      <w:r w:rsidRPr="00023DF8">
        <w:rPr>
          <w:rFonts w:ascii="Arial" w:hAnsi="Arial" w:cs="Arial"/>
          <w:b/>
          <w:sz w:val="14"/>
        </w:rPr>
        <w:t xml:space="preserve"> </w:t>
      </w:r>
      <w:r w:rsidRPr="00023DF8">
        <w:rPr>
          <w:rFonts w:ascii="Arial" w:hAnsi="Arial" w:cs="Arial"/>
          <w:sz w:val="14"/>
        </w:rPr>
        <w:t>pronta, completa e imparcial. Su servicio será gratuito, quedando, en</w:t>
      </w:r>
      <w:r w:rsidRPr="00023DF8">
        <w:rPr>
          <w:rFonts w:ascii="Arial" w:hAnsi="Arial" w:cs="Arial"/>
          <w:b/>
          <w:sz w:val="14"/>
        </w:rPr>
        <w:t xml:space="preserve"> </w:t>
      </w:r>
      <w:r w:rsidRPr="00023DF8">
        <w:rPr>
          <w:rFonts w:ascii="Arial" w:hAnsi="Arial" w:cs="Arial"/>
          <w:sz w:val="14"/>
        </w:rPr>
        <w:t>consecuencia, prohibidas las costas judiciales.</w:t>
      </w:r>
    </w:p>
    <w:p w:rsidR="009D1131" w:rsidRPr="00023DF8" w:rsidRDefault="009D1131" w:rsidP="009D1131">
      <w:pPr>
        <w:pStyle w:val="Textonotapie"/>
        <w:rPr>
          <w:rFonts w:ascii="Arial" w:hAnsi="Arial" w:cs="Arial"/>
          <w:lang w:val="es-ES"/>
        </w:rPr>
      </w:pPr>
      <w:r w:rsidRPr="00023DF8">
        <w:rPr>
          <w:rFonts w:ascii="Arial" w:hAnsi="Arial" w:cs="Arial"/>
          <w:sz w:val="14"/>
        </w:rPr>
        <w:t>Siempre que no se afecte la igualdad entre las partes, el debido proceso</w:t>
      </w:r>
      <w:r w:rsidRPr="00023DF8">
        <w:rPr>
          <w:rFonts w:ascii="Arial" w:hAnsi="Arial" w:cs="Arial"/>
          <w:b/>
          <w:sz w:val="14"/>
        </w:rPr>
        <w:t xml:space="preserve"> </w:t>
      </w:r>
      <w:r w:rsidRPr="00023DF8">
        <w:rPr>
          <w:rFonts w:ascii="Arial" w:hAnsi="Arial" w:cs="Arial"/>
          <w:sz w:val="14"/>
        </w:rPr>
        <w:t>u otros derechos en los juicios o procedimientos seguidos en forma de</w:t>
      </w:r>
      <w:r w:rsidRPr="00023DF8">
        <w:rPr>
          <w:rFonts w:ascii="Arial" w:hAnsi="Arial" w:cs="Arial"/>
          <w:b/>
          <w:sz w:val="14"/>
        </w:rPr>
        <w:t xml:space="preserve"> </w:t>
      </w:r>
      <w:r w:rsidRPr="00023DF8">
        <w:rPr>
          <w:rFonts w:ascii="Arial" w:hAnsi="Arial" w:cs="Arial"/>
          <w:sz w:val="14"/>
        </w:rPr>
        <w:t xml:space="preserve">juicio, las autoridades deberán privilegiar la solución del conflicto sobre </w:t>
      </w:r>
      <w:r w:rsidRPr="00023DF8">
        <w:rPr>
          <w:rFonts w:ascii="Arial" w:hAnsi="Arial" w:cs="Arial"/>
          <w:sz w:val="14"/>
          <w:lang w:val="es-ES"/>
        </w:rPr>
        <w:t>los formalismos procedimentales.</w:t>
      </w:r>
      <w:r>
        <w:rPr>
          <w:rFonts w:ascii="Arial" w:hAnsi="Arial" w:cs="Arial"/>
          <w:sz w:val="14"/>
          <w:lang w:val="es-ES"/>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08AB" w:rsidRPr="00443D9F" w:rsidRDefault="00A97E80" w:rsidP="00ED08AB">
    <w:pPr>
      <w:pStyle w:val="Encabezado"/>
      <w:tabs>
        <w:tab w:val="left" w:pos="3969"/>
      </w:tabs>
      <w:jc w:val="right"/>
      <w:rPr>
        <w:rFonts w:ascii="Arial" w:hAnsi="Arial" w:cs="Arial"/>
        <w:sz w:val="14"/>
        <w:szCs w:val="16"/>
        <w:lang w:val="es-MX"/>
      </w:rPr>
    </w:pPr>
    <w:r w:rsidRPr="00F23CCE">
      <w:rPr>
        <w:rFonts w:ascii="Arial" w:hAnsi="Arial" w:cs="Arial"/>
      </w:rPr>
      <w:t xml:space="preserve">                        </w:t>
    </w:r>
    <w:r>
      <w:rPr>
        <w:rFonts w:ascii="Arial" w:hAnsi="Arial" w:cs="Arial"/>
      </w:rPr>
      <w:t xml:space="preserve">                            </w:t>
    </w:r>
    <w:r w:rsidRPr="00F23CCE">
      <w:rPr>
        <w:rFonts w:ascii="Arial" w:hAnsi="Arial" w:cs="Arial"/>
      </w:rPr>
      <w:fldChar w:fldCharType="begin"/>
    </w:r>
    <w:r w:rsidRPr="00F23CCE">
      <w:rPr>
        <w:rFonts w:ascii="Arial" w:hAnsi="Arial" w:cs="Arial"/>
      </w:rPr>
      <w:instrText xml:space="preserve"> PAGE   \* MERGEFORMAT </w:instrText>
    </w:r>
    <w:r w:rsidRPr="00F23CCE">
      <w:rPr>
        <w:rFonts w:ascii="Arial" w:hAnsi="Arial" w:cs="Arial"/>
      </w:rPr>
      <w:fldChar w:fldCharType="separate"/>
    </w:r>
    <w:r w:rsidR="00C04C6A">
      <w:rPr>
        <w:rFonts w:ascii="Arial" w:hAnsi="Arial" w:cs="Arial"/>
        <w:noProof/>
      </w:rPr>
      <w:t>11</w:t>
    </w:r>
    <w:r w:rsidRPr="00F23CCE">
      <w:rPr>
        <w:rFonts w:ascii="Arial" w:hAnsi="Arial" w:cs="Arial"/>
      </w:rPr>
      <w:fldChar w:fldCharType="end"/>
    </w:r>
    <w:r w:rsidRPr="00F23CCE">
      <w:rPr>
        <w:rFonts w:ascii="Arial" w:hAnsi="Arial" w:cs="Arial"/>
      </w:rPr>
      <w:t xml:space="preserve">                               </w:t>
    </w:r>
    <w:r>
      <w:rPr>
        <w:rFonts w:ascii="Arial" w:hAnsi="Arial" w:cs="Arial"/>
      </w:rPr>
      <w:t xml:space="preserve">                      </w:t>
    </w:r>
    <w:r w:rsidRPr="00443D9F">
      <w:rPr>
        <w:rFonts w:ascii="Arial" w:hAnsi="Arial" w:cs="Arial"/>
        <w:sz w:val="14"/>
        <w:szCs w:val="16"/>
      </w:rPr>
      <w:t>RECURSO DE REVISIÓN</w:t>
    </w:r>
  </w:p>
  <w:p w:rsidR="00ED08AB" w:rsidRPr="00443D9F" w:rsidRDefault="006B1DFF" w:rsidP="00ED08AB">
    <w:pPr>
      <w:pStyle w:val="Encabezado"/>
      <w:tabs>
        <w:tab w:val="left" w:pos="3969"/>
      </w:tabs>
      <w:jc w:val="right"/>
      <w:rPr>
        <w:rFonts w:ascii="Arial" w:hAnsi="Arial" w:cs="Arial"/>
        <w:sz w:val="18"/>
        <w:lang w:val="es-MX"/>
      </w:rPr>
    </w:pPr>
    <w:r>
      <w:rPr>
        <w:rFonts w:ascii="Arial" w:hAnsi="Arial" w:cs="Arial"/>
        <w:sz w:val="14"/>
        <w:szCs w:val="16"/>
        <w:lang w:val="es-MX"/>
      </w:rPr>
      <w:t>576</w:t>
    </w:r>
    <w:r w:rsidR="00A97E80">
      <w:rPr>
        <w:rFonts w:ascii="Arial" w:hAnsi="Arial" w:cs="Arial"/>
        <w:sz w:val="14"/>
        <w:szCs w:val="16"/>
        <w:lang w:val="es-MX"/>
      </w:rPr>
      <w:t>/2022</w:t>
    </w:r>
    <w:r w:rsidR="00A97E80" w:rsidRPr="00443D9F">
      <w:rPr>
        <w:rFonts w:ascii="Arial" w:hAnsi="Arial" w:cs="Arial"/>
        <w:sz w:val="14"/>
        <w:szCs w:val="16"/>
        <w:lang w:val="es-MX"/>
      </w:rPr>
      <w:t xml:space="preserve">-2 </w:t>
    </w:r>
    <w:r w:rsidR="00A97E80">
      <w:rPr>
        <w:rFonts w:ascii="Arial" w:hAnsi="Arial" w:cs="Arial"/>
        <w:sz w:val="14"/>
        <w:szCs w:val="16"/>
        <w:lang w:val="es-MX"/>
      </w:rPr>
      <w:t>SICOM</w:t>
    </w:r>
    <w:r w:rsidR="00A97E80" w:rsidRPr="00443D9F">
      <w:rPr>
        <w:rFonts w:ascii="Arial" w:hAnsi="Arial" w:cs="Arial"/>
        <w:sz w:val="14"/>
        <w:szCs w:val="16"/>
      </w:rPr>
      <w:t xml:space="preserve">                                                                                                                                                                         </w:t>
    </w:r>
  </w:p>
  <w:p w:rsidR="00ED08AB" w:rsidRDefault="00616767">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2F400A"/>
    <w:multiLevelType w:val="hybridMultilevel"/>
    <w:tmpl w:val="FF585D58"/>
    <w:lvl w:ilvl="0" w:tplc="738885C0">
      <w:start w:val="1"/>
      <w:numFmt w:val="bullet"/>
      <w:lvlText w:val=""/>
      <w:lvlJc w:val="left"/>
      <w:pPr>
        <w:ind w:left="720" w:hanging="360"/>
      </w:pPr>
      <w:rPr>
        <w:rFonts w:ascii="Symbol" w:hAnsi="Symbol" w:hint="default"/>
      </w:rPr>
    </w:lvl>
    <w:lvl w:ilvl="1" w:tplc="9FF038BA">
      <w:start w:val="1"/>
      <w:numFmt w:val="bullet"/>
      <w:lvlText w:val="o"/>
      <w:lvlJc w:val="left"/>
      <w:pPr>
        <w:ind w:left="1440" w:hanging="360"/>
      </w:pPr>
      <w:rPr>
        <w:rFonts w:ascii="Courier New" w:hAnsi="Courier New" w:hint="default"/>
      </w:rPr>
    </w:lvl>
    <w:lvl w:ilvl="2" w:tplc="BC28D0B2">
      <w:start w:val="1"/>
      <w:numFmt w:val="bullet"/>
      <w:lvlText w:val=""/>
      <w:lvlJc w:val="left"/>
      <w:pPr>
        <w:ind w:left="2160" w:hanging="360"/>
      </w:pPr>
      <w:rPr>
        <w:rFonts w:ascii="Wingdings" w:hAnsi="Wingdings" w:hint="default"/>
      </w:rPr>
    </w:lvl>
    <w:lvl w:ilvl="3" w:tplc="CFCE8C96">
      <w:start w:val="1"/>
      <w:numFmt w:val="bullet"/>
      <w:lvlText w:val=""/>
      <w:lvlJc w:val="left"/>
      <w:pPr>
        <w:ind w:left="2880" w:hanging="360"/>
      </w:pPr>
      <w:rPr>
        <w:rFonts w:ascii="Symbol" w:hAnsi="Symbol" w:hint="default"/>
      </w:rPr>
    </w:lvl>
    <w:lvl w:ilvl="4" w:tplc="C18CABFE">
      <w:start w:val="1"/>
      <w:numFmt w:val="bullet"/>
      <w:lvlText w:val="o"/>
      <w:lvlJc w:val="left"/>
      <w:pPr>
        <w:ind w:left="3600" w:hanging="360"/>
      </w:pPr>
      <w:rPr>
        <w:rFonts w:ascii="Courier New" w:hAnsi="Courier New" w:hint="default"/>
      </w:rPr>
    </w:lvl>
    <w:lvl w:ilvl="5" w:tplc="AE5A239A">
      <w:start w:val="1"/>
      <w:numFmt w:val="bullet"/>
      <w:lvlText w:val=""/>
      <w:lvlJc w:val="left"/>
      <w:pPr>
        <w:ind w:left="4320" w:hanging="360"/>
      </w:pPr>
      <w:rPr>
        <w:rFonts w:ascii="Wingdings" w:hAnsi="Wingdings" w:hint="default"/>
      </w:rPr>
    </w:lvl>
    <w:lvl w:ilvl="6" w:tplc="3BF20392">
      <w:start w:val="1"/>
      <w:numFmt w:val="bullet"/>
      <w:lvlText w:val=""/>
      <w:lvlJc w:val="left"/>
      <w:pPr>
        <w:ind w:left="5040" w:hanging="360"/>
      </w:pPr>
      <w:rPr>
        <w:rFonts w:ascii="Symbol" w:hAnsi="Symbol" w:hint="default"/>
      </w:rPr>
    </w:lvl>
    <w:lvl w:ilvl="7" w:tplc="537C17B6">
      <w:start w:val="1"/>
      <w:numFmt w:val="bullet"/>
      <w:lvlText w:val="o"/>
      <w:lvlJc w:val="left"/>
      <w:pPr>
        <w:ind w:left="5760" w:hanging="360"/>
      </w:pPr>
      <w:rPr>
        <w:rFonts w:ascii="Courier New" w:hAnsi="Courier New" w:hint="default"/>
      </w:rPr>
    </w:lvl>
    <w:lvl w:ilvl="8" w:tplc="24B80336">
      <w:start w:val="1"/>
      <w:numFmt w:val="bullet"/>
      <w:lvlText w:val=""/>
      <w:lvlJc w:val="left"/>
      <w:pPr>
        <w:ind w:left="6480" w:hanging="360"/>
      </w:pPr>
      <w:rPr>
        <w:rFonts w:ascii="Wingdings" w:hAnsi="Wingdings" w:hint="default"/>
      </w:rPr>
    </w:lvl>
  </w:abstractNum>
  <w:abstractNum w:abstractNumId="1" w15:restartNumberingAfterBreak="0">
    <w:nsid w:val="0BA026F0"/>
    <w:multiLevelType w:val="hybridMultilevel"/>
    <w:tmpl w:val="5652E096"/>
    <w:lvl w:ilvl="0" w:tplc="6BD2C070">
      <w:start w:val="1"/>
      <w:numFmt w:val="bullet"/>
      <w:lvlText w:val=""/>
      <w:lvlJc w:val="left"/>
      <w:pPr>
        <w:ind w:left="720" w:hanging="360"/>
      </w:pPr>
      <w:rPr>
        <w:rFonts w:ascii="Symbol" w:hAnsi="Symbol" w:hint="default"/>
        <w:color w:val="4472C4" w:themeColor="accent1"/>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47B747B"/>
    <w:multiLevelType w:val="hybridMultilevel"/>
    <w:tmpl w:val="A0708054"/>
    <w:lvl w:ilvl="0" w:tplc="5170C53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0337479"/>
    <w:multiLevelType w:val="hybridMultilevel"/>
    <w:tmpl w:val="2520888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0F">
      <w:start w:val="1"/>
      <w:numFmt w:val="decimal"/>
      <w:lvlText w:val="%3."/>
      <w:lvlJc w:val="lef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22B36432"/>
    <w:multiLevelType w:val="hybridMultilevel"/>
    <w:tmpl w:val="5D6C61EA"/>
    <w:lvl w:ilvl="0" w:tplc="0C0A000F">
      <w:start w:val="1"/>
      <w:numFmt w:val="decimal"/>
      <w:lvlText w:val="%1."/>
      <w:lvlJc w:val="left"/>
      <w:pPr>
        <w:ind w:left="1854" w:hanging="360"/>
      </w:pPr>
      <w:rPr>
        <w:rFonts w:hint="default"/>
      </w:rPr>
    </w:lvl>
    <w:lvl w:ilvl="1" w:tplc="0C0A0001">
      <w:start w:val="1"/>
      <w:numFmt w:val="bullet"/>
      <w:lvlText w:val=""/>
      <w:lvlJc w:val="left"/>
      <w:pPr>
        <w:ind w:left="2934" w:hanging="720"/>
      </w:pPr>
      <w:rPr>
        <w:rFonts w:ascii="Symbol" w:hAnsi="Symbol" w:hint="default"/>
      </w:rPr>
    </w:lvl>
    <w:lvl w:ilvl="2" w:tplc="A780430C">
      <w:start w:val="1"/>
      <w:numFmt w:val="upperRoman"/>
      <w:lvlText w:val="%3."/>
      <w:lvlJc w:val="left"/>
      <w:pPr>
        <w:ind w:left="3654" w:hanging="720"/>
      </w:pPr>
      <w:rPr>
        <w:rFonts w:hint="default"/>
      </w:rPr>
    </w:lvl>
    <w:lvl w:ilvl="3" w:tplc="0C0A0001" w:tentative="1">
      <w:start w:val="1"/>
      <w:numFmt w:val="bullet"/>
      <w:lvlText w:val=""/>
      <w:lvlJc w:val="left"/>
      <w:pPr>
        <w:ind w:left="4014" w:hanging="360"/>
      </w:pPr>
      <w:rPr>
        <w:rFonts w:ascii="Symbol" w:hAnsi="Symbol" w:hint="default"/>
      </w:rPr>
    </w:lvl>
    <w:lvl w:ilvl="4" w:tplc="0C0A0003" w:tentative="1">
      <w:start w:val="1"/>
      <w:numFmt w:val="bullet"/>
      <w:lvlText w:val="o"/>
      <w:lvlJc w:val="left"/>
      <w:pPr>
        <w:ind w:left="4734" w:hanging="360"/>
      </w:pPr>
      <w:rPr>
        <w:rFonts w:ascii="Courier New" w:hAnsi="Courier New" w:cs="Courier New" w:hint="default"/>
      </w:rPr>
    </w:lvl>
    <w:lvl w:ilvl="5" w:tplc="0C0A0005" w:tentative="1">
      <w:start w:val="1"/>
      <w:numFmt w:val="bullet"/>
      <w:lvlText w:val=""/>
      <w:lvlJc w:val="left"/>
      <w:pPr>
        <w:ind w:left="5454" w:hanging="360"/>
      </w:pPr>
      <w:rPr>
        <w:rFonts w:ascii="Wingdings" w:hAnsi="Wingdings" w:hint="default"/>
      </w:rPr>
    </w:lvl>
    <w:lvl w:ilvl="6" w:tplc="0C0A0001" w:tentative="1">
      <w:start w:val="1"/>
      <w:numFmt w:val="bullet"/>
      <w:lvlText w:val=""/>
      <w:lvlJc w:val="left"/>
      <w:pPr>
        <w:ind w:left="6174" w:hanging="360"/>
      </w:pPr>
      <w:rPr>
        <w:rFonts w:ascii="Symbol" w:hAnsi="Symbol" w:hint="default"/>
      </w:rPr>
    </w:lvl>
    <w:lvl w:ilvl="7" w:tplc="0C0A0003" w:tentative="1">
      <w:start w:val="1"/>
      <w:numFmt w:val="bullet"/>
      <w:lvlText w:val="o"/>
      <w:lvlJc w:val="left"/>
      <w:pPr>
        <w:ind w:left="6894" w:hanging="360"/>
      </w:pPr>
      <w:rPr>
        <w:rFonts w:ascii="Courier New" w:hAnsi="Courier New" w:cs="Courier New" w:hint="default"/>
      </w:rPr>
    </w:lvl>
    <w:lvl w:ilvl="8" w:tplc="0C0A0005" w:tentative="1">
      <w:start w:val="1"/>
      <w:numFmt w:val="bullet"/>
      <w:lvlText w:val=""/>
      <w:lvlJc w:val="left"/>
      <w:pPr>
        <w:ind w:left="7614" w:hanging="360"/>
      </w:pPr>
      <w:rPr>
        <w:rFonts w:ascii="Wingdings" w:hAnsi="Wingdings" w:hint="default"/>
      </w:rPr>
    </w:lvl>
  </w:abstractNum>
  <w:abstractNum w:abstractNumId="5" w15:restartNumberingAfterBreak="0">
    <w:nsid w:val="2AFE7CDE"/>
    <w:multiLevelType w:val="hybridMultilevel"/>
    <w:tmpl w:val="997E2262"/>
    <w:lvl w:ilvl="0" w:tplc="0C0A000F">
      <w:start w:val="1"/>
      <w:numFmt w:val="decimal"/>
      <w:lvlText w:val="%1."/>
      <w:lvlJc w:val="left"/>
      <w:pPr>
        <w:ind w:left="1854" w:hanging="360"/>
      </w:pPr>
      <w:rPr>
        <w:rFonts w:hint="default"/>
      </w:rPr>
    </w:lvl>
    <w:lvl w:ilvl="1" w:tplc="8C90EE64">
      <w:start w:val="1"/>
      <w:numFmt w:val="upperRoman"/>
      <w:lvlText w:val="%2."/>
      <w:lvlJc w:val="left"/>
      <w:pPr>
        <w:ind w:left="2934" w:hanging="720"/>
      </w:pPr>
      <w:rPr>
        <w:rFonts w:hint="default"/>
      </w:rPr>
    </w:lvl>
    <w:lvl w:ilvl="2" w:tplc="0C0A0005" w:tentative="1">
      <w:start w:val="1"/>
      <w:numFmt w:val="bullet"/>
      <w:lvlText w:val=""/>
      <w:lvlJc w:val="left"/>
      <w:pPr>
        <w:ind w:left="3294" w:hanging="360"/>
      </w:pPr>
      <w:rPr>
        <w:rFonts w:ascii="Wingdings" w:hAnsi="Wingdings" w:hint="default"/>
      </w:rPr>
    </w:lvl>
    <w:lvl w:ilvl="3" w:tplc="0C0A0001" w:tentative="1">
      <w:start w:val="1"/>
      <w:numFmt w:val="bullet"/>
      <w:lvlText w:val=""/>
      <w:lvlJc w:val="left"/>
      <w:pPr>
        <w:ind w:left="4014" w:hanging="360"/>
      </w:pPr>
      <w:rPr>
        <w:rFonts w:ascii="Symbol" w:hAnsi="Symbol" w:hint="default"/>
      </w:rPr>
    </w:lvl>
    <w:lvl w:ilvl="4" w:tplc="0C0A0003" w:tentative="1">
      <w:start w:val="1"/>
      <w:numFmt w:val="bullet"/>
      <w:lvlText w:val="o"/>
      <w:lvlJc w:val="left"/>
      <w:pPr>
        <w:ind w:left="4734" w:hanging="360"/>
      </w:pPr>
      <w:rPr>
        <w:rFonts w:ascii="Courier New" w:hAnsi="Courier New" w:cs="Courier New" w:hint="default"/>
      </w:rPr>
    </w:lvl>
    <w:lvl w:ilvl="5" w:tplc="0C0A0005" w:tentative="1">
      <w:start w:val="1"/>
      <w:numFmt w:val="bullet"/>
      <w:lvlText w:val=""/>
      <w:lvlJc w:val="left"/>
      <w:pPr>
        <w:ind w:left="5454" w:hanging="360"/>
      </w:pPr>
      <w:rPr>
        <w:rFonts w:ascii="Wingdings" w:hAnsi="Wingdings" w:hint="default"/>
      </w:rPr>
    </w:lvl>
    <w:lvl w:ilvl="6" w:tplc="0C0A0001" w:tentative="1">
      <w:start w:val="1"/>
      <w:numFmt w:val="bullet"/>
      <w:lvlText w:val=""/>
      <w:lvlJc w:val="left"/>
      <w:pPr>
        <w:ind w:left="6174" w:hanging="360"/>
      </w:pPr>
      <w:rPr>
        <w:rFonts w:ascii="Symbol" w:hAnsi="Symbol" w:hint="default"/>
      </w:rPr>
    </w:lvl>
    <w:lvl w:ilvl="7" w:tplc="0C0A0003" w:tentative="1">
      <w:start w:val="1"/>
      <w:numFmt w:val="bullet"/>
      <w:lvlText w:val="o"/>
      <w:lvlJc w:val="left"/>
      <w:pPr>
        <w:ind w:left="6894" w:hanging="360"/>
      </w:pPr>
      <w:rPr>
        <w:rFonts w:ascii="Courier New" w:hAnsi="Courier New" w:cs="Courier New" w:hint="default"/>
      </w:rPr>
    </w:lvl>
    <w:lvl w:ilvl="8" w:tplc="0C0A0005" w:tentative="1">
      <w:start w:val="1"/>
      <w:numFmt w:val="bullet"/>
      <w:lvlText w:val=""/>
      <w:lvlJc w:val="left"/>
      <w:pPr>
        <w:ind w:left="7614" w:hanging="360"/>
      </w:pPr>
      <w:rPr>
        <w:rFonts w:ascii="Wingdings" w:hAnsi="Wingdings" w:hint="default"/>
      </w:rPr>
    </w:lvl>
  </w:abstractNum>
  <w:abstractNum w:abstractNumId="6" w15:restartNumberingAfterBreak="0">
    <w:nsid w:val="441D42C5"/>
    <w:multiLevelType w:val="hybridMultilevel"/>
    <w:tmpl w:val="72DE2BF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0"/>
  </w:num>
  <w:num w:numId="2">
    <w:abstractNumId w:val="6"/>
  </w:num>
  <w:num w:numId="3">
    <w:abstractNumId w:val="2"/>
  </w:num>
  <w:num w:numId="4">
    <w:abstractNumId w:val="5"/>
  </w:num>
  <w:num w:numId="5">
    <w:abstractNumId w:val="4"/>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1131"/>
    <w:rsid w:val="001D46B8"/>
    <w:rsid w:val="00232F0A"/>
    <w:rsid w:val="00347E82"/>
    <w:rsid w:val="00453417"/>
    <w:rsid w:val="00454A4A"/>
    <w:rsid w:val="00470121"/>
    <w:rsid w:val="005112DD"/>
    <w:rsid w:val="00616767"/>
    <w:rsid w:val="0064314A"/>
    <w:rsid w:val="006B1DFF"/>
    <w:rsid w:val="0080783D"/>
    <w:rsid w:val="0092248C"/>
    <w:rsid w:val="009D1131"/>
    <w:rsid w:val="00A128F0"/>
    <w:rsid w:val="00A40983"/>
    <w:rsid w:val="00A97E80"/>
    <w:rsid w:val="00BE1E0E"/>
    <w:rsid w:val="00C04C6A"/>
    <w:rsid w:val="00C427A6"/>
    <w:rsid w:val="00CC2E1E"/>
    <w:rsid w:val="00E957A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D24C46-C51A-48C6-A963-65DC86953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1131"/>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9D1131"/>
    <w:pPr>
      <w:spacing w:after="0" w:line="240" w:lineRule="auto"/>
      <w:ind w:left="2552"/>
    </w:pPr>
    <w:rPr>
      <w:rFonts w:ascii="Arial" w:eastAsia="Times New Roman" w:hAnsi="Arial"/>
      <w:b/>
      <w:caps/>
      <w:sz w:val="30"/>
      <w:szCs w:val="20"/>
      <w:lang w:val="x-none" w:eastAsia="es-MX"/>
    </w:rPr>
  </w:style>
  <w:style w:type="paragraph" w:customStyle="1" w:styleId="corte2ponente">
    <w:name w:val="corte2 ponente"/>
    <w:basedOn w:val="Normal"/>
    <w:link w:val="corte2ponenteCar"/>
    <w:uiPriority w:val="99"/>
    <w:rsid w:val="009D1131"/>
    <w:pPr>
      <w:spacing w:after="0" w:line="240" w:lineRule="auto"/>
    </w:pPr>
    <w:rPr>
      <w:rFonts w:ascii="Arial" w:eastAsia="Times New Roman" w:hAnsi="Arial"/>
      <w:b/>
      <w:caps/>
      <w:sz w:val="30"/>
      <w:szCs w:val="20"/>
      <w:lang w:val="x-none" w:eastAsia="es-MX"/>
    </w:rPr>
  </w:style>
  <w:style w:type="paragraph" w:customStyle="1" w:styleId="corte4fondo">
    <w:name w:val="corte4 fondo"/>
    <w:basedOn w:val="Normal"/>
    <w:link w:val="corte4fondoCar1"/>
    <w:qFormat/>
    <w:rsid w:val="009D1131"/>
    <w:pPr>
      <w:spacing w:after="0" w:line="360" w:lineRule="auto"/>
      <w:ind w:firstLine="709"/>
      <w:jc w:val="both"/>
    </w:pPr>
    <w:rPr>
      <w:rFonts w:ascii="Arial" w:eastAsia="Times New Roman" w:hAnsi="Arial"/>
      <w:sz w:val="30"/>
      <w:szCs w:val="20"/>
      <w:lang w:val="x-none" w:eastAsia="es-MX"/>
    </w:rPr>
  </w:style>
  <w:style w:type="character" w:customStyle="1" w:styleId="corte2ponenteCar">
    <w:name w:val="corte2 ponente Car"/>
    <w:link w:val="corte2ponente"/>
    <w:uiPriority w:val="99"/>
    <w:rsid w:val="009D1131"/>
    <w:rPr>
      <w:rFonts w:ascii="Arial" w:eastAsia="Times New Roman" w:hAnsi="Arial" w:cs="Times New Roman"/>
      <w:b/>
      <w:caps/>
      <w:sz w:val="30"/>
      <w:szCs w:val="20"/>
      <w:lang w:val="x-none" w:eastAsia="es-MX"/>
    </w:rPr>
  </w:style>
  <w:style w:type="character" w:customStyle="1" w:styleId="corte4fondoCar1">
    <w:name w:val="corte4 fondo Car1"/>
    <w:link w:val="corte4fondo"/>
    <w:rsid w:val="009D1131"/>
    <w:rPr>
      <w:rFonts w:ascii="Arial" w:eastAsia="Times New Roman" w:hAnsi="Arial" w:cs="Times New Roman"/>
      <w:sz w:val="30"/>
      <w:szCs w:val="20"/>
      <w:lang w:val="x-none" w:eastAsia="es-MX"/>
    </w:rPr>
  </w:style>
  <w:style w:type="character" w:customStyle="1" w:styleId="corte1datosCar">
    <w:name w:val="corte1 datos Car"/>
    <w:link w:val="corte1datos"/>
    <w:rsid w:val="009D1131"/>
    <w:rPr>
      <w:rFonts w:ascii="Arial" w:eastAsia="Times New Roman" w:hAnsi="Arial" w:cs="Times New Roman"/>
      <w:b/>
      <w:caps/>
      <w:sz w:val="30"/>
      <w:szCs w:val="20"/>
      <w:lang w:val="x-none" w:eastAsia="es-MX"/>
    </w:rPr>
  </w:style>
  <w:style w:type="paragraph" w:styleId="Encabezado">
    <w:name w:val="header"/>
    <w:basedOn w:val="Normal"/>
    <w:link w:val="EncabezadoCar"/>
    <w:uiPriority w:val="99"/>
    <w:unhideWhenUsed/>
    <w:rsid w:val="009D1131"/>
    <w:pPr>
      <w:tabs>
        <w:tab w:val="center" w:pos="4419"/>
        <w:tab w:val="right" w:pos="8838"/>
      </w:tabs>
      <w:spacing w:after="0" w:line="240" w:lineRule="auto"/>
    </w:pPr>
    <w:rPr>
      <w:sz w:val="20"/>
      <w:szCs w:val="20"/>
      <w:lang w:val="x-none" w:eastAsia="x-none"/>
    </w:rPr>
  </w:style>
  <w:style w:type="character" w:customStyle="1" w:styleId="EncabezadoCar">
    <w:name w:val="Encabezado Car"/>
    <w:basedOn w:val="Fuentedeprrafopredeter"/>
    <w:link w:val="Encabezado"/>
    <w:uiPriority w:val="99"/>
    <w:rsid w:val="009D1131"/>
    <w:rPr>
      <w:rFonts w:ascii="Calibri" w:eastAsia="Calibri" w:hAnsi="Calibri" w:cs="Times New Roman"/>
      <w:sz w:val="20"/>
      <w:szCs w:val="20"/>
      <w:lang w:val="x-none" w:eastAsia="x-none"/>
    </w:rPr>
  </w:style>
  <w:style w:type="paragraph" w:customStyle="1" w:styleId="Default">
    <w:name w:val="Default"/>
    <w:qFormat/>
    <w:rsid w:val="009D1131"/>
    <w:pPr>
      <w:autoSpaceDE w:val="0"/>
      <w:autoSpaceDN w:val="0"/>
      <w:adjustRightInd w:val="0"/>
      <w:spacing w:after="0" w:line="240" w:lineRule="auto"/>
    </w:pPr>
    <w:rPr>
      <w:rFonts w:ascii="Arial" w:eastAsia="Calibri" w:hAnsi="Arial" w:cs="Arial"/>
      <w:color w:val="000000"/>
      <w:sz w:val="24"/>
      <w:szCs w:val="24"/>
      <w:lang w:eastAsia="es-MX"/>
    </w:rPr>
  </w:style>
  <w:style w:type="paragraph" w:styleId="Ttulo">
    <w:name w:val="Title"/>
    <w:basedOn w:val="Normal"/>
    <w:next w:val="Normal"/>
    <w:link w:val="TtuloCar"/>
    <w:uiPriority w:val="10"/>
    <w:qFormat/>
    <w:rsid w:val="009D1131"/>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9D1131"/>
    <w:rPr>
      <w:rFonts w:ascii="Cambria" w:eastAsia="Times New Roman" w:hAnsi="Cambria" w:cs="Times New Roman"/>
      <w:b/>
      <w:bCs/>
      <w:kern w:val="28"/>
      <w:sz w:val="32"/>
      <w:szCs w:val="32"/>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9D1131"/>
    <w:pPr>
      <w:spacing w:after="160" w:line="259" w:lineRule="auto"/>
      <w:ind w:left="720"/>
      <w:contextualSpacing/>
    </w:pPr>
    <w:rPr>
      <w:rFonts w:asciiTheme="minorHAnsi" w:eastAsiaTheme="minorHAnsi" w:hAnsiTheme="minorHAnsi" w:cstheme="minorBidi"/>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basedOn w:val="Fuentedeprrafopredeter"/>
    <w:link w:val="Prrafodelista"/>
    <w:uiPriority w:val="34"/>
    <w:qFormat/>
    <w:rsid w:val="009D1131"/>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9D1131"/>
    <w:pPr>
      <w:spacing w:after="0" w:line="240" w:lineRule="auto"/>
    </w:pPr>
    <w:rPr>
      <w:rFonts w:asciiTheme="minorHAnsi" w:eastAsiaTheme="minorHAnsi" w:hAnsiTheme="minorHAnsi" w:cstheme="minorBidi"/>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D1131"/>
    <w:rPr>
      <w:sz w:val="20"/>
      <w:szCs w:val="20"/>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9D1131"/>
    <w:rPr>
      <w:vertAlign w:val="superscript"/>
    </w:rPr>
  </w:style>
  <w:style w:type="paragraph" w:styleId="Textodeglobo">
    <w:name w:val="Balloon Text"/>
    <w:basedOn w:val="Normal"/>
    <w:link w:val="TextodegloboCar"/>
    <w:uiPriority w:val="99"/>
    <w:semiHidden/>
    <w:unhideWhenUsed/>
    <w:rsid w:val="00A128F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128F0"/>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178</TotalTime>
  <Pages>11</Pages>
  <Words>4341</Words>
  <Characters>23880</Characters>
  <Application>Microsoft Office Word</Application>
  <DocSecurity>0</DocSecurity>
  <Lines>199</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3</cp:revision>
  <cp:lastPrinted>2022-05-30T19:55:00Z</cp:lastPrinted>
  <dcterms:created xsi:type="dcterms:W3CDTF">2022-05-27T13:16:00Z</dcterms:created>
  <dcterms:modified xsi:type="dcterms:W3CDTF">2022-05-30T19:58:00Z</dcterms:modified>
</cp:coreProperties>
</file>